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C0B0A" w14:textId="754B548A" w:rsidR="00107AC0" w:rsidRPr="00C056EB" w:rsidRDefault="0035025C">
      <w:pPr>
        <w:rPr>
          <w:b/>
          <w:bCs/>
        </w:rPr>
      </w:pPr>
      <w:r>
        <w:rPr>
          <w:b/>
          <w:bCs/>
        </w:rPr>
        <w:t>Supplementary material</w:t>
      </w:r>
      <w:r w:rsidR="00C056EB" w:rsidRPr="00C056EB">
        <w:rPr>
          <w:b/>
          <w:bCs/>
        </w:rPr>
        <w:t>:</w:t>
      </w:r>
    </w:p>
    <w:p w14:paraId="0ACB695B" w14:textId="389574A4" w:rsidR="001523EB" w:rsidRPr="00C056EB" w:rsidRDefault="001523EB"/>
    <w:p w14:paraId="58A89457" w14:textId="0CFA7289" w:rsidR="001523EB" w:rsidRPr="00C056EB" w:rsidRDefault="001523EB">
      <w:r w:rsidRPr="00C056EB">
        <w:rPr>
          <w:noProof/>
        </w:rPr>
        <w:drawing>
          <wp:inline distT="0" distB="0" distL="0" distR="0" wp14:anchorId="7F089FC6" wp14:editId="0AA89017">
            <wp:extent cx="5400040" cy="333438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33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19DA9F" w14:textId="6DFE71DF" w:rsidR="001523EB" w:rsidRPr="00C056EB" w:rsidRDefault="001523EB">
      <w:r w:rsidRPr="00C056EB">
        <w:rPr>
          <w:b/>
          <w:bCs/>
        </w:rPr>
        <w:t>Supplementa</w:t>
      </w:r>
      <w:r w:rsidR="0035025C">
        <w:rPr>
          <w:b/>
          <w:bCs/>
        </w:rPr>
        <w:t>ry</w:t>
      </w:r>
      <w:r w:rsidRPr="00C056EB">
        <w:rPr>
          <w:b/>
          <w:bCs/>
        </w:rPr>
        <w:t xml:space="preserve"> figure 1.</w:t>
      </w:r>
      <w:r w:rsidRPr="00C056EB">
        <w:t xml:space="preserve"> Complete haplotypes identified in this study. Microsatellite markers identified a small number of full haplotypes in Ecuadorian samples.</w:t>
      </w:r>
    </w:p>
    <w:p w14:paraId="42250BCC" w14:textId="22425FC9" w:rsidR="001523EB" w:rsidRPr="00C056EB" w:rsidRDefault="001523EB"/>
    <w:p w14:paraId="5A63E3F6" w14:textId="77777777" w:rsidR="00C056EB" w:rsidRPr="00C056EB" w:rsidRDefault="00C056EB" w:rsidP="00C056EB">
      <w:pPr>
        <w:keepNext/>
      </w:pPr>
      <w:r w:rsidRPr="00C056EB">
        <w:rPr>
          <w:noProof/>
          <w:vertAlign w:val="superscript"/>
        </w:rPr>
        <w:drawing>
          <wp:inline distT="0" distB="0" distL="0" distR="0" wp14:anchorId="584716D2" wp14:editId="3A434B42">
            <wp:extent cx="5400040" cy="2700020"/>
            <wp:effectExtent l="0" t="0" r="0" b="0"/>
            <wp:docPr id="1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7000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52D389F" w14:textId="6D797694" w:rsidR="00C056EB" w:rsidRPr="00C056EB" w:rsidRDefault="00C056EB" w:rsidP="00C056EB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color w:val="000000"/>
          <w:vertAlign w:val="superscript"/>
        </w:rPr>
      </w:pPr>
      <w:r w:rsidRPr="00C056EB">
        <w:rPr>
          <w:rFonts w:ascii="Calibri" w:eastAsia="Calibri" w:hAnsi="Calibri" w:cs="Calibri"/>
          <w:b/>
          <w:color w:val="000000"/>
        </w:rPr>
        <w:t>Supplementa</w:t>
      </w:r>
      <w:r w:rsidR="0035025C">
        <w:rPr>
          <w:rFonts w:ascii="Calibri" w:eastAsia="Calibri" w:hAnsi="Calibri" w:cs="Calibri"/>
          <w:b/>
          <w:color w:val="000000"/>
        </w:rPr>
        <w:t>ry</w:t>
      </w:r>
      <w:r w:rsidRPr="00C056EB">
        <w:rPr>
          <w:rFonts w:ascii="Calibri" w:eastAsia="Calibri" w:hAnsi="Calibri" w:cs="Calibri"/>
          <w:b/>
          <w:color w:val="000000"/>
        </w:rPr>
        <w:t xml:space="preserve"> figure 2.</w:t>
      </w:r>
      <w:r w:rsidRPr="00C056EB">
        <w:rPr>
          <w:rFonts w:ascii="Calibri" w:eastAsia="Calibri" w:hAnsi="Calibri" w:cs="Calibri"/>
          <w:color w:val="000000"/>
        </w:rPr>
        <w:t xml:space="preserve"> Population inference scheme of </w:t>
      </w:r>
      <w:r w:rsidRPr="00C056EB">
        <w:rPr>
          <w:rFonts w:ascii="Calibri" w:eastAsia="Calibri" w:hAnsi="Calibri" w:cs="Calibri"/>
          <w:i/>
          <w:color w:val="000000"/>
        </w:rPr>
        <w:t>Plasmodium falciparum</w:t>
      </w:r>
      <w:r w:rsidRPr="00C056EB">
        <w:rPr>
          <w:rFonts w:ascii="Calibri" w:eastAsia="Calibri" w:hAnsi="Calibri" w:cs="Calibri"/>
          <w:color w:val="000000"/>
        </w:rPr>
        <w:t xml:space="preserve"> isolates from Esmeraldas and Carchi provinces, Ecuador (2019 – 2021) using Structure software. The analysis incorporated samples from</w:t>
      </w:r>
      <w:r w:rsidRPr="00C056EB">
        <w:t xml:space="preserve"> </w:t>
      </w:r>
      <w:r w:rsidRPr="00C056EB">
        <w:rPr>
          <w:rFonts w:ascii="Calibri" w:eastAsia="Calibri" w:hAnsi="Calibri" w:cs="Calibri"/>
          <w:color w:val="000000"/>
        </w:rPr>
        <w:t>Tobar Donoso (2019 – 2020</w:t>
      </w:r>
      <w:r w:rsidRPr="00C056EB">
        <w:t>; Samples: 0 to 4, 6 to 11, 13, 16, 17, 19 to 21, and 113</w:t>
      </w:r>
      <w:r w:rsidRPr="00C056EB">
        <w:rPr>
          <w:rFonts w:ascii="Calibri" w:eastAsia="Calibri" w:hAnsi="Calibri" w:cs="Calibri"/>
          <w:color w:val="000000"/>
        </w:rPr>
        <w:t xml:space="preserve">), </w:t>
      </w:r>
      <w:r w:rsidRPr="00C056EB">
        <w:t xml:space="preserve"> Esmeraldas (2019 – 2020; Samples: 25 to 32, and 35 to 52), </w:t>
      </w:r>
      <w:r w:rsidRPr="00C056EB">
        <w:rPr>
          <w:rFonts w:ascii="Calibri" w:eastAsia="Calibri" w:hAnsi="Calibri" w:cs="Calibri"/>
          <w:color w:val="000000"/>
        </w:rPr>
        <w:t xml:space="preserve">and San Lorenzo (2019 – 2021; </w:t>
      </w:r>
      <w:r w:rsidRPr="00C056EB">
        <w:t>Samples: 5, 12, 15, 22, and 56</w:t>
      </w:r>
      <w:r w:rsidRPr="00C056EB">
        <w:rPr>
          <w:rFonts w:ascii="Calibri" w:eastAsia="Calibri" w:hAnsi="Calibri" w:cs="Calibri"/>
          <w:color w:val="000000"/>
        </w:rPr>
        <w:t>), as well as Colombian samples collected in the north coast of Ecuador (</w:t>
      </w:r>
      <w:r w:rsidRPr="00C056EB">
        <w:t>Samples: 14, 18, 23, 24, 34, 53 to 55, and 57 to 64</w:t>
      </w:r>
      <w:r w:rsidRPr="00C056EB">
        <w:rPr>
          <w:rFonts w:ascii="Calibri" w:eastAsia="Calibri" w:hAnsi="Calibri" w:cs="Calibri"/>
          <w:color w:val="000000"/>
        </w:rPr>
        <w:t xml:space="preserve">), between 2019 and 2022. Each color stands for a distinct genetic group. </w:t>
      </w:r>
    </w:p>
    <w:p w14:paraId="72E206F2" w14:textId="77777777" w:rsidR="00C056EB" w:rsidRPr="00C056EB" w:rsidRDefault="00C056EB" w:rsidP="00C056EB">
      <w:pPr>
        <w:keepNext/>
      </w:pPr>
      <w:r w:rsidRPr="00C056EB">
        <w:rPr>
          <w:noProof/>
          <w:vertAlign w:val="superscript"/>
        </w:rPr>
        <w:lastRenderedPageBreak/>
        <w:drawing>
          <wp:inline distT="0" distB="0" distL="0" distR="0" wp14:anchorId="42AAFC11" wp14:editId="3494F0E4">
            <wp:extent cx="5400040" cy="2700020"/>
            <wp:effectExtent l="0" t="0" r="0" b="0"/>
            <wp:docPr id="1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7000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431744A" w14:textId="1456EF09" w:rsidR="00C056EB" w:rsidRPr="00C056EB" w:rsidRDefault="00C056EB" w:rsidP="00C056EB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color w:val="000000"/>
        </w:rPr>
      </w:pPr>
      <w:bookmarkStart w:id="0" w:name="_heading=h.iahtcxvcr1og" w:colFirst="0" w:colLast="0"/>
      <w:bookmarkEnd w:id="0"/>
      <w:r w:rsidRPr="00C056EB">
        <w:rPr>
          <w:rFonts w:ascii="Calibri" w:eastAsia="Calibri" w:hAnsi="Calibri" w:cs="Calibri"/>
          <w:b/>
          <w:color w:val="000000"/>
        </w:rPr>
        <w:t>Supplemen</w:t>
      </w:r>
      <w:r w:rsidR="0035025C">
        <w:rPr>
          <w:rFonts w:ascii="Calibri" w:eastAsia="Calibri" w:hAnsi="Calibri" w:cs="Calibri"/>
          <w:b/>
          <w:color w:val="000000"/>
        </w:rPr>
        <w:t>tary</w:t>
      </w:r>
      <w:r w:rsidRPr="00C056EB">
        <w:rPr>
          <w:rFonts w:ascii="Calibri" w:eastAsia="Calibri" w:hAnsi="Calibri" w:cs="Calibri"/>
          <w:b/>
          <w:color w:val="000000"/>
        </w:rPr>
        <w:t xml:space="preserve"> figure 3.</w:t>
      </w:r>
      <w:r w:rsidRPr="00C056EB">
        <w:rPr>
          <w:rFonts w:ascii="Calibri" w:eastAsia="Calibri" w:hAnsi="Calibri" w:cs="Calibri"/>
          <w:i/>
          <w:color w:val="000000"/>
        </w:rPr>
        <w:t xml:space="preserve"> </w:t>
      </w:r>
      <w:r w:rsidRPr="00C056EB">
        <w:rPr>
          <w:rFonts w:ascii="Calibri" w:eastAsia="Calibri" w:hAnsi="Calibri" w:cs="Calibri"/>
          <w:color w:val="000000"/>
        </w:rPr>
        <w:t xml:space="preserve">Population inference scheme of </w:t>
      </w:r>
      <w:r w:rsidRPr="00C056EB">
        <w:rPr>
          <w:rFonts w:ascii="Calibri" w:eastAsia="Calibri" w:hAnsi="Calibri" w:cs="Calibri"/>
          <w:i/>
          <w:color w:val="000000"/>
        </w:rPr>
        <w:t>Plasmodium falciparum</w:t>
      </w:r>
      <w:r w:rsidRPr="00C056EB">
        <w:rPr>
          <w:rFonts w:ascii="Calibri" w:eastAsia="Calibri" w:hAnsi="Calibri" w:cs="Calibri"/>
          <w:color w:val="000000"/>
        </w:rPr>
        <w:t xml:space="preserve"> isolates from Ecuador (2019 – 2021) and Colombia (2008 - 2012 and 2018) using Structure Software.  Comparative analyses included </w:t>
      </w:r>
      <w:r w:rsidRPr="00C056EB">
        <w:t xml:space="preserve">Ecuadorian isolates described in Supplementary Figure 2 (Samples 0 to 64), as well as </w:t>
      </w:r>
      <w:r w:rsidRPr="00C056EB">
        <w:rPr>
          <w:rFonts w:ascii="Calibri" w:eastAsia="Calibri" w:hAnsi="Calibri" w:cs="Calibri"/>
          <w:color w:val="000000"/>
        </w:rPr>
        <w:t>Colombian samples from Antioquia (</w:t>
      </w:r>
      <w:r w:rsidRPr="00C056EB">
        <w:t>2012; Samples</w:t>
      </w:r>
      <w:r w:rsidRPr="00C056EB">
        <w:rPr>
          <w:rFonts w:ascii="Calibri" w:eastAsia="Calibri" w:hAnsi="Calibri" w:cs="Calibri"/>
          <w:color w:val="000000"/>
        </w:rPr>
        <w:t xml:space="preserve"> 65</w:t>
      </w:r>
      <w:r w:rsidRPr="00C056EB">
        <w:t xml:space="preserve"> to 100</w:t>
      </w:r>
      <w:r w:rsidRPr="00C056EB">
        <w:rPr>
          <w:rFonts w:ascii="Calibri" w:eastAsia="Calibri" w:hAnsi="Calibri" w:cs="Calibri"/>
          <w:color w:val="000000"/>
        </w:rPr>
        <w:t>), Chocó (</w:t>
      </w:r>
      <w:r w:rsidRPr="00C056EB">
        <w:t xml:space="preserve">2018; Samples </w:t>
      </w:r>
      <w:r w:rsidRPr="00C056EB">
        <w:rPr>
          <w:rFonts w:ascii="Calibri" w:eastAsia="Calibri" w:hAnsi="Calibri" w:cs="Calibri"/>
          <w:color w:val="000000"/>
        </w:rPr>
        <w:t>101</w:t>
      </w:r>
      <w:r w:rsidRPr="00C056EB">
        <w:t xml:space="preserve"> to </w:t>
      </w:r>
      <w:r w:rsidRPr="00C056EB">
        <w:rPr>
          <w:rFonts w:ascii="Calibri" w:eastAsia="Calibri" w:hAnsi="Calibri" w:cs="Calibri"/>
          <w:color w:val="000000"/>
        </w:rPr>
        <w:t>148), Córdoba (</w:t>
      </w:r>
      <w:r w:rsidRPr="00C056EB">
        <w:t xml:space="preserve">2008 – 2009; Samples </w:t>
      </w:r>
      <w:r w:rsidRPr="00C056EB">
        <w:rPr>
          <w:rFonts w:ascii="Calibri" w:eastAsia="Calibri" w:hAnsi="Calibri" w:cs="Calibri"/>
          <w:color w:val="000000"/>
        </w:rPr>
        <w:t>149</w:t>
      </w:r>
      <w:r w:rsidRPr="00C056EB">
        <w:t xml:space="preserve"> to </w:t>
      </w:r>
      <w:r w:rsidRPr="00C056EB">
        <w:rPr>
          <w:rFonts w:ascii="Calibri" w:eastAsia="Calibri" w:hAnsi="Calibri" w:cs="Calibri"/>
          <w:color w:val="000000"/>
        </w:rPr>
        <w:t>163), Nariño (</w:t>
      </w:r>
      <w:r w:rsidRPr="00C056EB">
        <w:t xml:space="preserve">2008 – 2009; Samples </w:t>
      </w:r>
      <w:r w:rsidRPr="00C056EB">
        <w:rPr>
          <w:rFonts w:ascii="Calibri" w:eastAsia="Calibri" w:hAnsi="Calibri" w:cs="Calibri"/>
          <w:color w:val="000000"/>
        </w:rPr>
        <w:t xml:space="preserve">164 </w:t>
      </w:r>
      <w:r w:rsidRPr="00C056EB">
        <w:t>to</w:t>
      </w:r>
      <w:r w:rsidRPr="00C056EB">
        <w:rPr>
          <w:rFonts w:ascii="Calibri" w:eastAsia="Calibri" w:hAnsi="Calibri" w:cs="Calibri"/>
          <w:color w:val="000000"/>
        </w:rPr>
        <w:t xml:space="preserve"> 197), and Valle (</w:t>
      </w:r>
      <w:r w:rsidRPr="00C056EB">
        <w:t xml:space="preserve">2008 – 2009; Samples </w:t>
      </w:r>
      <w:r w:rsidRPr="00C056EB">
        <w:rPr>
          <w:rFonts w:ascii="Calibri" w:eastAsia="Calibri" w:hAnsi="Calibri" w:cs="Calibri"/>
          <w:color w:val="000000"/>
        </w:rPr>
        <w:t>198</w:t>
      </w:r>
      <w:r w:rsidRPr="00C056EB">
        <w:t xml:space="preserve"> to 2</w:t>
      </w:r>
      <w:r w:rsidRPr="00C056EB">
        <w:rPr>
          <w:rFonts w:ascii="Calibri" w:eastAsia="Calibri" w:hAnsi="Calibri" w:cs="Calibri"/>
          <w:color w:val="000000"/>
        </w:rPr>
        <w:t xml:space="preserve">22). Each color corresponds to a different genetic group. </w:t>
      </w:r>
    </w:p>
    <w:p w14:paraId="67617137" w14:textId="20414AF6" w:rsidR="001523EB" w:rsidRPr="00C056EB" w:rsidRDefault="001523EB"/>
    <w:p w14:paraId="03E57C23" w14:textId="15D80A1B" w:rsidR="001523EB" w:rsidRPr="00C056EB" w:rsidRDefault="001523EB"/>
    <w:p w14:paraId="1C087AEA" w14:textId="77777777" w:rsidR="001523EB" w:rsidRPr="00C056EB" w:rsidRDefault="001523EB"/>
    <w:sectPr w:rsidR="001523EB" w:rsidRPr="00C056EB" w:rsidSect="002052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3EB"/>
    <w:rsid w:val="000623AE"/>
    <w:rsid w:val="00107AC0"/>
    <w:rsid w:val="001523EB"/>
    <w:rsid w:val="00201CCB"/>
    <w:rsid w:val="00205268"/>
    <w:rsid w:val="0035025C"/>
    <w:rsid w:val="004323DC"/>
    <w:rsid w:val="004821F5"/>
    <w:rsid w:val="008511BF"/>
    <w:rsid w:val="00C0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247E0"/>
  <w15:chartTrackingRefBased/>
  <w15:docId w15:val="{83E9243D-D43A-4AE9-9D01-D8064C6E8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SAENZ CALDERON FABIAN ERNESTO</dc:creator>
  <cp:keywords/>
  <dc:description/>
  <cp:lastModifiedBy>SAENZ CALDERON FABIAN ERNESTO</cp:lastModifiedBy>
  <cp:revision>2</cp:revision>
  <dcterms:created xsi:type="dcterms:W3CDTF">2025-10-21T19:03:00Z</dcterms:created>
  <dcterms:modified xsi:type="dcterms:W3CDTF">2025-10-21T19:03:00Z</dcterms:modified>
</cp:coreProperties>
</file>