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5396B" w14:textId="77777777" w:rsidR="00123633" w:rsidRPr="009C5A7F" w:rsidRDefault="00123633" w:rsidP="00123633">
      <w:pPr>
        <w:rPr>
          <w:rFonts w:eastAsiaTheme="minorEastAsia"/>
          <w:noProof/>
        </w:rPr>
      </w:pPr>
      <w:bookmarkStart w:id="0" w:name="_Hlk211177702"/>
      <w:r w:rsidRPr="009C5A7F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5579A6E3" wp14:editId="0D849511">
            <wp:simplePos x="0" y="0"/>
            <wp:positionH relativeFrom="margin">
              <wp:posOffset>0</wp:posOffset>
            </wp:positionH>
            <wp:positionV relativeFrom="paragraph">
              <wp:posOffset>330835</wp:posOffset>
            </wp:positionV>
            <wp:extent cx="4222750" cy="4832350"/>
            <wp:effectExtent l="0" t="0" r="6350" b="6350"/>
            <wp:wrapTopAndBottom/>
            <wp:docPr id="2" name="图片 2" descr="A diagram of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diagram of different colored sha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0" cy="483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5A7F">
        <w:rPr>
          <w:rFonts w:eastAsiaTheme="minorEastAsia" w:hint="eastAsia"/>
          <w:b/>
          <w:bCs/>
          <w:noProof/>
        </w:rPr>
        <w:t>Extended Data Figures</w:t>
      </w:r>
      <w:r>
        <w:rPr>
          <w:rFonts w:eastAsiaTheme="minorEastAsia" w:hint="eastAsia"/>
          <w:noProof/>
        </w:rPr>
        <w:t>.</w:t>
      </w:r>
    </w:p>
    <w:p w14:paraId="2238A221" w14:textId="77777777" w:rsidR="00123633" w:rsidRDefault="00123633" w:rsidP="00123633"/>
    <w:p w14:paraId="71B080CF" w14:textId="77777777" w:rsidR="00123633" w:rsidRPr="0050125B" w:rsidRDefault="00123633" w:rsidP="00123633">
      <w:pPr>
        <w:rPr>
          <w:b/>
          <w:bCs/>
        </w:rPr>
      </w:pPr>
      <w:bookmarkStart w:id="1" w:name="_Toc197701372"/>
      <w:r>
        <w:rPr>
          <w:b/>
          <w:bCs/>
        </w:rPr>
        <w:t>Extended</w:t>
      </w:r>
      <w:r w:rsidRPr="0050125B">
        <w:rPr>
          <w:b/>
          <w:bCs/>
        </w:rPr>
        <w:t xml:space="preserve"> </w:t>
      </w:r>
      <w:r>
        <w:rPr>
          <w:b/>
          <w:bCs/>
        </w:rPr>
        <w:t>Data</w:t>
      </w:r>
      <w:r w:rsidRPr="0050125B">
        <w:rPr>
          <w:b/>
          <w:bCs/>
        </w:rPr>
        <w:t xml:space="preserve"> Fi</w:t>
      </w:r>
      <w:r>
        <w:rPr>
          <w:b/>
          <w:bCs/>
        </w:rPr>
        <w:t>g.</w:t>
      </w:r>
      <w:r w:rsidRPr="0050125B">
        <w:rPr>
          <w:b/>
          <w:bCs/>
        </w:rPr>
        <w:t xml:space="preserve"> 1</w:t>
      </w:r>
      <w:bookmarkEnd w:id="1"/>
      <w:r w:rsidRPr="0050125B">
        <w:rPr>
          <w:b/>
          <w:bCs/>
        </w:rPr>
        <w:t xml:space="preserve"> </w:t>
      </w:r>
    </w:p>
    <w:p w14:paraId="1B4A8794" w14:textId="77777777" w:rsidR="00123633" w:rsidRPr="000D3624" w:rsidRDefault="00123633" w:rsidP="00123633">
      <w:r w:rsidRPr="004E3FD6">
        <w:rPr>
          <w:b/>
          <w:bCs/>
        </w:rPr>
        <w:t>Unrooted maximum-likelihood phylogeny of SufE homologues from the NCBI N</w:t>
      </w:r>
      <w:r>
        <w:rPr>
          <w:rFonts w:hint="eastAsia"/>
          <w:b/>
          <w:bCs/>
        </w:rPr>
        <w:t>on-</w:t>
      </w:r>
      <w:r w:rsidRPr="004E3FD6">
        <w:rPr>
          <w:b/>
          <w:bCs/>
        </w:rPr>
        <w:t>R</w:t>
      </w:r>
      <w:r>
        <w:rPr>
          <w:rFonts w:hint="eastAsia"/>
          <w:b/>
          <w:bCs/>
        </w:rPr>
        <w:t>edundant</w:t>
      </w:r>
      <w:r w:rsidRPr="004E3FD6">
        <w:rPr>
          <w:b/>
          <w:bCs/>
        </w:rPr>
        <w:t xml:space="preserve"> database</w:t>
      </w:r>
      <w:r>
        <w:rPr>
          <w:rFonts w:hint="eastAsia"/>
          <w:b/>
          <w:bCs/>
        </w:rPr>
        <w:t xml:space="preserve">. </w:t>
      </w:r>
      <w:r w:rsidRPr="004E3FD6">
        <w:t xml:space="preserve">Branch colours denote the dominant taxonomic composition of each clade: pale yellow, </w:t>
      </w:r>
      <w:r>
        <w:t>g</w:t>
      </w:r>
      <w:r w:rsidRPr="004E3FD6">
        <w:t xml:space="preserve">ammaproteobacteria I; yellow, </w:t>
      </w:r>
      <w:r>
        <w:t>g</w:t>
      </w:r>
      <w:r w:rsidRPr="004E3FD6">
        <w:t xml:space="preserve">ammaproteobacteria II; light purple, purple sulfur bacteria (PSB); pink, </w:t>
      </w:r>
      <w:r>
        <w:t>a</w:t>
      </w:r>
      <w:r w:rsidRPr="004E3FD6">
        <w:t xml:space="preserve">lphaproteobacteria; blue, PVC superphylum; slate blue, Proteobacteria III (a mixed clade comprising </w:t>
      </w:r>
      <w:r>
        <w:t>a</w:t>
      </w:r>
      <w:r w:rsidRPr="004E3FD6">
        <w:t xml:space="preserve">lphaproteobacteria III and </w:t>
      </w:r>
      <w:r>
        <w:t>g</w:t>
      </w:r>
      <w:r w:rsidRPr="004E3FD6">
        <w:t xml:space="preserve">ammaproteobacteria III); green, </w:t>
      </w:r>
      <w:r>
        <w:t>c</w:t>
      </w:r>
      <w:r w:rsidRPr="004E3FD6">
        <w:t xml:space="preserve">yanobacteria; ochre, </w:t>
      </w:r>
      <w:r>
        <w:t>B</w:t>
      </w:r>
      <w:r w:rsidRPr="004E3FD6">
        <w:t>acteroidota. The tree was inferred with IQ-TREE from an amino-acid alignment and is shown as an unrooted topology.</w:t>
      </w:r>
    </w:p>
    <w:p w14:paraId="153FEE58" w14:textId="77777777" w:rsidR="00123633" w:rsidRDefault="00123633" w:rsidP="00123633">
      <w:pPr>
        <w:sectPr w:rsidR="00123633" w:rsidSect="0012363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50A75493" w14:textId="77777777" w:rsidR="00123633" w:rsidRDefault="00123633" w:rsidP="00123633">
      <w:r>
        <w:rPr>
          <w:rFonts w:hint="eastAsia"/>
          <w:noProof/>
        </w:rPr>
        <w:lastRenderedPageBreak/>
        <w:drawing>
          <wp:inline distT="0" distB="0" distL="0" distR="0" wp14:anchorId="39D63376" wp14:editId="32577076">
            <wp:extent cx="5270500" cy="4724400"/>
            <wp:effectExtent l="0" t="0" r="6350" b="0"/>
            <wp:docPr id="12" name="图片 12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 close-up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4647E" w14:textId="77777777" w:rsidR="00123633" w:rsidRPr="0050125B" w:rsidRDefault="00123633" w:rsidP="00123633">
      <w:pPr>
        <w:rPr>
          <w:b/>
          <w:bCs/>
        </w:rPr>
      </w:pPr>
      <w:r>
        <w:rPr>
          <w:b/>
          <w:bCs/>
        </w:rPr>
        <w:t>Extended Data</w:t>
      </w:r>
      <w:r w:rsidRPr="0050125B">
        <w:rPr>
          <w:b/>
          <w:bCs/>
        </w:rPr>
        <w:t xml:space="preserve"> Fig</w:t>
      </w:r>
      <w:r>
        <w:rPr>
          <w:b/>
          <w:bCs/>
        </w:rPr>
        <w:t>.</w:t>
      </w:r>
      <w:r w:rsidRPr="0050125B">
        <w:rPr>
          <w:b/>
          <w:bCs/>
        </w:rPr>
        <w:t xml:space="preserve"> </w:t>
      </w:r>
      <w:r>
        <w:rPr>
          <w:rFonts w:eastAsiaTheme="minorEastAsia" w:hint="eastAsia"/>
          <w:b/>
          <w:bCs/>
        </w:rPr>
        <w:t>2</w:t>
      </w:r>
      <w:r w:rsidRPr="0050125B">
        <w:rPr>
          <w:b/>
          <w:bCs/>
        </w:rPr>
        <w:t xml:space="preserve"> </w:t>
      </w:r>
    </w:p>
    <w:p w14:paraId="2C700E7D" w14:textId="77777777" w:rsidR="00123633" w:rsidRPr="00A71E46" w:rsidRDefault="00123633" w:rsidP="00123633">
      <w:r w:rsidRPr="00A71E46">
        <w:rPr>
          <w:b/>
          <w:bCs/>
        </w:rPr>
        <w:t>Pruned maximum-likelihood phylogeny of SufE homologues with HCO (heme</w:t>
      </w:r>
      <w:r>
        <w:rPr>
          <w:rFonts w:eastAsiaTheme="minorEastAsia" w:hint="eastAsia"/>
          <w:b/>
          <w:bCs/>
        </w:rPr>
        <w:t>-</w:t>
      </w:r>
      <w:r w:rsidRPr="00A71E46">
        <w:rPr>
          <w:b/>
          <w:bCs/>
        </w:rPr>
        <w:t>copper oxidase) annotations</w:t>
      </w:r>
      <w:r>
        <w:rPr>
          <w:rFonts w:hint="eastAsia"/>
          <w:b/>
          <w:bCs/>
        </w:rPr>
        <w:t xml:space="preserve">. </w:t>
      </w:r>
      <w:r w:rsidRPr="00A71E46">
        <w:t>No outgroup was used; the tree was rooted with the MinVar method and visualized in iTOL. The yellow</w:t>
      </w:r>
      <w:r w:rsidRPr="00A71E46">
        <w:noBreakHyphen/>
        <w:t xml:space="preserve">shaded clade marks the target lineage for molecular dating. Six concentric annotation rings are shown from the innermost to </w:t>
      </w:r>
      <w:r>
        <w:t xml:space="preserve">the </w:t>
      </w:r>
      <w:r w:rsidRPr="00A71E46">
        <w:t>outermost:</w:t>
      </w:r>
      <w:r>
        <w:rPr>
          <w:rFonts w:hint="eastAsia"/>
        </w:rPr>
        <w:t xml:space="preserve"> 1) P</w:t>
      </w:r>
      <w:r w:rsidRPr="00A71E46">
        <w:t xml:space="preserve">resence of Cys at alignment position 27 </w:t>
      </w:r>
      <w:r>
        <w:rPr>
          <w:rFonts w:hint="eastAsia"/>
        </w:rPr>
        <w:t xml:space="preserve">in </w:t>
      </w:r>
      <w:r w:rsidRPr="00A71E46">
        <w:t>dark green.</w:t>
      </w:r>
      <w:r>
        <w:rPr>
          <w:rFonts w:hint="eastAsia"/>
        </w:rPr>
        <w:t xml:space="preserve"> 2)</w:t>
      </w:r>
      <w:r w:rsidRPr="00A71E46">
        <w:t xml:space="preserve"> Pfam HMM validation</w:t>
      </w:r>
      <w:r>
        <w:rPr>
          <w:rFonts w:hint="eastAsia"/>
        </w:rPr>
        <w:t xml:space="preserve">, </w:t>
      </w:r>
      <w:r w:rsidRPr="00A71E46">
        <w:t xml:space="preserve">CsdE </w:t>
      </w:r>
      <w:r>
        <w:rPr>
          <w:rFonts w:hint="eastAsia"/>
        </w:rPr>
        <w:t xml:space="preserve">in </w:t>
      </w:r>
      <w:r w:rsidRPr="00A71E46">
        <w:t xml:space="preserve">blue and SufE </w:t>
      </w:r>
      <w:r>
        <w:rPr>
          <w:rFonts w:hint="eastAsia"/>
        </w:rPr>
        <w:t xml:space="preserve">in </w:t>
      </w:r>
      <w:r w:rsidRPr="00A71E46">
        <w:t>magenta</w:t>
      </w:r>
      <w:r>
        <w:rPr>
          <w:rFonts w:hint="eastAsia"/>
        </w:rPr>
        <w:t xml:space="preserve">. 3) </w:t>
      </w:r>
      <w:r w:rsidRPr="00A71E46">
        <w:t>HCO repertoire</w:t>
      </w:r>
      <w:r>
        <w:rPr>
          <w:rFonts w:hint="eastAsia"/>
        </w:rPr>
        <w:t xml:space="preserve">, </w:t>
      </w:r>
      <w:r w:rsidRPr="00A71E46">
        <w:t>presence of oxygen‑reducing A, B1, and C</w:t>
      </w:r>
      <w:r>
        <w:rPr>
          <w:rFonts w:hint="eastAsia"/>
        </w:rPr>
        <w:t xml:space="preserve"> t</w:t>
      </w:r>
      <w:r w:rsidRPr="00A71E46">
        <w:t>ype heme</w:t>
      </w:r>
      <w:r>
        <w:rPr>
          <w:rFonts w:eastAsiaTheme="minorEastAsia" w:hint="eastAsia"/>
        </w:rPr>
        <w:t>-</w:t>
      </w:r>
      <w:r w:rsidRPr="00A71E46">
        <w:t>copper oxidases.</w:t>
      </w:r>
      <w:r>
        <w:rPr>
          <w:rFonts w:hint="eastAsia"/>
        </w:rPr>
        <w:t xml:space="preserve"> 4) </w:t>
      </w:r>
      <w:r w:rsidRPr="00A71E46">
        <w:t>Phylum</w:t>
      </w:r>
      <w:r>
        <w:rPr>
          <w:rFonts w:hint="eastAsia"/>
        </w:rPr>
        <w:t xml:space="preserve">, </w:t>
      </w:r>
      <w:r w:rsidRPr="00A71E46">
        <w:t>Proteobacteria (pale yellow), Cyanobacteria (green), Bacteroidetes (blue).</w:t>
      </w:r>
      <w:r>
        <w:rPr>
          <w:rFonts w:hint="eastAsia"/>
        </w:rPr>
        <w:t xml:space="preserve"> 5) </w:t>
      </w:r>
      <w:r w:rsidRPr="00A71E46">
        <w:t>Class</w:t>
      </w:r>
      <w:r>
        <w:rPr>
          <w:rFonts w:hint="eastAsia"/>
        </w:rPr>
        <w:t xml:space="preserve">, </w:t>
      </w:r>
      <w:r w:rsidRPr="00A71E46">
        <w:t>Alphaproteobacteria (red), Gammaproteobacteria (pale green), Bacteroidetes classes in graded light‑blue hues; Cyanobacteria lack a stable class‑level assignment here and are detailed at the order level</w:t>
      </w:r>
      <w:r>
        <w:rPr>
          <w:rFonts w:hint="eastAsia"/>
        </w:rPr>
        <w:t xml:space="preserve">. 6) </w:t>
      </w:r>
      <w:r w:rsidRPr="00A71E46">
        <w:t>Order</w:t>
      </w:r>
      <w:r>
        <w:rPr>
          <w:rFonts w:hint="eastAsia"/>
        </w:rPr>
        <w:t xml:space="preserve">, </w:t>
      </w:r>
      <w:r w:rsidRPr="00A71E46">
        <w:t>color brightness modulated within each class to distinguish orders (see key on the figure).</w:t>
      </w:r>
    </w:p>
    <w:p w14:paraId="61E8ADA5" w14:textId="77777777" w:rsidR="00123633" w:rsidRPr="00A8495D" w:rsidRDefault="00123633" w:rsidP="00123633">
      <w:pPr>
        <w:rPr>
          <w:rFonts w:eastAsiaTheme="minorEastAsia"/>
        </w:rPr>
        <w:sectPr w:rsidR="00123633" w:rsidRPr="00A8495D" w:rsidSect="0012363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365A83C9" w14:textId="77777777" w:rsidR="00123633" w:rsidRDefault="00123633" w:rsidP="00123633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53C1BD6" wp14:editId="5F823D0D">
            <wp:simplePos x="0" y="0"/>
            <wp:positionH relativeFrom="margin">
              <wp:align>center</wp:align>
            </wp:positionH>
            <wp:positionV relativeFrom="paragraph">
              <wp:posOffset>163195</wp:posOffset>
            </wp:positionV>
            <wp:extent cx="4837430" cy="7117715"/>
            <wp:effectExtent l="0" t="0" r="1270" b="6985"/>
            <wp:wrapTopAndBottom/>
            <wp:docPr id="4" name="图片 4" descr="A graph of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 graph of different colored sha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7761" cy="711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7E7EA0" w14:textId="77777777" w:rsidR="00123633" w:rsidRPr="0050125B" w:rsidRDefault="00123633" w:rsidP="00123633">
      <w:pPr>
        <w:rPr>
          <w:b/>
          <w:bCs/>
        </w:rPr>
      </w:pPr>
      <w:r>
        <w:rPr>
          <w:b/>
          <w:bCs/>
        </w:rPr>
        <w:t>Extended</w:t>
      </w:r>
      <w:r w:rsidRPr="0050125B">
        <w:rPr>
          <w:b/>
          <w:bCs/>
        </w:rPr>
        <w:t xml:space="preserve"> </w:t>
      </w:r>
      <w:r>
        <w:rPr>
          <w:b/>
          <w:bCs/>
        </w:rPr>
        <w:t xml:space="preserve">Data </w:t>
      </w:r>
      <w:r w:rsidRPr="0050125B">
        <w:rPr>
          <w:b/>
          <w:bCs/>
        </w:rPr>
        <w:t>Fig</w:t>
      </w:r>
      <w:r>
        <w:rPr>
          <w:b/>
          <w:bCs/>
        </w:rPr>
        <w:t>.</w:t>
      </w:r>
      <w:r w:rsidRPr="0050125B">
        <w:rPr>
          <w:b/>
          <w:bCs/>
        </w:rPr>
        <w:t xml:space="preserve"> </w:t>
      </w:r>
      <w:r>
        <w:rPr>
          <w:rFonts w:eastAsiaTheme="minorEastAsia" w:hint="eastAsia"/>
          <w:b/>
          <w:bCs/>
        </w:rPr>
        <w:t>3</w:t>
      </w:r>
      <w:r w:rsidRPr="0050125B">
        <w:rPr>
          <w:b/>
          <w:bCs/>
        </w:rPr>
        <w:t xml:space="preserve"> </w:t>
      </w:r>
    </w:p>
    <w:p w14:paraId="14CC9A57" w14:textId="77777777" w:rsidR="00123633" w:rsidRDefault="00123633" w:rsidP="00123633">
      <w:r w:rsidRPr="00D5754E">
        <w:rPr>
          <w:b/>
          <w:bCs/>
        </w:rPr>
        <w:t>Violin plots of divergence time estimate for key nodes</w:t>
      </w:r>
      <w:r>
        <w:rPr>
          <w:rFonts w:hint="eastAsia"/>
          <w:b/>
          <w:bCs/>
        </w:rPr>
        <w:t xml:space="preserve">. </w:t>
      </w:r>
      <w:r w:rsidRPr="00D5754E">
        <w:t>Results are shown for the</w:t>
      </w:r>
      <w:r>
        <w:rPr>
          <w:rFonts w:eastAsiaTheme="minorEastAsia" w:hint="eastAsia"/>
        </w:rPr>
        <w:t xml:space="preserve"> </w:t>
      </w:r>
      <w:r w:rsidRPr="003D286D">
        <w:rPr>
          <w:rFonts w:eastAsiaTheme="minorEastAsia"/>
        </w:rPr>
        <w:t>mitochondria</w:t>
      </w:r>
      <w:r>
        <w:rPr>
          <w:rFonts w:eastAsiaTheme="minorEastAsia" w:hint="eastAsia"/>
        </w:rPr>
        <w:t>-</w:t>
      </w:r>
      <w:r w:rsidRPr="003D286D">
        <w:rPr>
          <w:rFonts w:eastAsiaTheme="minorEastAsia"/>
        </w:rPr>
        <w:t xml:space="preserve">alphaproteobacteria </w:t>
      </w:r>
      <w:r w:rsidRPr="00D5754E">
        <w:t xml:space="preserve">topology </w:t>
      </w:r>
      <w:r>
        <w:rPr>
          <w:rFonts w:eastAsiaTheme="minorEastAsia" w:hint="eastAsia"/>
        </w:rPr>
        <w:t>1 (TP1)</w:t>
      </w:r>
      <w:r w:rsidRPr="00385996">
        <w:rPr>
          <w:rFonts w:eastAsiaTheme="minorEastAsia"/>
          <w:noProof/>
          <w:vertAlign w:val="superscript"/>
        </w:rPr>
        <w:t xml:space="preserve"> 59</w:t>
      </w:r>
      <w:r>
        <w:rPr>
          <w:rFonts w:eastAsiaTheme="minorEastAsia" w:hint="eastAsia"/>
        </w:rPr>
        <w:t xml:space="preserve"> </w:t>
      </w:r>
      <w:r w:rsidRPr="00D5754E">
        <w:t>only</w:t>
      </w:r>
      <w:r>
        <w:rPr>
          <w:rFonts w:hint="eastAsia"/>
        </w:rPr>
        <w:t xml:space="preserve"> (</w:t>
      </w:r>
      <w:r>
        <w:t xml:space="preserve">Supplementary Information </w:t>
      </w:r>
      <w:r>
        <w:rPr>
          <w:rFonts w:hint="eastAsia"/>
        </w:rPr>
        <w:t xml:space="preserve">Table </w:t>
      </w:r>
      <w:r>
        <w:rPr>
          <w:rFonts w:eastAsiaTheme="minorEastAsia" w:hint="eastAsia"/>
        </w:rPr>
        <w:t xml:space="preserve">S1, </w:t>
      </w:r>
      <w:r>
        <w:rPr>
          <w:rFonts w:hint="eastAsia"/>
        </w:rPr>
        <w:t>S2, Method)</w:t>
      </w:r>
      <w:r w:rsidRPr="00D5754E">
        <w:t xml:space="preserve">. The top panel reports the product of the fitted linear slope and </w:t>
      </w:r>
      <w:r w:rsidRPr="00D5754E">
        <w:rPr>
          <w:i/>
          <w:iCs/>
        </w:rPr>
        <w:t>R</w:t>
      </w:r>
      <w:r w:rsidRPr="00D5754E">
        <w:t>² from the infinite</w:t>
      </w:r>
      <w:r w:rsidRPr="00D5754E">
        <w:noBreakHyphen/>
        <w:t xml:space="preserve">sites test; </w:t>
      </w:r>
      <w:r>
        <w:t xml:space="preserve">the </w:t>
      </w:r>
      <w:r w:rsidRPr="00D5754E">
        <w:t>smaller values indicate better compliance with the infinite</w:t>
      </w:r>
      <w:r w:rsidRPr="00D5754E">
        <w:noBreakHyphen/>
        <w:t xml:space="preserve">sites </w:t>
      </w:r>
      <w:r w:rsidRPr="00D5754E">
        <w:lastRenderedPageBreak/>
        <w:t>expectation</w:t>
      </w:r>
      <w:r>
        <w:rPr>
          <w:rFonts w:hint="eastAsia"/>
        </w:rPr>
        <w:t xml:space="preserve"> </w:t>
      </w:r>
      <w:r w:rsidRPr="00D5754E">
        <w:t>and are arranged left</w:t>
      </w:r>
      <w:r w:rsidRPr="00D5754E">
        <w:noBreakHyphen/>
        <w:t>to</w:t>
      </w:r>
      <w:r w:rsidRPr="00D5754E">
        <w:noBreakHyphen/>
        <w:t>right in ascending order. The four violin plots compare auto</w:t>
      </w:r>
      <w:r w:rsidRPr="00D5754E">
        <w:noBreakHyphen/>
        <w:t>correlated rate (AR) models (left) with independent rate (IR) models (right</w:t>
      </w:r>
      <w:r>
        <w:rPr>
          <w:rFonts w:hint="eastAsia"/>
        </w:rPr>
        <w:t>, in grey</w:t>
      </w:r>
      <w:r w:rsidRPr="00D5754E">
        <w:t>). The grey band marks 2.32</w:t>
      </w:r>
      <w:r>
        <w:rPr>
          <w:rFonts w:eastAsiaTheme="minorEastAsia" w:hint="eastAsia"/>
        </w:rPr>
        <w:t>-</w:t>
      </w:r>
      <w:r w:rsidRPr="00D5754E">
        <w:t>2.50 Ga, the interval of the Great Oxygenation Event (GOE)</w:t>
      </w:r>
      <w:r w:rsidRPr="00F84F8F">
        <w:rPr>
          <w:noProof/>
          <w:vertAlign w:val="superscript"/>
        </w:rPr>
        <w:t xml:space="preserve"> 2</w:t>
      </w:r>
      <w:r w:rsidRPr="00D5754E">
        <w:t>.</w:t>
      </w:r>
      <w:r>
        <w:t xml:space="preserve"> </w:t>
      </w:r>
      <w:r w:rsidRPr="00D5754E">
        <w:t>The IR results, consistent with their lower marginal likelihoods, perform worse than AR</w:t>
      </w:r>
      <w:r>
        <w:rPr>
          <w:rFonts w:hint="eastAsia"/>
        </w:rPr>
        <w:t xml:space="preserve"> (</w:t>
      </w:r>
      <w:r>
        <w:t xml:space="preserve">Supplementary Information </w:t>
      </w:r>
      <w:r>
        <w:rPr>
          <w:rFonts w:hint="eastAsia"/>
        </w:rPr>
        <w:t>Table S2)</w:t>
      </w:r>
      <w:r w:rsidRPr="00D5754E">
        <w:t>. In particular, the IR analyses place the origin of oxygenic Cyanobacteria overlapping, or even lagging, the GOE</w:t>
      </w:r>
      <w:r>
        <w:rPr>
          <w:rFonts w:hint="eastAsia"/>
        </w:rPr>
        <w:t xml:space="preserve">, </w:t>
      </w:r>
      <w:r w:rsidRPr="00D5754E">
        <w:t>contrary to prevailing consensus</w:t>
      </w:r>
      <w:r w:rsidRPr="00385996">
        <w:rPr>
          <w:noProof/>
          <w:vertAlign w:val="superscript"/>
        </w:rPr>
        <w:t>82</w:t>
      </w:r>
      <w:r>
        <w:rPr>
          <w:rFonts w:hint="eastAsia"/>
        </w:rPr>
        <w:t xml:space="preserve"> </w:t>
      </w:r>
      <w:r w:rsidRPr="00D5754E">
        <w:t>implying that IR estimates for SufE origin and related nodes may be biased. By contrast, AR models date oxygenic Cyanobacteria to 2.7</w:t>
      </w:r>
      <w:r>
        <w:rPr>
          <w:rFonts w:eastAsiaTheme="minorEastAsia" w:hint="eastAsia"/>
        </w:rPr>
        <w:t>-</w:t>
      </w:r>
      <w:r w:rsidRPr="00D5754E">
        <w:t>2.8 Ga, in line with geological constraints</w:t>
      </w:r>
      <w:r>
        <w:rPr>
          <w:rFonts w:hint="eastAsia"/>
        </w:rPr>
        <w:t xml:space="preserve"> </w:t>
      </w:r>
      <w:r w:rsidRPr="00D5754E">
        <w:t xml:space="preserve">and within the calibration bounds specified in </w:t>
      </w:r>
      <w:r w:rsidRPr="00CC6B06">
        <w:rPr>
          <w:rFonts w:eastAsiaTheme="minorEastAsia" w:hint="eastAsia"/>
        </w:rPr>
        <w:t xml:space="preserve">Supplementary Information </w:t>
      </w:r>
      <w:r>
        <w:rPr>
          <w:rFonts w:hint="eastAsia"/>
        </w:rPr>
        <w:t>Table S1</w:t>
      </w:r>
      <w:r w:rsidRPr="00D5754E">
        <w:t>, and place eukaryote origins at 1.2</w:t>
      </w:r>
      <w:r>
        <w:rPr>
          <w:rFonts w:eastAsiaTheme="minorEastAsia" w:hint="eastAsia"/>
        </w:rPr>
        <w:t>-</w:t>
      </w:r>
      <w:r w:rsidRPr="00D5754E">
        <w:t>1.4 Ga, consistent with prior molecular and fossil evidence</w:t>
      </w:r>
      <w:r w:rsidRPr="00385996">
        <w:rPr>
          <w:noProof/>
          <w:vertAlign w:val="superscript"/>
        </w:rPr>
        <w:t>60,83</w:t>
      </w:r>
      <w:r w:rsidRPr="00D5754E">
        <w:t>. Although these two nodes are most sensitive to calibration choices, their posterior ranges vary little across settings, underscoring the stability of the AR dating framework.</w:t>
      </w:r>
    </w:p>
    <w:p w14:paraId="0849C9C2" w14:textId="77777777" w:rsidR="00123633" w:rsidRDefault="00123633" w:rsidP="00123633">
      <w:pPr>
        <w:sectPr w:rsidR="00123633" w:rsidSect="0012363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11CDDC44" w14:textId="77777777" w:rsidR="00123633" w:rsidRDefault="00123633" w:rsidP="00123633">
      <w:r w:rsidRPr="001578EC">
        <w:rPr>
          <w:rFonts w:hint="eastAsia"/>
          <w:noProof/>
          <w:sz w:val="24"/>
        </w:rPr>
        <w:lastRenderedPageBreak/>
        <w:drawing>
          <wp:inline distT="0" distB="0" distL="0" distR="0" wp14:anchorId="53323D6F" wp14:editId="06723EF3">
            <wp:extent cx="5274310" cy="6292215"/>
            <wp:effectExtent l="0" t="0" r="2540" b="0"/>
            <wp:docPr id="9" name="图片 9" descr="A group of graphs showing different sizes and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 group of graphs showing different sizes and colo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9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7C671" w14:textId="77777777" w:rsidR="00123633" w:rsidRPr="0050125B" w:rsidRDefault="00123633" w:rsidP="00123633">
      <w:pPr>
        <w:rPr>
          <w:b/>
          <w:bCs/>
        </w:rPr>
      </w:pPr>
      <w:r>
        <w:rPr>
          <w:b/>
          <w:bCs/>
        </w:rPr>
        <w:t>Extended</w:t>
      </w:r>
      <w:r w:rsidRPr="0050125B">
        <w:rPr>
          <w:b/>
          <w:bCs/>
        </w:rPr>
        <w:t xml:space="preserve"> </w:t>
      </w:r>
      <w:r>
        <w:rPr>
          <w:b/>
          <w:bCs/>
        </w:rPr>
        <w:t xml:space="preserve">Data </w:t>
      </w:r>
      <w:r w:rsidRPr="0050125B">
        <w:rPr>
          <w:b/>
          <w:bCs/>
        </w:rPr>
        <w:t>Fig</w:t>
      </w:r>
      <w:r>
        <w:rPr>
          <w:b/>
          <w:bCs/>
        </w:rPr>
        <w:t>.</w:t>
      </w:r>
      <w:r w:rsidRPr="0050125B">
        <w:rPr>
          <w:b/>
          <w:bCs/>
        </w:rPr>
        <w:t xml:space="preserve"> </w:t>
      </w:r>
      <w:r>
        <w:rPr>
          <w:rFonts w:eastAsiaTheme="minorEastAsia" w:hint="eastAsia"/>
          <w:b/>
          <w:bCs/>
        </w:rPr>
        <w:t>4</w:t>
      </w:r>
      <w:r w:rsidRPr="0050125B">
        <w:rPr>
          <w:b/>
          <w:bCs/>
        </w:rPr>
        <w:t xml:space="preserve"> </w:t>
      </w:r>
    </w:p>
    <w:p w14:paraId="70D49731" w14:textId="77777777" w:rsidR="00123633" w:rsidRDefault="00123633" w:rsidP="00123633">
      <w:r w:rsidRPr="000F1EC9">
        <w:rPr>
          <w:b/>
          <w:bCs/>
        </w:rPr>
        <w:t>Posterior versus prior age distributions for key nodes</w:t>
      </w:r>
      <w:r>
        <w:rPr>
          <w:rFonts w:hint="eastAsia"/>
          <w:b/>
          <w:bCs/>
        </w:rPr>
        <w:t xml:space="preserve">. </w:t>
      </w:r>
      <w:r w:rsidRPr="000F1EC9">
        <w:t xml:space="preserve">The </w:t>
      </w:r>
      <w:r>
        <w:t>X</w:t>
      </w:r>
      <w:r w:rsidRPr="000F1EC9">
        <w:noBreakHyphen/>
        <w:t xml:space="preserve">axis is in 100 Ma </w:t>
      </w:r>
      <w:r>
        <w:rPr>
          <w:rFonts w:hint="eastAsia"/>
        </w:rPr>
        <w:t>unit</w:t>
      </w:r>
      <w:r w:rsidRPr="000F1EC9">
        <w:t xml:space="preserve">; within each column the </w:t>
      </w:r>
      <w:r>
        <w:t>X</w:t>
      </w:r>
      <w:r w:rsidRPr="000F1EC9">
        <w:noBreakHyphen/>
        <w:t xml:space="preserve">axis range is identical. </w:t>
      </w:r>
      <w:r>
        <w:t>The o</w:t>
      </w:r>
      <w:r w:rsidRPr="000F1EC9">
        <w:t xml:space="preserve">range curves show posterior age densities; </w:t>
      </w:r>
      <w:r>
        <w:t xml:space="preserve">the </w:t>
      </w:r>
      <w:r w:rsidRPr="000F1EC9">
        <w:t>blue curves show prior densities. The number in each panel denotes the posterior mode (age at maximum density). Rows correspond to alternative calibration schemes; columns correspond to focal nodes: Root, Cyanobacteria, Eukaryotes, SufE, and SufE</w:t>
      </w:r>
      <w:r>
        <w:rPr>
          <w:rFonts w:eastAsiaTheme="minorEastAsia" w:hint="eastAsia"/>
        </w:rPr>
        <w:t>-</w:t>
      </w:r>
      <w:r w:rsidRPr="000F1EC9">
        <w:t>LJE (the SufE node dated within the Lomagundi</w:t>
      </w:r>
      <w:r>
        <w:rPr>
          <w:rFonts w:eastAsiaTheme="minorEastAsia" w:hint="eastAsia"/>
        </w:rPr>
        <w:t>-</w:t>
      </w:r>
      <w:r w:rsidRPr="000F1EC9">
        <w:t>Jatuli Event interval).</w:t>
      </w:r>
      <w:r>
        <w:t xml:space="preserve"> </w:t>
      </w:r>
      <w:r w:rsidRPr="000F1EC9">
        <w:t>When the Root was constrained in C1/C2</w:t>
      </w:r>
      <w:r>
        <w:rPr>
          <w:rFonts w:hint="eastAsia"/>
        </w:rPr>
        <w:t xml:space="preserve"> (Calibration for </w:t>
      </w:r>
      <w:r>
        <w:rPr>
          <w:rFonts w:eastAsiaTheme="minorEastAsia" w:hint="eastAsia"/>
        </w:rPr>
        <w:t>prokaryotes</w:t>
      </w:r>
      <w:r>
        <w:rPr>
          <w:rFonts w:hint="eastAsia"/>
        </w:rPr>
        <w:t xml:space="preserve"> 1 and 2)</w:t>
      </w:r>
      <w:r w:rsidRPr="000F1EC9">
        <w:t xml:space="preserve"> (4.0</w:t>
      </w:r>
      <w:r>
        <w:rPr>
          <w:rFonts w:eastAsiaTheme="minorEastAsia" w:hint="eastAsia"/>
        </w:rPr>
        <w:t>-</w:t>
      </w:r>
      <w:r w:rsidRPr="000F1EC9">
        <w:t>4.5 Ga), posteriors were broad and unstable relative to C3</w:t>
      </w:r>
      <w:r>
        <w:rPr>
          <w:rFonts w:eastAsiaTheme="minorEastAsia" w:hint="eastAsia"/>
        </w:rPr>
        <w:t>-</w:t>
      </w:r>
      <w:r w:rsidRPr="000F1EC9">
        <w:t xml:space="preserve">C6, with bimodal Root posteriors mirroring the priors, indicating that the sequence data provided little effective information and that the Bayesian </w:t>
      </w:r>
      <w:r w:rsidRPr="000F1EC9">
        <w:lastRenderedPageBreak/>
        <w:t>estimates are unreliable under these settings. We therefore exclude C1/C2 from interpretation. In C3/C4 (3.5</w:t>
      </w:r>
      <w:r>
        <w:rPr>
          <w:rFonts w:eastAsiaTheme="minorEastAsia" w:hint="eastAsia"/>
        </w:rPr>
        <w:t>-</w:t>
      </w:r>
      <w:r w:rsidRPr="000F1EC9">
        <w:t>4.0 Ga), the Root posterior is right</w:t>
      </w:r>
      <w:r w:rsidRPr="000F1EC9">
        <w:noBreakHyphen/>
        <w:t>skewed and concentrated near 3.5 Ga, a consequence of the strong upper</w:t>
      </w:r>
      <w:r>
        <w:rPr>
          <w:rFonts w:eastAsiaTheme="minorEastAsia" w:hint="eastAsia"/>
        </w:rPr>
        <w:t>-</w:t>
      </w:r>
      <w:r w:rsidRPr="000F1EC9">
        <w:t>lower bounds imposed on the root. By contrast, C5/C6 (3.0</w:t>
      </w:r>
      <w:r>
        <w:rPr>
          <w:rFonts w:eastAsiaTheme="minorEastAsia" w:hint="eastAsia"/>
        </w:rPr>
        <w:t>-</w:t>
      </w:r>
      <w:r w:rsidRPr="000F1EC9">
        <w:t>3.5 Ga) yield well</w:t>
      </w:r>
      <w:r w:rsidRPr="000F1EC9">
        <w:noBreakHyphen/>
        <w:t>behaved Root posteriors that are approximately normal and centered near 3.3 Ga. Under C5/C6, other key nodes are consistent across calibrations: oxygenic Cyanobacteria ~2.73 Ga, Eukaryotes ~1.22 Ga, SufE ~2.67 Ga, and SufE</w:t>
      </w:r>
      <w:r>
        <w:rPr>
          <w:rFonts w:eastAsiaTheme="minorEastAsia" w:hint="eastAsia"/>
        </w:rPr>
        <w:t>-</w:t>
      </w:r>
      <w:r w:rsidRPr="000F1EC9">
        <w:t xml:space="preserve">LJE ~2.14 Ga. Notably, Euk1 versus Euk2 alters the </w:t>
      </w:r>
      <w:r w:rsidRPr="000F1EC9">
        <w:rPr>
          <w:i/>
          <w:iCs/>
        </w:rPr>
        <w:t>prior</w:t>
      </w:r>
      <w:r w:rsidRPr="000F1EC9">
        <w:t xml:space="preserve"> on eukaryote origin but leaves the </w:t>
      </w:r>
      <w:r w:rsidRPr="000F1EC9">
        <w:rPr>
          <w:i/>
          <w:iCs/>
        </w:rPr>
        <w:t>posterior</w:t>
      </w:r>
      <w:r w:rsidRPr="000F1EC9">
        <w:t xml:space="preserve"> essentially unchanged, demonstrating that the sequence data dominate the estimate. For SufE, the near</w:t>
      </w:r>
      <w:r w:rsidRPr="000F1EC9">
        <w:noBreakHyphen/>
        <w:t>overlap of prior and posterior peaks indicates concordance between calibrations and molecular signal. Given the overall agreement and statistical performance, we adopt C5</w:t>
      </w:r>
      <w:r>
        <w:rPr>
          <w:rFonts w:hint="eastAsia"/>
        </w:rPr>
        <w:t xml:space="preserve"> </w:t>
      </w:r>
      <w:r w:rsidRPr="000F1EC9">
        <w:t>Euk1</w:t>
      </w:r>
      <w:r>
        <w:rPr>
          <w:rFonts w:hint="eastAsia"/>
        </w:rPr>
        <w:t xml:space="preserve">, </w:t>
      </w:r>
      <w:r w:rsidRPr="000F1EC9">
        <w:t xml:space="preserve">which also </w:t>
      </w:r>
      <w:r>
        <w:rPr>
          <w:rFonts w:hint="eastAsia"/>
        </w:rPr>
        <w:t>ha</w:t>
      </w:r>
      <w:r>
        <w:t>s</w:t>
      </w:r>
      <w:r w:rsidRPr="000F1EC9">
        <w:t xml:space="preserve"> the highest marginal likelihood</w:t>
      </w:r>
      <w:r>
        <w:rPr>
          <w:rFonts w:hint="eastAsia"/>
        </w:rPr>
        <w:t xml:space="preserve">, </w:t>
      </w:r>
      <w:r w:rsidRPr="000F1EC9">
        <w:t>for presentation of the dated phylogeny.</w:t>
      </w:r>
    </w:p>
    <w:p w14:paraId="26B93135" w14:textId="77777777" w:rsidR="00123633" w:rsidRPr="00A8495D" w:rsidRDefault="00123633" w:rsidP="00123633">
      <w:pPr>
        <w:rPr>
          <w:rFonts w:eastAsiaTheme="minorEastAsia"/>
        </w:rPr>
        <w:sectPr w:rsidR="00123633" w:rsidRPr="00A8495D" w:rsidSect="0012363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9A18237" w14:textId="77777777" w:rsidR="00123633" w:rsidRDefault="00123633" w:rsidP="00123633">
      <w:r>
        <w:rPr>
          <w:rFonts w:hint="eastAsia"/>
          <w:noProof/>
        </w:rPr>
        <w:lastRenderedPageBreak/>
        <w:drawing>
          <wp:inline distT="0" distB="0" distL="0" distR="0" wp14:anchorId="43191D81" wp14:editId="67E5979D">
            <wp:extent cx="5196035" cy="3209813"/>
            <wp:effectExtent l="0" t="0" r="5080" b="0"/>
            <wp:docPr id="6" name="图片 6" descr="A close-up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 close-up of a 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035" cy="3209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D4828" w14:textId="77777777" w:rsidR="00123633" w:rsidRPr="0050125B" w:rsidRDefault="00123633" w:rsidP="00123633">
      <w:pPr>
        <w:rPr>
          <w:b/>
          <w:bCs/>
        </w:rPr>
      </w:pPr>
      <w:r>
        <w:rPr>
          <w:b/>
          <w:bCs/>
        </w:rPr>
        <w:t>Extended Data</w:t>
      </w:r>
      <w:r w:rsidRPr="0050125B">
        <w:rPr>
          <w:b/>
          <w:bCs/>
        </w:rPr>
        <w:t xml:space="preserve"> Fig</w:t>
      </w:r>
      <w:r>
        <w:rPr>
          <w:b/>
          <w:bCs/>
        </w:rPr>
        <w:t xml:space="preserve">. </w:t>
      </w:r>
      <w:r>
        <w:rPr>
          <w:rFonts w:hint="eastAsia"/>
          <w:b/>
          <w:bCs/>
        </w:rPr>
        <w:t>5</w:t>
      </w:r>
      <w:r w:rsidRPr="0050125B">
        <w:rPr>
          <w:b/>
          <w:bCs/>
        </w:rPr>
        <w:t xml:space="preserve"> </w:t>
      </w:r>
    </w:p>
    <w:p w14:paraId="7C95E7A4" w14:textId="77777777" w:rsidR="00123633" w:rsidRPr="003C2092" w:rsidRDefault="00123633" w:rsidP="00123633">
      <w:pPr>
        <w:spacing w:after="0" w:line="360" w:lineRule="auto"/>
        <w:rPr>
          <w:rFonts w:eastAsiaTheme="minorEastAsia" w:cs="Times New Roman"/>
          <w:b/>
          <w:bCs/>
        </w:rPr>
      </w:pPr>
      <w:r w:rsidRPr="00B518B9">
        <w:rPr>
          <w:rFonts w:cs="Times New Roman"/>
          <w:b/>
          <w:bCs/>
        </w:rPr>
        <w:t>Sequence alignment of ancestral and modern SufE proteins.</w:t>
      </w:r>
      <w:r w:rsidRPr="00B518B9">
        <w:rPr>
          <w:rFonts w:cs="Times New Roman"/>
        </w:rPr>
        <w:t xml:space="preserve"> </w:t>
      </w:r>
      <w:r w:rsidRPr="003D69FC">
        <w:rPr>
          <w:rFonts w:cs="Times New Roman"/>
          <w:sz w:val="24"/>
          <w:szCs w:val="28"/>
        </w:rPr>
        <w:t>Multiple sequence alignment of representative SufE: SufE</w:t>
      </w:r>
      <w:r w:rsidRPr="003D69FC">
        <w:rPr>
          <w:rFonts w:eastAsiaTheme="minorEastAsia" w:cs="Times New Roman" w:hint="eastAsia"/>
          <w:sz w:val="24"/>
          <w:szCs w:val="28"/>
          <w:vertAlign w:val="superscript"/>
        </w:rPr>
        <w:t>LCA</w:t>
      </w:r>
      <w:r w:rsidRPr="003D69FC">
        <w:rPr>
          <w:rFonts w:cs="Times New Roman"/>
          <w:sz w:val="24"/>
          <w:szCs w:val="28"/>
        </w:rPr>
        <w:t xml:space="preserve"> </w:t>
      </w:r>
      <w:r w:rsidRPr="003D69FC">
        <w:rPr>
          <w:rFonts w:cs="Times New Roman" w:hint="eastAsia"/>
          <w:sz w:val="24"/>
          <w:szCs w:val="28"/>
        </w:rPr>
        <w:t>is the ancestor sequence of last common ancestor</w:t>
      </w:r>
      <w:r w:rsidRPr="003D69FC">
        <w:rPr>
          <w:rFonts w:cs="Times New Roman"/>
          <w:sz w:val="24"/>
          <w:szCs w:val="28"/>
        </w:rPr>
        <w:t xml:space="preserve">, </w:t>
      </w:r>
      <w:r w:rsidRPr="003D69FC">
        <w:rPr>
          <w:rFonts w:cs="Times New Roman" w:hint="eastAsia"/>
          <w:sz w:val="24"/>
          <w:szCs w:val="28"/>
        </w:rPr>
        <w:t>SufE</w:t>
      </w:r>
      <w:r w:rsidRPr="003D69FC">
        <w:rPr>
          <w:rFonts w:cs="Times New Roman"/>
          <w:sz w:val="24"/>
          <w:szCs w:val="28"/>
          <w:vertAlign w:val="superscript"/>
        </w:rPr>
        <w:t>GOE</w:t>
      </w:r>
      <w:r w:rsidRPr="003D69FC">
        <w:rPr>
          <w:rFonts w:cs="Times New Roman" w:hint="eastAsia"/>
          <w:sz w:val="24"/>
          <w:szCs w:val="28"/>
        </w:rPr>
        <w:t xml:space="preserve"> is the ancestor sequence at GOE</w:t>
      </w:r>
      <w:r w:rsidRPr="003D69FC">
        <w:rPr>
          <w:rFonts w:cs="Times New Roman"/>
          <w:sz w:val="24"/>
          <w:szCs w:val="28"/>
        </w:rPr>
        <w:t xml:space="preserve">, and </w:t>
      </w:r>
      <w:r w:rsidRPr="003D69FC">
        <w:rPr>
          <w:rFonts w:cs="Times New Roman"/>
          <w:i/>
          <w:iCs/>
          <w:sz w:val="24"/>
          <w:szCs w:val="28"/>
        </w:rPr>
        <w:t>E. coli</w:t>
      </w:r>
      <w:r w:rsidRPr="003D69FC">
        <w:rPr>
          <w:rFonts w:cs="Times New Roman"/>
          <w:sz w:val="24"/>
          <w:szCs w:val="28"/>
        </w:rPr>
        <w:t xml:space="preserve"> </w:t>
      </w:r>
      <w:r w:rsidRPr="003D69FC">
        <w:rPr>
          <w:rFonts w:cs="Times New Roman" w:hint="eastAsia"/>
          <w:sz w:val="24"/>
          <w:szCs w:val="28"/>
        </w:rPr>
        <w:t>K12</w:t>
      </w:r>
      <w:r w:rsidRPr="003D69FC">
        <w:rPr>
          <w:rFonts w:cs="Times New Roman"/>
          <w:sz w:val="24"/>
          <w:szCs w:val="28"/>
        </w:rPr>
        <w:t xml:space="preserve"> SufE</w:t>
      </w:r>
      <w:r w:rsidRPr="003D69FC">
        <w:rPr>
          <w:rFonts w:cs="Times New Roman"/>
          <w:sz w:val="24"/>
          <w:szCs w:val="28"/>
          <w:vertAlign w:val="superscript"/>
        </w:rPr>
        <w:t>modern</w:t>
      </w:r>
      <w:r w:rsidRPr="003D69FC">
        <w:rPr>
          <w:rFonts w:cs="Times New Roman"/>
          <w:sz w:val="24"/>
          <w:szCs w:val="28"/>
        </w:rPr>
        <w:t xml:space="preserve">. </w:t>
      </w:r>
      <w:r w:rsidRPr="003D69FC">
        <w:rPr>
          <w:rFonts w:cs="Times New Roman" w:hint="eastAsia"/>
          <w:sz w:val="24"/>
          <w:szCs w:val="28"/>
        </w:rPr>
        <w:t xml:space="preserve">Other clades sequences are also included such as </w:t>
      </w:r>
      <w:r w:rsidRPr="003D69FC">
        <w:rPr>
          <w:rFonts w:cs="Times New Roman"/>
          <w:sz w:val="24"/>
          <w:szCs w:val="28"/>
        </w:rPr>
        <w:t xml:space="preserve">gammaproteobacteria clade II: </w:t>
      </w:r>
      <w:r w:rsidRPr="003D69FC">
        <w:rPr>
          <w:rFonts w:cs="Times New Roman"/>
          <w:i/>
          <w:iCs/>
          <w:sz w:val="24"/>
          <w:szCs w:val="28"/>
        </w:rPr>
        <w:t>Dickeya dadantii</w:t>
      </w:r>
      <w:r w:rsidRPr="003D69FC">
        <w:rPr>
          <w:rFonts w:cs="Times New Roman"/>
          <w:sz w:val="24"/>
          <w:szCs w:val="28"/>
        </w:rPr>
        <w:t xml:space="preserve">, </w:t>
      </w:r>
      <w:r w:rsidRPr="003D69FC">
        <w:rPr>
          <w:rFonts w:cs="Times New Roman"/>
          <w:i/>
          <w:iCs/>
          <w:sz w:val="24"/>
          <w:szCs w:val="28"/>
        </w:rPr>
        <w:t>Salmonella paratyphi</w:t>
      </w:r>
      <w:r w:rsidRPr="003D69FC">
        <w:rPr>
          <w:rFonts w:cs="Times New Roman"/>
          <w:sz w:val="24"/>
          <w:szCs w:val="28"/>
        </w:rPr>
        <w:t xml:space="preserve">, </w:t>
      </w:r>
      <w:r w:rsidRPr="003D69FC">
        <w:rPr>
          <w:rFonts w:cs="Times New Roman"/>
          <w:i/>
          <w:iCs/>
          <w:sz w:val="24"/>
          <w:szCs w:val="28"/>
        </w:rPr>
        <w:t>Yersinia pestis</w:t>
      </w:r>
      <w:r w:rsidRPr="003D69FC">
        <w:rPr>
          <w:rFonts w:cs="Times New Roman"/>
          <w:sz w:val="24"/>
          <w:szCs w:val="28"/>
        </w:rPr>
        <w:t xml:space="preserve">, </w:t>
      </w:r>
      <w:r w:rsidRPr="003D69FC">
        <w:rPr>
          <w:rFonts w:cs="Times New Roman"/>
          <w:i/>
          <w:iCs/>
          <w:sz w:val="24"/>
          <w:szCs w:val="28"/>
        </w:rPr>
        <w:t xml:space="preserve">Psychromonas </w:t>
      </w:r>
      <w:r w:rsidRPr="003D69FC">
        <w:rPr>
          <w:rFonts w:cs="Times New Roman"/>
          <w:sz w:val="24"/>
          <w:szCs w:val="28"/>
        </w:rPr>
        <w:t>(</w:t>
      </w:r>
      <w:r w:rsidRPr="003D69FC">
        <w:rPr>
          <w:rFonts w:cs="Times New Roman" w:hint="eastAsia"/>
          <w:sz w:val="24"/>
          <w:szCs w:val="28"/>
        </w:rPr>
        <w:t xml:space="preserve">the </w:t>
      </w:r>
      <w:r w:rsidRPr="003D69FC">
        <w:rPr>
          <w:rFonts w:cs="Times New Roman"/>
          <w:sz w:val="24"/>
          <w:szCs w:val="28"/>
        </w:rPr>
        <w:t>basal one)</w:t>
      </w:r>
      <w:r w:rsidRPr="003D69FC">
        <w:rPr>
          <w:rFonts w:cs="Times New Roman" w:hint="eastAsia"/>
          <w:sz w:val="24"/>
          <w:szCs w:val="28"/>
        </w:rPr>
        <w:t>;</w:t>
      </w:r>
      <w:r w:rsidRPr="003D69FC">
        <w:rPr>
          <w:rFonts w:cs="Times New Roman"/>
          <w:sz w:val="24"/>
          <w:szCs w:val="28"/>
        </w:rPr>
        <w:t xml:space="preserve"> Anaerobic Bacteroidetes: </w:t>
      </w:r>
      <w:r w:rsidRPr="003D69FC">
        <w:rPr>
          <w:rFonts w:cs="Times New Roman"/>
          <w:i/>
          <w:iCs/>
          <w:sz w:val="24"/>
          <w:szCs w:val="28"/>
        </w:rPr>
        <w:t>Prevotella</w:t>
      </w:r>
      <w:r w:rsidRPr="003D69FC">
        <w:rPr>
          <w:rFonts w:cs="Times New Roman" w:hint="eastAsia"/>
          <w:sz w:val="24"/>
          <w:szCs w:val="28"/>
        </w:rPr>
        <w:t>;</w:t>
      </w:r>
      <w:r w:rsidRPr="003D69FC">
        <w:rPr>
          <w:rFonts w:cs="Times New Roman"/>
          <w:sz w:val="24"/>
          <w:szCs w:val="28"/>
        </w:rPr>
        <w:t xml:space="preserve"> Aerobic Cyanobacteria: </w:t>
      </w:r>
      <w:r w:rsidRPr="003D69FC">
        <w:rPr>
          <w:rFonts w:cs="Times New Roman"/>
          <w:i/>
          <w:iCs/>
          <w:sz w:val="24"/>
          <w:szCs w:val="28"/>
        </w:rPr>
        <w:t>Parasynechococcus</w:t>
      </w:r>
      <w:r w:rsidRPr="003D69FC">
        <w:rPr>
          <w:rFonts w:cs="Times New Roman" w:hint="eastAsia"/>
          <w:sz w:val="24"/>
          <w:szCs w:val="28"/>
        </w:rPr>
        <w:t>;</w:t>
      </w:r>
      <w:r w:rsidRPr="003D69FC">
        <w:rPr>
          <w:rFonts w:cs="Times New Roman"/>
          <w:sz w:val="24"/>
          <w:szCs w:val="28"/>
        </w:rPr>
        <w:t xml:space="preserve"> Alphaproteobacteria clade: </w:t>
      </w:r>
      <w:r w:rsidRPr="003D69FC">
        <w:rPr>
          <w:rFonts w:cs="Times New Roman"/>
          <w:i/>
          <w:iCs/>
          <w:sz w:val="24"/>
          <w:szCs w:val="28"/>
        </w:rPr>
        <w:t>Dinoroseobacter</w:t>
      </w:r>
      <w:r w:rsidRPr="003D69FC">
        <w:rPr>
          <w:rFonts w:cs="Times New Roman"/>
          <w:sz w:val="24"/>
          <w:szCs w:val="28"/>
        </w:rPr>
        <w:t xml:space="preserve"> and </w:t>
      </w:r>
      <w:r w:rsidRPr="003D69FC">
        <w:rPr>
          <w:rFonts w:cs="Times New Roman"/>
          <w:i/>
          <w:iCs/>
          <w:sz w:val="24"/>
          <w:szCs w:val="28"/>
        </w:rPr>
        <w:t xml:space="preserve">E. coli </w:t>
      </w:r>
      <w:r w:rsidRPr="003D69FC">
        <w:rPr>
          <w:rFonts w:cs="Times New Roman"/>
          <w:sz w:val="24"/>
          <w:szCs w:val="28"/>
        </w:rPr>
        <w:t>CsdE gene (gammaproteobacteria Calde I)</w:t>
      </w:r>
      <w:r w:rsidRPr="003D69FC">
        <w:rPr>
          <w:rFonts w:cs="Times New Roman" w:hint="eastAsia"/>
          <w:sz w:val="24"/>
          <w:szCs w:val="28"/>
        </w:rPr>
        <w:t xml:space="preserve">. The color of residues in alignment is in the ClustalX shading model. The secondary structures are annotated by </w:t>
      </w:r>
      <w:r w:rsidRPr="003D69FC">
        <w:rPr>
          <w:rFonts w:cs="Times New Roman" w:hint="eastAsia"/>
          <w:i/>
          <w:iCs/>
          <w:sz w:val="24"/>
          <w:szCs w:val="28"/>
        </w:rPr>
        <w:t xml:space="preserve">E. coli </w:t>
      </w:r>
      <w:r w:rsidRPr="003D69FC">
        <w:rPr>
          <w:rFonts w:cs="Times New Roman" w:hint="eastAsia"/>
          <w:sz w:val="24"/>
          <w:szCs w:val="28"/>
        </w:rPr>
        <w:t>K12 SufE Alpha</w:t>
      </w:r>
      <w:r w:rsidRPr="003D69FC">
        <w:rPr>
          <w:rFonts w:cs="Times New Roman"/>
          <w:sz w:val="24"/>
          <w:szCs w:val="28"/>
        </w:rPr>
        <w:t>F</w:t>
      </w:r>
      <w:r w:rsidRPr="003D69FC">
        <w:rPr>
          <w:rFonts w:cs="Times New Roman" w:hint="eastAsia"/>
          <w:sz w:val="24"/>
          <w:szCs w:val="28"/>
        </w:rPr>
        <w:t xml:space="preserve">old3 predicted result and implied below the columns: red </w:t>
      </w:r>
      <w:r w:rsidRPr="003D69FC">
        <w:rPr>
          <w:rFonts w:eastAsiaTheme="minorEastAsia" w:cs="Times New Roman" w:hint="eastAsia"/>
          <w:sz w:val="24"/>
          <w:szCs w:val="28"/>
        </w:rPr>
        <w:t>bar</w:t>
      </w:r>
      <w:r w:rsidRPr="003D69FC">
        <w:rPr>
          <w:rFonts w:cs="Times New Roman" w:hint="eastAsia"/>
          <w:sz w:val="24"/>
          <w:szCs w:val="28"/>
        </w:rPr>
        <w:t xml:space="preserve"> means alpha </w:t>
      </w:r>
      <w:r w:rsidRPr="003D69FC">
        <w:rPr>
          <w:rFonts w:cs="Times New Roman"/>
          <w:sz w:val="24"/>
          <w:szCs w:val="28"/>
        </w:rPr>
        <w:t>helix;</w:t>
      </w:r>
      <w:r w:rsidRPr="003D69FC">
        <w:rPr>
          <w:rFonts w:cs="Times New Roman" w:hint="eastAsia"/>
          <w:sz w:val="24"/>
          <w:szCs w:val="28"/>
        </w:rPr>
        <w:t xml:space="preserve"> green arrow means beta sheet. </w:t>
      </w:r>
      <w:r w:rsidRPr="003D69FC">
        <w:rPr>
          <w:rFonts w:cs="Times New Roman"/>
          <w:sz w:val="24"/>
          <w:szCs w:val="28"/>
        </w:rPr>
        <w:t>The red star symbols at the top of alignment columns denote sites of SufE that inte</w:t>
      </w:r>
      <w:r>
        <w:rPr>
          <w:rFonts w:eastAsiaTheme="minorEastAsia" w:cs="Times New Roman" w:hint="eastAsia"/>
          <w:sz w:val="24"/>
          <w:szCs w:val="28"/>
        </w:rPr>
        <w:t>r</w:t>
      </w:r>
      <w:r w:rsidRPr="003D69FC">
        <w:rPr>
          <w:rFonts w:cs="Times New Roman"/>
          <w:sz w:val="24"/>
          <w:szCs w:val="28"/>
        </w:rPr>
        <w:t>a</w:t>
      </w:r>
      <w:r>
        <w:rPr>
          <w:rFonts w:eastAsiaTheme="minorEastAsia" w:cs="Times New Roman" w:hint="eastAsia"/>
          <w:sz w:val="24"/>
          <w:szCs w:val="28"/>
        </w:rPr>
        <w:t>c</w:t>
      </w:r>
      <w:r w:rsidRPr="003D69FC">
        <w:rPr>
          <w:rFonts w:cs="Times New Roman"/>
          <w:sz w:val="24"/>
          <w:szCs w:val="28"/>
        </w:rPr>
        <w:t xml:space="preserve">t with SufS. </w:t>
      </w:r>
      <w:r w:rsidRPr="003D69FC">
        <w:rPr>
          <w:rFonts w:eastAsiaTheme="minorEastAsia" w:cs="Times New Roman" w:hint="eastAsia"/>
          <w:sz w:val="24"/>
          <w:szCs w:val="28"/>
        </w:rPr>
        <w:t xml:space="preserve">The red </w:t>
      </w:r>
      <w:r w:rsidRPr="003D69FC">
        <w:rPr>
          <w:rFonts w:eastAsiaTheme="minorEastAsia" w:cs="Times New Roman"/>
          <w:sz w:val="24"/>
          <w:szCs w:val="28"/>
        </w:rPr>
        <w:t>rectangular</w:t>
      </w:r>
      <w:r w:rsidRPr="003D69FC">
        <w:rPr>
          <w:rFonts w:eastAsiaTheme="minorEastAsia" w:cs="Times New Roman" w:hint="eastAsia"/>
          <w:sz w:val="24"/>
          <w:szCs w:val="28"/>
        </w:rPr>
        <w:t xml:space="preserve"> sites mean the mutation site between and within two beta sheets. </w:t>
      </w:r>
      <w:r w:rsidRPr="003D69FC">
        <w:rPr>
          <w:rFonts w:eastAsiaTheme="minorEastAsia" w:cs="Times New Roman"/>
          <w:sz w:val="24"/>
          <w:szCs w:val="28"/>
        </w:rPr>
        <w:t>Bayesian and maximum-likelihood (ML) ancestral sequence reconstruction yielded highly confident sequences (mean site posterior probability 0.84 and 0.90 for LCA and GOE, respectively), with more than 95% site identity between PAML, IQ-TREE, and FastML replicates</w:t>
      </w:r>
      <w:r w:rsidRPr="003D69FC">
        <w:rPr>
          <w:rFonts w:eastAsiaTheme="minorEastAsia" w:cs="Times New Roman"/>
          <w:noProof/>
          <w:sz w:val="24"/>
          <w:szCs w:val="28"/>
          <w:vertAlign w:val="superscript"/>
        </w:rPr>
        <w:t>84</w:t>
      </w:r>
      <w:r w:rsidRPr="003D69FC">
        <w:rPr>
          <w:rFonts w:eastAsiaTheme="minorEastAsia" w:cs="Times New Roman"/>
          <w:sz w:val="24"/>
          <w:szCs w:val="28"/>
        </w:rPr>
        <w:t xml:space="preserve">. AlphaFold3 models predicted the accuracy of the entire structure with predicted </w:t>
      </w:r>
      <w:r w:rsidRPr="003D69FC">
        <w:rPr>
          <w:rFonts w:eastAsiaTheme="minorEastAsia" w:cs="Times New Roman"/>
          <w:sz w:val="24"/>
          <w:szCs w:val="28"/>
        </w:rPr>
        <w:lastRenderedPageBreak/>
        <w:t xml:space="preserve">template modeling (pTM) score higher than 0.93. </w:t>
      </w:r>
    </w:p>
    <w:p w14:paraId="1DE478DD" w14:textId="77777777" w:rsidR="00123633" w:rsidRPr="00227F7D" w:rsidRDefault="00123633" w:rsidP="00123633">
      <w:pPr>
        <w:sectPr w:rsidR="00123633" w:rsidRPr="00227F7D" w:rsidSect="0012363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60FD7A8B" w14:textId="77777777" w:rsidR="00123633" w:rsidRDefault="00123633" w:rsidP="00123633">
      <w:r>
        <w:rPr>
          <w:noProof/>
        </w:rPr>
        <w:lastRenderedPageBreak/>
        <w:drawing>
          <wp:inline distT="0" distB="0" distL="0" distR="0" wp14:anchorId="1ACA0F2D" wp14:editId="6DF649BC">
            <wp:extent cx="4941568" cy="6368029"/>
            <wp:effectExtent l="0" t="0" r="0" b="0"/>
            <wp:docPr id="8" name="图片 8" descr="A close-up of a dna sequen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 close-up of a dna sequenc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568" cy="6368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3128A" w14:textId="77777777" w:rsidR="00123633" w:rsidRPr="0050125B" w:rsidRDefault="00123633" w:rsidP="00123633">
      <w:pPr>
        <w:rPr>
          <w:b/>
          <w:bCs/>
        </w:rPr>
      </w:pPr>
      <w:r>
        <w:rPr>
          <w:b/>
          <w:bCs/>
        </w:rPr>
        <w:t>Extended Data</w:t>
      </w:r>
      <w:r w:rsidRPr="0050125B">
        <w:rPr>
          <w:b/>
          <w:bCs/>
        </w:rPr>
        <w:t xml:space="preserve"> Fig</w:t>
      </w:r>
      <w:r>
        <w:rPr>
          <w:b/>
          <w:bCs/>
        </w:rPr>
        <w:t xml:space="preserve">. </w:t>
      </w:r>
      <w:r>
        <w:rPr>
          <w:rFonts w:hint="eastAsia"/>
          <w:b/>
          <w:bCs/>
        </w:rPr>
        <w:t>6</w:t>
      </w:r>
      <w:r w:rsidRPr="0050125B">
        <w:rPr>
          <w:b/>
          <w:bCs/>
        </w:rPr>
        <w:t xml:space="preserve"> </w:t>
      </w:r>
    </w:p>
    <w:p w14:paraId="48FB357D" w14:textId="77777777" w:rsidR="00123633" w:rsidRPr="00647CF4" w:rsidRDefault="00123633" w:rsidP="00123633">
      <w:pPr>
        <w:spacing w:after="0" w:line="360" w:lineRule="auto"/>
        <w:rPr>
          <w:rFonts w:cs="Times New Roman"/>
        </w:rPr>
      </w:pPr>
      <w:r w:rsidRPr="00B518B9">
        <w:rPr>
          <w:rFonts w:cs="Times New Roman"/>
          <w:b/>
          <w:bCs/>
        </w:rPr>
        <w:t>Sequence alignment of ancestral and modern Suf</w:t>
      </w:r>
      <w:r>
        <w:rPr>
          <w:rFonts w:cs="Times New Roman" w:hint="eastAsia"/>
          <w:b/>
          <w:bCs/>
        </w:rPr>
        <w:t>S</w:t>
      </w:r>
      <w:r w:rsidRPr="00B518B9">
        <w:rPr>
          <w:rFonts w:cs="Times New Roman"/>
          <w:b/>
          <w:bCs/>
        </w:rPr>
        <w:t xml:space="preserve"> proteins.</w:t>
      </w:r>
      <w:r w:rsidRPr="00B518B9">
        <w:rPr>
          <w:rFonts w:cs="Times New Roman"/>
        </w:rPr>
        <w:t xml:space="preserve"> Multiple sequence alignment of representative Suf</w:t>
      </w:r>
      <w:r>
        <w:rPr>
          <w:rFonts w:cs="Times New Roman" w:hint="eastAsia"/>
        </w:rPr>
        <w:t>S</w:t>
      </w:r>
      <w:r w:rsidRPr="00B518B9">
        <w:rPr>
          <w:rFonts w:cs="Times New Roman"/>
        </w:rPr>
        <w:t>: Suf</w:t>
      </w:r>
      <w:r>
        <w:rPr>
          <w:rFonts w:cs="Times New Roman" w:hint="eastAsia"/>
        </w:rPr>
        <w:t>S</w:t>
      </w:r>
      <w:r>
        <w:rPr>
          <w:rFonts w:eastAsiaTheme="minorEastAsia" w:cs="Times New Roman" w:hint="eastAsia"/>
          <w:vertAlign w:val="superscript"/>
        </w:rPr>
        <w:t>LCA</w:t>
      </w:r>
      <w:r w:rsidRPr="00B518B9">
        <w:rPr>
          <w:rFonts w:cs="Times New Roman"/>
        </w:rPr>
        <w:t xml:space="preserve"> </w:t>
      </w:r>
      <w:r>
        <w:rPr>
          <w:rFonts w:cs="Times New Roman" w:hint="eastAsia"/>
        </w:rPr>
        <w:t>is the</w:t>
      </w:r>
      <w:r>
        <w:rPr>
          <w:rFonts w:cs="Times New Roman"/>
        </w:rPr>
        <w:t xml:space="preserve"> reconstructed</w:t>
      </w:r>
      <w:r>
        <w:rPr>
          <w:rFonts w:cs="Times New Roman" w:hint="eastAsia"/>
        </w:rPr>
        <w:t xml:space="preserve"> last common ancestor</w:t>
      </w:r>
      <w:r>
        <w:rPr>
          <w:rFonts w:cs="Times New Roman"/>
        </w:rPr>
        <w:t xml:space="preserve"> sequence of SufS.</w:t>
      </w:r>
      <w:r w:rsidRPr="00B518B9">
        <w:rPr>
          <w:rFonts w:cs="Times New Roman"/>
        </w:rPr>
        <w:t xml:space="preserve"> </w:t>
      </w:r>
      <w:r>
        <w:rPr>
          <w:rFonts w:cs="Times New Roman" w:hint="eastAsia"/>
        </w:rPr>
        <w:t>SufS</w:t>
      </w:r>
      <w:r>
        <w:rPr>
          <w:rFonts w:eastAsiaTheme="minorEastAsia" w:cs="Times New Roman" w:hint="eastAsia"/>
          <w:vertAlign w:val="superscript"/>
        </w:rPr>
        <w:t>GOE</w:t>
      </w:r>
      <w:r>
        <w:rPr>
          <w:rFonts w:cs="Times New Roman" w:hint="eastAsia"/>
        </w:rPr>
        <w:t xml:space="preserve"> is the ancestor sequence at GOE</w:t>
      </w:r>
      <w:r>
        <w:rPr>
          <w:rFonts w:cs="Times New Roman"/>
        </w:rPr>
        <w:t>;</w:t>
      </w:r>
      <w:r w:rsidRPr="00B518B9">
        <w:rPr>
          <w:rFonts w:cs="Times New Roman"/>
        </w:rPr>
        <w:t xml:space="preserve"> and </w:t>
      </w:r>
      <w:r w:rsidRPr="00B518B9">
        <w:rPr>
          <w:rFonts w:cs="Times New Roman"/>
          <w:i/>
          <w:iCs/>
        </w:rPr>
        <w:t>E. coli</w:t>
      </w:r>
      <w:r w:rsidRPr="00B518B9">
        <w:rPr>
          <w:rFonts w:cs="Times New Roman"/>
        </w:rPr>
        <w:t xml:space="preserve"> </w:t>
      </w:r>
      <w:r>
        <w:rPr>
          <w:rFonts w:cs="Times New Roman" w:hint="eastAsia"/>
        </w:rPr>
        <w:t>K12</w:t>
      </w:r>
      <w:r w:rsidRPr="00B518B9">
        <w:rPr>
          <w:rFonts w:cs="Times New Roman"/>
        </w:rPr>
        <w:t xml:space="preserve"> Suf</w:t>
      </w:r>
      <w:r>
        <w:rPr>
          <w:rFonts w:cs="Times New Roman" w:hint="eastAsia"/>
        </w:rPr>
        <w:t>S</w:t>
      </w:r>
      <w:r>
        <w:rPr>
          <w:rFonts w:eastAsiaTheme="minorEastAsia" w:cs="Times New Roman" w:hint="eastAsia"/>
          <w:vertAlign w:val="superscript"/>
        </w:rPr>
        <w:t>modern</w:t>
      </w:r>
      <w:r w:rsidRPr="00B518B9">
        <w:rPr>
          <w:rFonts w:cs="Times New Roman"/>
        </w:rPr>
        <w:t xml:space="preserve">. </w:t>
      </w:r>
      <w:r>
        <w:rPr>
          <w:rFonts w:eastAsiaTheme="minorEastAsia" w:cs="Times New Roman" w:hint="eastAsia"/>
        </w:rPr>
        <w:t>T</w:t>
      </w:r>
      <w:r>
        <w:rPr>
          <w:rFonts w:cs="Times New Roman" w:hint="eastAsia"/>
        </w:rPr>
        <w:t xml:space="preserve">he color of residues in alignment is in the ClustalX shading model. The secondary structures are annotated by Alphafold3 and implied below the columns: red rectangular means alpha helix, green arrow means beta sheet. </w:t>
      </w:r>
      <w:r w:rsidRPr="00B518B9">
        <w:rPr>
          <w:rFonts w:cs="Times New Roman"/>
        </w:rPr>
        <w:t xml:space="preserve">As with SufE, the key catalytic residues of SufS are invariant: the </w:t>
      </w:r>
      <w:bookmarkStart w:id="2" w:name="_Hlk205570898"/>
      <w:r w:rsidRPr="40601C1F">
        <w:rPr>
          <w:rFonts w:eastAsiaTheme="minorEastAsia" w:cs="Times New Roman"/>
        </w:rPr>
        <w:t>5’-</w:t>
      </w:r>
      <w:r w:rsidRPr="00B518B9">
        <w:rPr>
          <w:rFonts w:cs="Times New Roman"/>
        </w:rPr>
        <w:lastRenderedPageBreak/>
        <w:t>pyridoxal-phosphate (PLP)</w:t>
      </w:r>
      <w:bookmarkEnd w:id="2"/>
      <w:r w:rsidRPr="00B518B9">
        <w:rPr>
          <w:rFonts w:cs="Times New Roman"/>
        </w:rPr>
        <w:t xml:space="preserve"> cofactor-binding </w:t>
      </w:r>
      <w:r>
        <w:rPr>
          <w:rFonts w:cs="Times New Roman"/>
        </w:rPr>
        <w:t>histidine (H123)</w:t>
      </w:r>
      <w:r w:rsidRPr="00B518B9">
        <w:rPr>
          <w:rFonts w:cs="Times New Roman"/>
        </w:rPr>
        <w:t xml:space="preserve"> and the catalytic cysteine residue of SufS (</w:t>
      </w:r>
      <w:r>
        <w:rPr>
          <w:rFonts w:eastAsiaTheme="minorEastAsia" w:cs="Times New Roman" w:hint="eastAsia"/>
        </w:rPr>
        <w:t xml:space="preserve">corresponding to </w:t>
      </w:r>
      <w:r>
        <w:rPr>
          <w:rFonts w:cs="Times New Roman"/>
        </w:rPr>
        <w:t>C36</w:t>
      </w:r>
      <w:r>
        <w:rPr>
          <w:rFonts w:eastAsiaTheme="minorEastAsia" w:cs="Times New Roman" w:hint="eastAsia"/>
        </w:rPr>
        <w:t>8 in SufS</w:t>
      </w:r>
      <w:r>
        <w:rPr>
          <w:rFonts w:eastAsiaTheme="minorEastAsia" w:cs="Times New Roman" w:hint="eastAsia"/>
          <w:vertAlign w:val="superscript"/>
        </w:rPr>
        <w:t>LCA</w:t>
      </w:r>
      <w:r>
        <w:rPr>
          <w:rFonts w:eastAsiaTheme="minorEastAsia" w:cs="Times New Roman" w:hint="eastAsia"/>
        </w:rPr>
        <w:t>,</w:t>
      </w:r>
      <w:r>
        <w:rPr>
          <w:rFonts w:cs="Times New Roman"/>
        </w:rPr>
        <w:t xml:space="preserve"> C36</w:t>
      </w:r>
      <w:r>
        <w:rPr>
          <w:rFonts w:eastAsiaTheme="minorEastAsia" w:cs="Times New Roman" w:hint="eastAsia"/>
        </w:rPr>
        <w:t>9</w:t>
      </w:r>
      <w:r>
        <w:rPr>
          <w:rFonts w:cs="Times New Roman"/>
        </w:rPr>
        <w:t xml:space="preserve"> in </w:t>
      </w:r>
      <w:r>
        <w:rPr>
          <w:rFonts w:eastAsiaTheme="minorEastAsia" w:cs="Times New Roman" w:hint="eastAsia"/>
        </w:rPr>
        <w:t>SufS</w:t>
      </w:r>
      <w:r>
        <w:rPr>
          <w:rFonts w:eastAsiaTheme="minorEastAsia" w:cs="Times New Roman" w:hint="eastAsia"/>
          <w:vertAlign w:val="superscript"/>
        </w:rPr>
        <w:t>GOE</w:t>
      </w:r>
      <w:r>
        <w:rPr>
          <w:rFonts w:eastAsiaTheme="minorEastAsia" w:cs="Times New Roman" w:hint="eastAsia"/>
        </w:rPr>
        <w:t xml:space="preserve"> or C364 in SufS</w:t>
      </w:r>
      <w:r>
        <w:rPr>
          <w:rFonts w:eastAsiaTheme="minorEastAsia" w:cs="Times New Roman" w:hint="eastAsia"/>
          <w:vertAlign w:val="superscript"/>
        </w:rPr>
        <w:t>modern</w:t>
      </w:r>
      <w:r w:rsidRPr="00B518B9">
        <w:rPr>
          <w:rFonts w:cs="Times New Roman"/>
        </w:rPr>
        <w:t>) are conserved in both ancestral and modern sequences</w:t>
      </w:r>
      <w:r w:rsidRPr="00385996">
        <w:rPr>
          <w:rFonts w:cs="Times New Roman"/>
          <w:noProof/>
          <w:vertAlign w:val="superscript"/>
        </w:rPr>
        <w:t>85</w:t>
      </w:r>
      <w:r w:rsidRPr="00B518B9">
        <w:rPr>
          <w:rFonts w:cs="Times New Roman"/>
        </w:rPr>
        <w:t xml:space="preserve">. This conservation underscores that the basic mechanism of sulfur removal from cysteine has been maintained since </w:t>
      </w:r>
      <w:r>
        <w:rPr>
          <w:rFonts w:cs="Times New Roman"/>
        </w:rPr>
        <w:t>the origin of SufS</w:t>
      </w:r>
      <w:r w:rsidRPr="00B518B9">
        <w:rPr>
          <w:rFonts w:cs="Times New Roman"/>
        </w:rPr>
        <w:t xml:space="preserve">. </w:t>
      </w:r>
      <w:r>
        <w:rPr>
          <w:rFonts w:cs="Times New Roman"/>
        </w:rPr>
        <w:t>As for the residues interacting with SufE, R56 remained unchanged, but H3</w:t>
      </w:r>
      <w:r>
        <w:rPr>
          <w:rFonts w:eastAsiaTheme="minorEastAsia" w:cs="Times New Roman" w:hint="eastAsia"/>
        </w:rPr>
        <w:t>49 in SufS</w:t>
      </w:r>
      <w:r>
        <w:rPr>
          <w:rFonts w:eastAsiaTheme="minorEastAsia" w:cs="Times New Roman" w:hint="eastAsia"/>
          <w:vertAlign w:val="superscript"/>
        </w:rPr>
        <w:t>LCA</w:t>
      </w:r>
      <w:r>
        <w:rPr>
          <w:rFonts w:cs="Times New Roman"/>
        </w:rPr>
        <w:t xml:space="preserve"> was mutated to Y350</w:t>
      </w:r>
      <w:r>
        <w:rPr>
          <w:rFonts w:eastAsiaTheme="minorEastAsia" w:cs="Times New Roman" w:hint="eastAsia"/>
        </w:rPr>
        <w:t xml:space="preserve"> in SufS</w:t>
      </w:r>
      <w:r>
        <w:rPr>
          <w:rFonts w:eastAsiaTheme="minorEastAsia" w:cs="Times New Roman" w:hint="eastAsia"/>
          <w:vertAlign w:val="superscript"/>
        </w:rPr>
        <w:t>GOE</w:t>
      </w:r>
      <w:r>
        <w:rPr>
          <w:rFonts w:cs="Times New Roman"/>
        </w:rPr>
        <w:t xml:space="preserve"> (Y345 in </w:t>
      </w:r>
      <w:r>
        <w:rPr>
          <w:rFonts w:eastAsiaTheme="minorEastAsia" w:cs="Times New Roman" w:hint="eastAsia"/>
        </w:rPr>
        <w:t>SufS</w:t>
      </w:r>
      <w:r>
        <w:rPr>
          <w:rFonts w:eastAsiaTheme="minorEastAsia" w:cs="Times New Roman" w:hint="eastAsia"/>
          <w:vertAlign w:val="superscript"/>
        </w:rPr>
        <w:t>modern</w:t>
      </w:r>
      <w:r>
        <w:rPr>
          <w:rFonts w:cs="Times New Roman"/>
        </w:rPr>
        <w:t>).</w:t>
      </w:r>
    </w:p>
    <w:p w14:paraId="683FD1E7" w14:textId="77777777" w:rsidR="00123633" w:rsidRPr="00135EC2" w:rsidRDefault="00123633" w:rsidP="00123633">
      <w:pPr>
        <w:sectPr w:rsidR="00123633" w:rsidRPr="00135EC2" w:rsidSect="0012363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73646E6C" w14:textId="77777777" w:rsidR="00123633" w:rsidRDefault="00123633" w:rsidP="00123633">
      <w:r>
        <w:rPr>
          <w:rFonts w:hint="eastAsia"/>
          <w:noProof/>
        </w:rPr>
        <w:lastRenderedPageBreak/>
        <w:drawing>
          <wp:inline distT="0" distB="0" distL="0" distR="0" wp14:anchorId="3A95E602" wp14:editId="1C779A20">
            <wp:extent cx="5042470" cy="4618267"/>
            <wp:effectExtent l="0" t="0" r="6350" b="0"/>
            <wp:docPr id="11" name="图片 11" descr="Several images of different typ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everal images of different types of cel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470" cy="4618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D0776" w14:textId="77777777" w:rsidR="00123633" w:rsidRPr="0050125B" w:rsidRDefault="00123633" w:rsidP="00123633">
      <w:pPr>
        <w:rPr>
          <w:b/>
          <w:bCs/>
        </w:rPr>
      </w:pPr>
      <w:r>
        <w:rPr>
          <w:b/>
          <w:bCs/>
        </w:rPr>
        <w:t>Extended Data</w:t>
      </w:r>
      <w:r w:rsidRPr="0050125B">
        <w:rPr>
          <w:b/>
          <w:bCs/>
        </w:rPr>
        <w:t xml:space="preserve"> Fig</w:t>
      </w:r>
      <w:r>
        <w:rPr>
          <w:b/>
          <w:bCs/>
        </w:rPr>
        <w:t>.</w:t>
      </w:r>
      <w:r w:rsidRPr="0050125B">
        <w:rPr>
          <w:b/>
          <w:bCs/>
        </w:rPr>
        <w:t xml:space="preserve"> </w:t>
      </w:r>
      <w:r>
        <w:rPr>
          <w:rFonts w:eastAsiaTheme="minorEastAsia" w:hint="eastAsia"/>
          <w:b/>
          <w:bCs/>
        </w:rPr>
        <w:t>7</w:t>
      </w:r>
      <w:r w:rsidRPr="0050125B">
        <w:rPr>
          <w:b/>
          <w:bCs/>
        </w:rPr>
        <w:t xml:space="preserve"> </w:t>
      </w:r>
    </w:p>
    <w:p w14:paraId="16443F2B" w14:textId="77777777" w:rsidR="00123633" w:rsidRDefault="00123633" w:rsidP="00123633">
      <w:pPr>
        <w:rPr>
          <w:rFonts w:cs="Times New Roman"/>
        </w:rPr>
      </w:pPr>
      <w:r>
        <w:rPr>
          <w:rFonts w:hint="eastAsia"/>
          <w:b/>
          <w:bCs/>
        </w:rPr>
        <w:t xml:space="preserve">A structure model of the </w:t>
      </w:r>
      <w:r w:rsidRPr="0085195A">
        <w:rPr>
          <w:rFonts w:cs="Times New Roman"/>
          <w:b/>
          <w:bCs/>
        </w:rPr>
        <w:t>β</w:t>
      </w:r>
      <w:r w:rsidRPr="0085195A">
        <w:rPr>
          <w:rFonts w:cs="Times New Roman" w:hint="eastAsia"/>
          <w:b/>
          <w:bCs/>
        </w:rPr>
        <w:t>-latch</w:t>
      </w:r>
      <w:r>
        <w:rPr>
          <w:rFonts w:hint="eastAsia"/>
          <w:b/>
          <w:bCs/>
        </w:rPr>
        <w:t xml:space="preserve"> interface in the SufS homodimer</w:t>
      </w:r>
      <w:r w:rsidRPr="00791C17">
        <w:rPr>
          <w:rFonts w:hint="eastAsia"/>
          <w:b/>
          <w:bCs/>
        </w:rPr>
        <w:t>.</w:t>
      </w:r>
      <w:r>
        <w:rPr>
          <w:rFonts w:hint="eastAsia"/>
        </w:rPr>
        <w:t xml:space="preserve"> All </w:t>
      </w:r>
      <w:r>
        <w:t>s</w:t>
      </w:r>
      <w:r>
        <w:rPr>
          <w:rFonts w:hint="eastAsia"/>
        </w:rPr>
        <w:t>tructures were generated using AlphaFold3 (a) A</w:t>
      </w:r>
      <w:r w:rsidRPr="00B2656F">
        <w:t xml:space="preserve"> model of the </w:t>
      </w:r>
      <w:r w:rsidRPr="00B2656F">
        <w:rPr>
          <w:i/>
          <w:iCs/>
        </w:rPr>
        <w:t>E. coli</w:t>
      </w:r>
      <w:r w:rsidRPr="00B2656F">
        <w:t xml:space="preserve"> K-12 SufS homodimer, with the two protomers coloured tan and violet. The 5′-pyridoxal-phosphate (PLP) cofactor, imported from the crystal structure PDB 5XT6, is shown as sticks. The boxed region </w:t>
      </w:r>
      <w:r>
        <w:t xml:space="preserve">in (a) </w:t>
      </w:r>
      <w:r w:rsidRPr="00B2656F">
        <w:t>is enlarged in (b</w:t>
      </w:r>
      <w:r>
        <w:rPr>
          <w:rFonts w:eastAsiaTheme="minorEastAsia" w:hint="eastAsia"/>
        </w:rPr>
        <w:t>-</w:t>
      </w:r>
      <w:r w:rsidRPr="00B2656F">
        <w:t>d).</w:t>
      </w:r>
      <w:r>
        <w:rPr>
          <w:rFonts w:hint="eastAsia"/>
        </w:rPr>
        <w:t xml:space="preserve"> (b-d) </w:t>
      </w:r>
      <w:r w:rsidRPr="00B2656F">
        <w:t>Close-up views of the β-latch, with key residues and inter-atomic distances (Å) labelled.</w:t>
      </w:r>
      <w:r>
        <w:rPr>
          <w:rFonts w:cs="Times New Roman" w:hint="eastAsia"/>
        </w:rPr>
        <w:t xml:space="preserve"> (</w:t>
      </w:r>
      <w:r>
        <w:rPr>
          <w:rFonts w:eastAsiaTheme="minorEastAsia" w:cs="Times New Roman" w:hint="eastAsia"/>
        </w:rPr>
        <w:t>b</w:t>
      </w:r>
      <w:r>
        <w:rPr>
          <w:rFonts w:cs="Times New Roman" w:hint="eastAsia"/>
        </w:rPr>
        <w:t xml:space="preserve">) </w:t>
      </w:r>
      <w:r w:rsidRPr="00B2656F">
        <w:rPr>
          <w:rFonts w:cs="Times New Roman"/>
        </w:rPr>
        <w:t>SufS</w:t>
      </w:r>
      <w:r>
        <w:rPr>
          <w:rFonts w:eastAsiaTheme="minorEastAsia" w:cs="Times New Roman" w:hint="eastAsia"/>
          <w:vertAlign w:val="superscript"/>
        </w:rPr>
        <w:t>LCA</w:t>
      </w:r>
      <w:r w:rsidRPr="00B2656F">
        <w:rPr>
          <w:rFonts w:cs="Times New Roman"/>
        </w:rPr>
        <w:t xml:space="preserve"> reconstruction: </w:t>
      </w:r>
      <w:r>
        <w:rPr>
          <w:rFonts w:cs="Times New Roman" w:hint="eastAsia"/>
        </w:rPr>
        <w:t>R</w:t>
      </w:r>
      <w:r w:rsidRPr="00B2656F">
        <w:rPr>
          <w:rFonts w:cs="Times New Roman"/>
        </w:rPr>
        <w:t xml:space="preserve">92 interacts with </w:t>
      </w:r>
      <w:r>
        <w:rPr>
          <w:rFonts w:cs="Times New Roman" w:hint="eastAsia"/>
        </w:rPr>
        <w:t>E</w:t>
      </w:r>
      <w:r w:rsidRPr="00B2656F">
        <w:rPr>
          <w:rFonts w:cs="Times New Roman"/>
        </w:rPr>
        <w:t xml:space="preserve">96 and </w:t>
      </w:r>
      <w:r>
        <w:rPr>
          <w:rFonts w:eastAsiaTheme="minorEastAsia" w:cs="Times New Roman" w:hint="eastAsia"/>
        </w:rPr>
        <w:t>Q</w:t>
      </w:r>
      <w:r w:rsidRPr="00B2656F">
        <w:rPr>
          <w:rFonts w:cs="Times New Roman"/>
        </w:rPr>
        <w:t>25</w:t>
      </w:r>
      <w:r>
        <w:rPr>
          <w:rFonts w:eastAsiaTheme="minorEastAsia" w:cs="Times New Roman" w:hint="eastAsia"/>
        </w:rPr>
        <w:t>4</w:t>
      </w:r>
      <w:r w:rsidRPr="00B2656F">
        <w:rPr>
          <w:rFonts w:cs="Times New Roman"/>
        </w:rPr>
        <w:t>.</w:t>
      </w:r>
      <w:r>
        <w:rPr>
          <w:rFonts w:cs="Times New Roman" w:hint="eastAsia"/>
        </w:rPr>
        <w:t xml:space="preserve"> (c) </w:t>
      </w:r>
      <w:r w:rsidRPr="00B2656F">
        <w:rPr>
          <w:rFonts w:cs="Times New Roman"/>
        </w:rPr>
        <w:t>SufS</w:t>
      </w:r>
      <w:r>
        <w:rPr>
          <w:rFonts w:eastAsiaTheme="minorEastAsia" w:cs="Times New Roman" w:hint="eastAsia"/>
          <w:vertAlign w:val="superscript"/>
        </w:rPr>
        <w:t>GOE</w:t>
      </w:r>
      <w:r w:rsidRPr="00B2656F">
        <w:rPr>
          <w:rFonts w:cs="Times New Roman"/>
        </w:rPr>
        <w:t xml:space="preserve"> reconstruction: </w:t>
      </w:r>
      <w:r>
        <w:rPr>
          <w:rFonts w:cs="Times New Roman" w:hint="eastAsia"/>
        </w:rPr>
        <w:t>K</w:t>
      </w:r>
      <w:r w:rsidRPr="00B2656F">
        <w:rPr>
          <w:rFonts w:cs="Times New Roman"/>
        </w:rPr>
        <w:t xml:space="preserve">92 interacts with </w:t>
      </w:r>
      <w:r>
        <w:rPr>
          <w:rFonts w:cs="Times New Roman" w:hint="eastAsia"/>
        </w:rPr>
        <w:t>E</w:t>
      </w:r>
      <w:r w:rsidRPr="00B2656F">
        <w:rPr>
          <w:rFonts w:cs="Times New Roman"/>
        </w:rPr>
        <w:t xml:space="preserve">96 and </w:t>
      </w:r>
      <w:r>
        <w:rPr>
          <w:rFonts w:cs="Times New Roman" w:hint="eastAsia"/>
        </w:rPr>
        <w:t>E</w:t>
      </w:r>
      <w:r w:rsidRPr="00B2656F">
        <w:rPr>
          <w:rFonts w:cs="Times New Roman"/>
        </w:rPr>
        <w:t>255.</w:t>
      </w:r>
      <w:r>
        <w:rPr>
          <w:rFonts w:cs="Times New Roman" w:hint="eastAsia"/>
        </w:rPr>
        <w:t xml:space="preserve"> (</w:t>
      </w:r>
      <w:r>
        <w:rPr>
          <w:rFonts w:eastAsiaTheme="minorEastAsia" w:cs="Times New Roman" w:hint="eastAsia"/>
        </w:rPr>
        <w:t>d</w:t>
      </w:r>
      <w:r>
        <w:rPr>
          <w:rFonts w:cs="Times New Roman" w:hint="eastAsia"/>
        </w:rPr>
        <w:t>) SufS</w:t>
      </w:r>
      <w:r>
        <w:rPr>
          <w:rFonts w:eastAsiaTheme="minorEastAsia" w:cs="Times New Roman" w:hint="eastAsia"/>
          <w:vertAlign w:val="superscript"/>
        </w:rPr>
        <w:t>modern</w:t>
      </w:r>
      <w:r>
        <w:rPr>
          <w:rFonts w:cs="Times New Roman" w:hint="eastAsia"/>
        </w:rPr>
        <w:t>: R</w:t>
      </w:r>
      <w:r w:rsidRPr="00B2656F">
        <w:rPr>
          <w:rFonts w:cs="Times New Roman"/>
        </w:rPr>
        <w:t xml:space="preserve">92 forms salt-bridge contacts with </w:t>
      </w:r>
      <w:r>
        <w:rPr>
          <w:rFonts w:cs="Times New Roman" w:hint="eastAsia"/>
        </w:rPr>
        <w:t>E</w:t>
      </w:r>
      <w:r w:rsidRPr="00B2656F">
        <w:rPr>
          <w:rFonts w:cs="Times New Roman"/>
        </w:rPr>
        <w:t xml:space="preserve">96 and </w:t>
      </w:r>
      <w:r>
        <w:rPr>
          <w:rFonts w:cs="Times New Roman" w:hint="eastAsia"/>
        </w:rPr>
        <w:t>E</w:t>
      </w:r>
      <w:r w:rsidRPr="00B2656F">
        <w:rPr>
          <w:rFonts w:cs="Times New Roman"/>
        </w:rPr>
        <w:t>25</w:t>
      </w:r>
      <w:r>
        <w:rPr>
          <w:rFonts w:eastAsiaTheme="minorEastAsia" w:cs="Times New Roman" w:hint="eastAsia"/>
        </w:rPr>
        <w:t>0</w:t>
      </w:r>
      <w:r w:rsidRPr="00B2656F">
        <w:rPr>
          <w:rFonts w:cs="Times New Roman"/>
        </w:rPr>
        <w:t xml:space="preserve"> on the opposite protomer.</w:t>
      </w:r>
      <w:r w:rsidDel="0070539F">
        <w:rPr>
          <w:rFonts w:cs="Times New Roman" w:hint="eastAsia"/>
        </w:rPr>
        <w:t xml:space="preserve"> </w:t>
      </w:r>
      <w:r w:rsidRPr="00B2656F">
        <w:rPr>
          <w:rFonts w:cs="Times New Roman"/>
        </w:rPr>
        <w:t>These distances, highlighted here and quantified in the main text, reveal how substitutions at position 92 and its partner acidic residues modulate the stability of the β-latch across evolutionary time.</w:t>
      </w:r>
    </w:p>
    <w:p w14:paraId="53380D7E" w14:textId="77777777" w:rsidR="00123633" w:rsidRDefault="00123633" w:rsidP="00123633">
      <w:pPr>
        <w:rPr>
          <w:rFonts w:cs="Times New Roman"/>
        </w:rPr>
      </w:pPr>
    </w:p>
    <w:p w14:paraId="286A6F72" w14:textId="77777777" w:rsidR="00123633" w:rsidRPr="00C11651" w:rsidRDefault="00123633" w:rsidP="00123633">
      <w:pPr>
        <w:rPr>
          <w:rFonts w:cs="Times New Roman"/>
        </w:rPr>
        <w:sectPr w:rsidR="00123633" w:rsidRPr="00C11651" w:rsidSect="0012363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164225A2" w14:textId="77777777" w:rsidR="00123633" w:rsidRDefault="00123633" w:rsidP="00123633">
      <w:r>
        <w:rPr>
          <w:noProof/>
        </w:rPr>
        <w:lastRenderedPageBreak/>
        <w:drawing>
          <wp:inline distT="0" distB="0" distL="0" distR="0" wp14:anchorId="23837916" wp14:editId="33607599">
            <wp:extent cx="3831590" cy="2750338"/>
            <wp:effectExtent l="0" t="0" r="0" b="0"/>
            <wp:docPr id="7" name="图片 7" descr="A graph of different types of station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 graph of different types of stationer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1590" cy="2750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A7AB1" w14:textId="77777777" w:rsidR="00123633" w:rsidRPr="00220585" w:rsidRDefault="00123633" w:rsidP="00123633">
      <w:pPr>
        <w:rPr>
          <w:rFonts w:eastAsiaTheme="minorEastAsia"/>
        </w:rPr>
      </w:pPr>
      <w:r>
        <w:rPr>
          <w:b/>
          <w:bCs/>
        </w:rPr>
        <w:t>Extended Data</w:t>
      </w:r>
      <w:r w:rsidRPr="0050125B">
        <w:rPr>
          <w:b/>
          <w:bCs/>
        </w:rPr>
        <w:t xml:space="preserve"> Fig</w:t>
      </w:r>
      <w:r>
        <w:rPr>
          <w:b/>
          <w:bCs/>
        </w:rPr>
        <w:t>.</w:t>
      </w:r>
      <w:r w:rsidRPr="0050125B">
        <w:rPr>
          <w:b/>
          <w:bCs/>
        </w:rPr>
        <w:t xml:space="preserve"> </w:t>
      </w:r>
      <w:r>
        <w:rPr>
          <w:rFonts w:eastAsiaTheme="minorEastAsia" w:hint="eastAsia"/>
          <w:b/>
          <w:bCs/>
        </w:rPr>
        <w:t>8</w:t>
      </w:r>
    </w:p>
    <w:p w14:paraId="61318CAD" w14:textId="77777777" w:rsidR="00123633" w:rsidRDefault="00123633" w:rsidP="00123633">
      <w:r w:rsidRPr="00B42D13">
        <w:rPr>
          <w:b/>
          <w:bCs/>
        </w:rPr>
        <w:t>Parallel reaction monitoring (PRM) quantification of complemented proteins across growth phases in WO539</w:t>
      </w:r>
      <w:r w:rsidRPr="00B42D13">
        <w:rPr>
          <w:rFonts w:hint="eastAsia"/>
          <w:b/>
          <w:bCs/>
        </w:rPr>
        <w:t>.</w:t>
      </w:r>
      <w:r>
        <w:rPr>
          <w:rFonts w:hint="eastAsia"/>
        </w:rPr>
        <w:t xml:space="preserve"> </w:t>
      </w:r>
      <w:r w:rsidRPr="00B42D13">
        <w:t>WO539 (</w:t>
      </w:r>
      <w:r w:rsidRPr="00B518B9">
        <w:rPr>
          <w:rFonts w:cs="Times New Roman"/>
          <w:i/>
          <w:iCs/>
        </w:rPr>
        <w:t>E. coli</w:t>
      </w:r>
      <w:r w:rsidRPr="00B518B9">
        <w:rPr>
          <w:rFonts w:cs="Times New Roman"/>
        </w:rPr>
        <w:t xml:space="preserve"> </w:t>
      </w:r>
      <w:r>
        <w:rPr>
          <w:rFonts w:cs="Times New Roman" w:hint="eastAsia"/>
        </w:rPr>
        <w:t xml:space="preserve">MG1655 </w:t>
      </w:r>
      <w:r w:rsidRPr="005B0FE1">
        <w:rPr>
          <w:rFonts w:cs="Times New Roman"/>
          <w:i/>
          <w:iCs/>
          <w:lang w:val="el-GR"/>
        </w:rPr>
        <w:t>Δ</w:t>
      </w:r>
      <w:r w:rsidRPr="005B0FE1">
        <w:rPr>
          <w:rFonts w:cs="Times New Roman" w:hint="eastAsia"/>
          <w:i/>
          <w:iCs/>
          <w:lang w:val="el-GR"/>
        </w:rPr>
        <w:t xml:space="preserve">iscU-fdx </w:t>
      </w:r>
      <w:r w:rsidRPr="005B0FE1">
        <w:rPr>
          <w:rFonts w:cs="Times New Roman"/>
          <w:i/>
          <w:iCs/>
          <w:lang w:val="el-GR"/>
        </w:rPr>
        <w:t>Δ</w:t>
      </w:r>
      <w:r w:rsidRPr="005B0FE1">
        <w:rPr>
          <w:rFonts w:cs="Times New Roman" w:hint="eastAsia"/>
          <w:i/>
          <w:iCs/>
          <w:lang w:val="el-GR"/>
        </w:rPr>
        <w:t>suf</w:t>
      </w:r>
      <w:r>
        <w:rPr>
          <w:rFonts w:cs="Times New Roman" w:hint="eastAsia"/>
          <w:i/>
          <w:iCs/>
          <w:lang w:val="el-GR"/>
        </w:rPr>
        <w:t>S</w:t>
      </w:r>
      <w:r w:rsidRPr="005B0FE1">
        <w:rPr>
          <w:rFonts w:cs="Times New Roman" w:hint="eastAsia"/>
          <w:i/>
          <w:iCs/>
          <w:lang w:val="el-GR"/>
        </w:rPr>
        <w:t>E::cm</w:t>
      </w:r>
      <w:r w:rsidRPr="005B0FE1">
        <w:rPr>
          <w:rFonts w:cs="Times New Roman" w:hint="eastAsia"/>
          <w:i/>
          <w:iCs/>
          <w:vertAlign w:val="superscript"/>
          <w:lang w:val="el-GR"/>
        </w:rPr>
        <w:t>R</w:t>
      </w:r>
      <w:r w:rsidRPr="005B0FE1">
        <w:rPr>
          <w:rFonts w:cs="Times New Roman" w:hint="eastAsia"/>
          <w:i/>
          <w:iCs/>
          <w:lang w:val="el-GR"/>
        </w:rPr>
        <w:t xml:space="preserve"> MVA</w:t>
      </w:r>
      <w:r w:rsidRPr="005B0FE1">
        <w:rPr>
          <w:rFonts w:cs="Times New Roman" w:hint="eastAsia"/>
          <w:i/>
          <w:iCs/>
          <w:vertAlign w:val="superscript"/>
          <w:lang w:val="el-GR"/>
        </w:rPr>
        <w:t>+</w:t>
      </w:r>
      <w:r w:rsidRPr="005B0FE1">
        <w:rPr>
          <w:rFonts w:cs="Times New Roman" w:hint="eastAsia"/>
          <w:i/>
          <w:iCs/>
          <w:lang w:val="el-GR"/>
        </w:rPr>
        <w:t>-kan</w:t>
      </w:r>
      <w:r w:rsidRPr="005B0FE1">
        <w:rPr>
          <w:rFonts w:cs="Times New Roman" w:hint="eastAsia"/>
          <w:i/>
          <w:iCs/>
          <w:vertAlign w:val="superscript"/>
          <w:lang w:val="el-GR"/>
        </w:rPr>
        <w:t>R</w:t>
      </w:r>
      <w:r w:rsidRPr="005B0FE1">
        <w:rPr>
          <w:rFonts w:cs="Times New Roman" w:hint="eastAsia"/>
          <w:i/>
          <w:iCs/>
          <w:lang w:val="el-GR"/>
        </w:rPr>
        <w:t>-1</w:t>
      </w:r>
      <w:r w:rsidRPr="00B42D13">
        <w:t>) strains carrying the indicated complementation constructs were grown in Super Broth supplemented with 0.4% (w/v) glucose, 0.2% (w/v) L</w:t>
      </w:r>
      <w:r w:rsidRPr="00B42D13">
        <w:noBreakHyphen/>
        <w:t>arabinose, 50 mg L⁻¹ chloramphenicol, 50 mg L⁻¹ kanamycin, 50 mg L⁻¹ ampicillin, and 300 µM MVA at 37 °C. Samples were collected at exponential phase (OD₆₀₀ = 0.4) and at stationary phase (after overnight culture). Protein expression levels of the complemented constructs are shown for the two growth stages.</w:t>
      </w:r>
      <w:r>
        <w:t xml:space="preserve"> </w:t>
      </w:r>
      <w:r w:rsidRPr="003C59BB">
        <w:t xml:space="preserve">Quantification was achieved by calculating the ratio of </w:t>
      </w:r>
      <w:r>
        <w:rPr>
          <w:rFonts w:eastAsiaTheme="minorEastAsia" w:hint="eastAsia"/>
        </w:rPr>
        <w:t>SufS or SufE</w:t>
      </w:r>
      <w:r w:rsidRPr="003C59BB">
        <w:t xml:space="preserve"> </w:t>
      </w:r>
      <w:r>
        <w:rPr>
          <w:rFonts w:eastAsiaTheme="minorEastAsia" w:hint="eastAsia"/>
        </w:rPr>
        <w:t xml:space="preserve">feature peptides </w:t>
      </w:r>
      <w:r w:rsidRPr="003C59BB">
        <w:t xml:space="preserve">to </w:t>
      </w:r>
      <w:r>
        <w:rPr>
          <w:rFonts w:eastAsiaTheme="minorEastAsia" w:hint="eastAsia"/>
        </w:rPr>
        <w:t>stable isotope-labeled standard</w:t>
      </w:r>
      <w:r w:rsidRPr="003C59BB">
        <w:t xml:space="preserve"> peak areas</w:t>
      </w:r>
      <w:r>
        <w:rPr>
          <w:rFonts w:eastAsiaTheme="minorEastAsia" w:hint="eastAsia"/>
        </w:rPr>
        <w:t xml:space="preserve">. </w:t>
      </w:r>
      <w:r>
        <w:t xml:space="preserve"> </w:t>
      </w:r>
    </w:p>
    <w:p w14:paraId="44EEA16A" w14:textId="77777777" w:rsidR="00123633" w:rsidRDefault="00123633" w:rsidP="00123633"/>
    <w:p w14:paraId="11B344D0" w14:textId="77777777" w:rsidR="00123633" w:rsidRDefault="00123633" w:rsidP="00123633">
      <w:pPr>
        <w:sectPr w:rsidR="00123633" w:rsidSect="0012363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563A938" w14:textId="77777777" w:rsidR="00123633" w:rsidRDefault="00123633" w:rsidP="00123633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E175A90" wp14:editId="168C3C5C">
            <wp:extent cx="5267325" cy="4684395"/>
            <wp:effectExtent l="0" t="0" r="9525" b="1905"/>
            <wp:docPr id="5" name="图片 5" descr="A diagram of a bi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 diagram of a bi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68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F9205" w14:textId="77777777" w:rsidR="00123633" w:rsidRPr="00220585" w:rsidRDefault="00123633" w:rsidP="00123633">
      <w:pPr>
        <w:rPr>
          <w:rFonts w:eastAsiaTheme="minorEastAsia"/>
          <w:b/>
          <w:bCs/>
        </w:rPr>
      </w:pPr>
      <w:r>
        <w:rPr>
          <w:b/>
          <w:bCs/>
        </w:rPr>
        <w:t xml:space="preserve">Extended Data </w:t>
      </w:r>
      <w:r w:rsidRPr="0050125B">
        <w:rPr>
          <w:b/>
          <w:bCs/>
        </w:rPr>
        <w:t>Fig</w:t>
      </w:r>
      <w:r>
        <w:rPr>
          <w:b/>
          <w:bCs/>
        </w:rPr>
        <w:t>.</w:t>
      </w:r>
      <w:r w:rsidRPr="0050125B">
        <w:rPr>
          <w:b/>
          <w:bCs/>
        </w:rPr>
        <w:t xml:space="preserve"> </w:t>
      </w:r>
      <w:r>
        <w:rPr>
          <w:rFonts w:eastAsiaTheme="minorEastAsia" w:hint="eastAsia"/>
          <w:b/>
          <w:bCs/>
        </w:rPr>
        <w:t>9</w:t>
      </w:r>
    </w:p>
    <w:p w14:paraId="1C71D15D" w14:textId="77777777" w:rsidR="00123633" w:rsidRPr="009C5A7F" w:rsidRDefault="00123633" w:rsidP="00123633">
      <w:pPr>
        <w:rPr>
          <w:rFonts w:eastAsiaTheme="minorEastAsia"/>
        </w:rPr>
      </w:pPr>
      <w:r w:rsidRPr="00791C17">
        <w:rPr>
          <w:b/>
          <w:bCs/>
        </w:rPr>
        <w:t>Phylogeny of SufS homologues from the NCBI NR database</w:t>
      </w:r>
      <w:r w:rsidRPr="00791C17">
        <w:rPr>
          <w:rFonts w:hint="eastAsia"/>
          <w:b/>
          <w:bCs/>
        </w:rPr>
        <w:t>.</w:t>
      </w:r>
      <w:r>
        <w:rPr>
          <w:rFonts w:hint="eastAsia"/>
        </w:rPr>
        <w:t xml:space="preserve"> </w:t>
      </w:r>
      <w:r w:rsidRPr="00791C17">
        <w:t>Clades highlighted in green denote SufS lineages</w:t>
      </w:r>
      <w:r>
        <w:t>,</w:t>
      </w:r>
      <w:r w:rsidRPr="00791C17">
        <w:t xml:space="preserve"> </w:t>
      </w:r>
      <w:r>
        <w:t xml:space="preserve">similar to </w:t>
      </w:r>
      <w:r w:rsidRPr="00791C17">
        <w:t xml:space="preserve">the </w:t>
      </w:r>
      <w:r>
        <w:t>g</w:t>
      </w:r>
      <w:r w:rsidRPr="00791C17">
        <w:t>ammaproteobacteria II target clade</w:t>
      </w:r>
      <w:r>
        <w:t xml:space="preserve"> of SufE</w:t>
      </w:r>
      <w:r w:rsidRPr="00791C17">
        <w:t>. Taxonomic composition is shown as coloured bands encircling the tree: the inner ring indicates phylum</w:t>
      </w:r>
      <w:r w:rsidRPr="00791C17">
        <w:noBreakHyphen/>
        <w:t>level assignments, and the outer ring resolves class</w:t>
      </w:r>
      <w:r w:rsidRPr="00791C17">
        <w:noBreakHyphen/>
        <w:t>level taxonomy within Proteobacteria.</w:t>
      </w:r>
      <w:bookmarkEnd w:id="0"/>
    </w:p>
    <w:p w14:paraId="03871A7B" w14:textId="77777777" w:rsidR="00E023F9" w:rsidRDefault="00E023F9"/>
    <w:sectPr w:rsidR="00E023F9" w:rsidSect="0012363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633"/>
    <w:rsid w:val="000C4033"/>
    <w:rsid w:val="00123633"/>
    <w:rsid w:val="002C5861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9DC45"/>
  <w15:chartTrackingRefBased/>
  <w15:docId w15:val="{0A428ACC-F145-4ABC-8395-F4974782E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633"/>
    <w:pPr>
      <w:widowControl w:val="0"/>
    </w:pPr>
    <w:rPr>
      <w:rFonts w:ascii="Times New Roman" w:eastAsia="Times New Roman" w:hAnsi="Times New Roman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3633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633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633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633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633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633"/>
    <w:pPr>
      <w:keepNext/>
      <w:keepLines/>
      <w:widowControl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633"/>
    <w:pPr>
      <w:keepNext/>
      <w:keepLines/>
      <w:widowControl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633"/>
    <w:pPr>
      <w:keepNext/>
      <w:keepLines/>
      <w:widowControl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633"/>
    <w:pPr>
      <w:keepNext/>
      <w:keepLines/>
      <w:widowControl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6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6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6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6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6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6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6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6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6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63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236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633"/>
    <w:pPr>
      <w:widowControl/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236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633"/>
    <w:pPr>
      <w:widowControl/>
      <w:spacing w:before="160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236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633"/>
    <w:pPr>
      <w:widowControl/>
      <w:ind w:left="720"/>
      <w:contextualSpacing/>
    </w:pPr>
    <w:rPr>
      <w:rFonts w:asciiTheme="minorHAnsi" w:eastAsiaTheme="minorHAnsi" w:hAnsi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1236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63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6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633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1236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1365</Words>
  <Characters>8054</Characters>
  <Application>Microsoft Office Word</Application>
  <DocSecurity>0</DocSecurity>
  <Lines>134</Lines>
  <Paragraphs>28</Paragraphs>
  <ScaleCrop>false</ScaleCrop>
  <Company/>
  <LinksUpToDate>false</LinksUpToDate>
  <CharactersWithSpaces>9391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2026-01-08T07:45:00Z</dcterms:created>
  <dcterms:modified xsi:type="dcterms:W3CDTF">2026-01-08T07:45:00Z</dcterms:modified>
</cp:coreProperties>
</file>