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D5A" w14:textId="77777777" w:rsidR="005E16AA" w:rsidRDefault="005E16AA" w:rsidP="005E16AA">
      <w:pPr>
        <w:spacing w:after="0" w:line="259" w:lineRule="auto"/>
        <w:ind w:left="1358" w:right="1928" w:hanging="797"/>
        <w:rPr>
          <w:sz w:val="20"/>
        </w:rPr>
      </w:pPr>
    </w:p>
    <w:p w14:paraId="0AC1C0A2" w14:textId="38080D3A" w:rsidR="005E16AA" w:rsidRDefault="005E16AA" w:rsidP="005E16AA">
      <w:pPr>
        <w:spacing w:after="0" w:line="259" w:lineRule="auto"/>
        <w:ind w:left="1358" w:right="1928" w:hanging="797"/>
      </w:pPr>
      <w:r>
        <w:rPr>
          <w:sz w:val="20"/>
        </w:rPr>
        <w:t xml:space="preserve">Table </w:t>
      </w:r>
      <w:r w:rsidR="00E209C9">
        <w:rPr>
          <w:sz w:val="20"/>
        </w:rPr>
        <w:t>1</w:t>
      </w:r>
      <w:r>
        <w:rPr>
          <w:sz w:val="20"/>
        </w:rPr>
        <w:t>.</w:t>
      </w:r>
      <w:r>
        <w:rPr>
          <w:rFonts w:asciiTheme="minorEastAsia" w:eastAsiaTheme="minorEastAsia" w:hAnsiTheme="minorEastAsia" w:hint="eastAsia"/>
          <w:sz w:val="20"/>
        </w:rPr>
        <w:t xml:space="preserve"> </w:t>
      </w:r>
      <w:r>
        <w:rPr>
          <w:sz w:val="20"/>
        </w:rPr>
        <w:t xml:space="preserve"> Performance of eleven classifiers for prediction of high-grade and low-grade Fuhrman high nuclear grades for Gabor features groups</w:t>
      </w:r>
      <w:r>
        <w:rPr>
          <w:sz w:val="22"/>
        </w:rPr>
        <w:t xml:space="preserve"> </w:t>
      </w:r>
    </w:p>
    <w:tbl>
      <w:tblPr>
        <w:tblStyle w:val="TableGrid"/>
        <w:tblW w:w="7798" w:type="dxa"/>
        <w:tblInd w:w="566" w:type="dxa"/>
        <w:tblCellMar>
          <w:top w:w="37" w:type="dxa"/>
          <w:left w:w="5" w:type="dxa"/>
        </w:tblCellMar>
        <w:tblLook w:val="04A0" w:firstRow="1" w:lastRow="0" w:firstColumn="1" w:lastColumn="0" w:noHBand="0" w:noVBand="1"/>
      </w:tblPr>
      <w:tblGrid>
        <w:gridCol w:w="1831"/>
        <w:gridCol w:w="852"/>
        <w:gridCol w:w="862"/>
        <w:gridCol w:w="1418"/>
        <w:gridCol w:w="850"/>
        <w:gridCol w:w="991"/>
        <w:gridCol w:w="994"/>
      </w:tblGrid>
      <w:tr w:rsidR="005E16AA" w14:paraId="0DFDC1C8" w14:textId="77777777" w:rsidTr="004D121F">
        <w:trPr>
          <w:trHeight w:val="25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D22" w14:textId="77777777" w:rsidR="005E16AA" w:rsidRDefault="005E16AA" w:rsidP="004D121F">
            <w:pPr>
              <w:spacing w:after="0" w:line="259" w:lineRule="auto"/>
              <w:ind w:left="0" w:right="163" w:firstLine="0"/>
              <w:jc w:val="right"/>
            </w:pPr>
            <w:r>
              <w:rPr>
                <w:sz w:val="20"/>
              </w:rPr>
              <w:t xml:space="preserve">Types of classifiers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79BA" w14:textId="77777777" w:rsidR="005E16AA" w:rsidRDefault="005E16AA" w:rsidP="004D121F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TPR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AF62" w14:textId="77777777" w:rsidR="005E16AA" w:rsidRDefault="005E16AA" w:rsidP="004D121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TNR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2222" w14:textId="77777777" w:rsidR="005E16AA" w:rsidRDefault="005E16AA" w:rsidP="004D121F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Percent correct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62E5" w14:textId="77777777" w:rsidR="005E16AA" w:rsidRDefault="005E16AA" w:rsidP="004D121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Recall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BE70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Precision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A0F6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AUROC</w:t>
            </w:r>
            <w:r>
              <w:rPr>
                <w:sz w:val="22"/>
              </w:rPr>
              <w:t xml:space="preserve"> </w:t>
            </w:r>
          </w:p>
        </w:tc>
      </w:tr>
      <w:tr w:rsidR="005E16AA" w14:paraId="6CE81A93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2E9" w14:textId="77777777" w:rsidR="005E16AA" w:rsidRDefault="005E16AA" w:rsidP="004D121F">
            <w:pPr>
              <w:spacing w:after="0" w:line="259" w:lineRule="auto"/>
              <w:ind w:left="526" w:firstLine="0"/>
            </w:pPr>
            <w:proofErr w:type="spellStart"/>
            <w:r>
              <w:rPr>
                <w:sz w:val="20"/>
              </w:rPr>
              <w:t>BayesNet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59C2" w14:textId="77777777" w:rsidR="005E16AA" w:rsidRDefault="005E16AA" w:rsidP="004D121F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DA6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0.41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86F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45.45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5DD5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03F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0.42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FFC0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0.43 </w:t>
            </w:r>
          </w:p>
        </w:tc>
      </w:tr>
      <w:tr w:rsidR="005E16AA" w14:paraId="2E6E53C0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7197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rPr>
                <w:sz w:val="20"/>
              </w:rPr>
              <w:t>NaiveBayes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ED1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3447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0.63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2E14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63.64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AE80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83C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D034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0.77 v </w:t>
            </w:r>
          </w:p>
        </w:tc>
      </w:tr>
      <w:tr w:rsidR="005E16AA" w14:paraId="0B580513" w14:textId="77777777" w:rsidTr="004D121F">
        <w:trPr>
          <w:trHeight w:val="29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C610" w14:textId="77777777" w:rsidR="005E16AA" w:rsidRDefault="005E16AA" w:rsidP="004D121F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sz w:val="20"/>
              </w:rPr>
              <w:t>LibSVM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416E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0F32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0.63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E348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63.64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0D23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B23D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7C50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0.63 v </w:t>
            </w:r>
          </w:p>
        </w:tc>
      </w:tr>
      <w:tr w:rsidR="005E16AA" w14:paraId="7BD803B6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4E9E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Logistic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DD63" w14:textId="77777777" w:rsidR="005E16AA" w:rsidRDefault="005E16AA" w:rsidP="004D121F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E92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0.45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1E8E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45.45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D646" w14:textId="77777777" w:rsidR="005E16AA" w:rsidRDefault="005E16AA" w:rsidP="004D121F">
            <w:pPr>
              <w:spacing w:after="0" w:line="259" w:lineRule="auto"/>
              <w:ind w:left="310" w:firstLine="0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71B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0.45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822D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0.48 v </w:t>
            </w:r>
          </w:p>
        </w:tc>
      </w:tr>
      <w:tr w:rsidR="005E16AA" w14:paraId="2FC0A423" w14:textId="77777777" w:rsidTr="004D121F">
        <w:trPr>
          <w:trHeight w:val="29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57A0" w14:textId="77777777" w:rsidR="005E16AA" w:rsidRDefault="005E16AA" w:rsidP="004D121F">
            <w:pPr>
              <w:spacing w:after="0" w:line="259" w:lineRule="auto"/>
              <w:ind w:left="38" w:firstLine="0"/>
              <w:jc w:val="both"/>
            </w:pPr>
            <w:proofErr w:type="spellStart"/>
            <w:r>
              <w:rPr>
                <w:sz w:val="20"/>
              </w:rPr>
              <w:t>MultilayerPerceptron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6E5D" w14:textId="77777777" w:rsidR="005E16AA" w:rsidRDefault="005E16AA" w:rsidP="004D121F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C6F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0.48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B8AE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45.45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DCCE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8C65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0.47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FC6C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0.43 </w:t>
            </w:r>
          </w:p>
        </w:tc>
      </w:tr>
      <w:tr w:rsidR="005E16AA" w14:paraId="3581BA7B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9195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SMO-poly-kernel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C3D1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F5BB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0.71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C161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72.73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3C9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E627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0AA9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0.72 v </w:t>
            </w:r>
          </w:p>
        </w:tc>
      </w:tr>
      <w:tr w:rsidR="005E16AA" w14:paraId="12556B55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C64B" w14:textId="77777777" w:rsidR="005E16AA" w:rsidRDefault="005E16AA" w:rsidP="004D121F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sz w:val="20"/>
              </w:rPr>
              <w:t>IBk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B45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F9B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0.71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979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72.73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7A77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1A53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CB5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0.72 v </w:t>
            </w:r>
          </w:p>
        </w:tc>
      </w:tr>
      <w:tr w:rsidR="005E16AA" w14:paraId="5122FEB7" w14:textId="77777777" w:rsidTr="004D121F">
        <w:trPr>
          <w:trHeight w:val="29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B9B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AdaBoostM1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E33" w14:textId="77777777" w:rsidR="005E16AA" w:rsidRDefault="005E16AA" w:rsidP="004D121F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5BCA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0.41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363E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45.45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48A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0.45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2EEE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0.42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3069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0.45 v </w:t>
            </w:r>
          </w:p>
        </w:tc>
      </w:tr>
      <w:tr w:rsidR="005E16AA" w14:paraId="37C81A6C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2C3" w14:textId="77777777" w:rsidR="005E16AA" w:rsidRDefault="005E16AA" w:rsidP="004D121F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Bagging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C58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D5DB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0.74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AA4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72.73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303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0.73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B756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0.74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31A4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0.53 v </w:t>
            </w:r>
          </w:p>
        </w:tc>
      </w:tr>
      <w:tr w:rsidR="005E16AA" w14:paraId="15817E0C" w14:textId="77777777" w:rsidTr="004D121F">
        <w:trPr>
          <w:trHeight w:val="29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3C5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J48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CA93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0.55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311D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0.52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D27E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54.55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504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0.55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ABE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0.54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8F04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0.53 v </w:t>
            </w:r>
          </w:p>
        </w:tc>
      </w:tr>
      <w:tr w:rsidR="005E16AA" w14:paraId="611D5965" w14:textId="77777777" w:rsidTr="004D121F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53EC" w14:textId="77777777" w:rsidR="005E16AA" w:rsidRDefault="005E16AA" w:rsidP="004D121F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rPr>
                <w:sz w:val="20"/>
              </w:rPr>
              <w:t>RandomForest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5C1B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0.55 v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358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0.52 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EE6" w14:textId="77777777" w:rsidR="005E16AA" w:rsidRDefault="005E16AA" w:rsidP="004D121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54.55 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5C9" w14:textId="77777777" w:rsidR="005E16AA" w:rsidRDefault="005E16AA" w:rsidP="004D121F">
            <w:pPr>
              <w:spacing w:after="0" w:line="259" w:lineRule="auto"/>
              <w:ind w:left="158" w:firstLine="0"/>
            </w:pPr>
            <w:r>
              <w:rPr>
                <w:sz w:val="22"/>
              </w:rPr>
              <w:t xml:space="preserve">0.55 v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E69C" w14:textId="77777777" w:rsidR="005E16AA" w:rsidRDefault="005E16AA" w:rsidP="004D121F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0.54 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B70E" w14:textId="77777777" w:rsidR="005E16AA" w:rsidRDefault="005E16AA" w:rsidP="004D12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0.67 v </w:t>
            </w:r>
          </w:p>
        </w:tc>
      </w:tr>
    </w:tbl>
    <w:p w14:paraId="684AB1AB" w14:textId="479ECBA9" w:rsidR="005E16AA" w:rsidRDefault="005E16AA" w:rsidP="005E16AA">
      <w:pPr>
        <w:spacing w:after="10" w:line="248" w:lineRule="auto"/>
        <w:ind w:left="561" w:right="1708"/>
        <w:jc w:val="both"/>
      </w:pPr>
      <w:r>
        <w:rPr>
          <w:sz w:val="20"/>
        </w:rPr>
        <w:t xml:space="preserve">Abbreviations: TPR, true positive rate; TNR, true negative rate; AUROC, area under </w:t>
      </w:r>
      <w:proofErr w:type="gramStart"/>
      <w:r>
        <w:rPr>
          <w:sz w:val="20"/>
        </w:rPr>
        <w:t>receiver  operating</w:t>
      </w:r>
      <w:proofErr w:type="gramEnd"/>
      <w:r>
        <w:rPr>
          <w:sz w:val="20"/>
        </w:rPr>
        <w:t xml:space="preserve"> characteristic curve; GLCM, Gray-level co-occurrence matrix; v, significant better; *, significant worse; AdaBoostM1, Boosting; </w:t>
      </w:r>
      <w:proofErr w:type="spellStart"/>
      <w:r>
        <w:rPr>
          <w:sz w:val="20"/>
        </w:rPr>
        <w:t>RandomForest</w:t>
      </w:r>
      <w:proofErr w:type="spellEnd"/>
      <w:r>
        <w:rPr>
          <w:sz w:val="20"/>
        </w:rPr>
        <w:t xml:space="preserve">, Random Forest Tree; </w:t>
      </w:r>
      <w:proofErr w:type="spellStart"/>
      <w:r>
        <w:rPr>
          <w:sz w:val="20"/>
        </w:rPr>
        <w:t>NaiveBayes</w:t>
      </w:r>
      <w:proofErr w:type="spellEnd"/>
      <w:r>
        <w:rPr>
          <w:sz w:val="20"/>
        </w:rPr>
        <w:t xml:space="preserve">, Naive Bayes; J48, Decision Trees; </w:t>
      </w:r>
      <w:proofErr w:type="spellStart"/>
      <w:r>
        <w:rPr>
          <w:sz w:val="20"/>
        </w:rPr>
        <w:t>IBk</w:t>
      </w:r>
      <w:proofErr w:type="spellEnd"/>
      <w:r>
        <w:rPr>
          <w:sz w:val="20"/>
        </w:rPr>
        <w:t xml:space="preserve">, K- Nearest Neighbors;  </w:t>
      </w:r>
    </w:p>
    <w:p w14:paraId="48FCE8CB" w14:textId="214795AD" w:rsidR="005E16AA" w:rsidRDefault="005E16AA" w:rsidP="005E16AA">
      <w:pPr>
        <w:spacing w:after="10" w:line="248" w:lineRule="auto"/>
        <w:ind w:left="561" w:right="1269"/>
        <w:jc w:val="both"/>
      </w:pPr>
      <w:proofErr w:type="spellStart"/>
      <w:r>
        <w:rPr>
          <w:sz w:val="20"/>
        </w:rPr>
        <w:t>BayesNet</w:t>
      </w:r>
      <w:proofErr w:type="spellEnd"/>
      <w:r>
        <w:rPr>
          <w:sz w:val="20"/>
        </w:rPr>
        <w:t xml:space="preserve">, Bayesian Network; Multilayer Perceptron, Artificial Neural Networks; </w:t>
      </w:r>
      <w:proofErr w:type="gramStart"/>
      <w:r>
        <w:rPr>
          <w:sz w:val="20"/>
        </w:rPr>
        <w:t>Logistic;  Logistic</w:t>
      </w:r>
      <w:proofErr w:type="gramEnd"/>
      <w:r>
        <w:rPr>
          <w:sz w:val="20"/>
        </w:rPr>
        <w:t xml:space="preserve"> Regression; SMO-poly-kernel, Support Vector Machine based on poly-kernel. P&lt; 0.05 </w:t>
      </w:r>
    </w:p>
    <w:p w14:paraId="3AE2758B" w14:textId="77777777" w:rsidR="006F4B2B" w:rsidRDefault="006F4B2B" w:rsidP="005E16AA">
      <w:pPr>
        <w:rPr>
          <w:rFonts w:eastAsiaTheme="minorEastAsia"/>
        </w:rPr>
      </w:pPr>
    </w:p>
    <w:p w14:paraId="330BE7FB" w14:textId="77777777" w:rsidR="005E16AA" w:rsidRDefault="005E16AA" w:rsidP="005E16AA">
      <w:pPr>
        <w:rPr>
          <w:rFonts w:eastAsiaTheme="minorEastAsia"/>
        </w:rPr>
      </w:pPr>
    </w:p>
    <w:p w14:paraId="235B861F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55C5AA80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00E47D2A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6ABA1A39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3C0BA59A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23D1D3E0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5173FB05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4B76BA5C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1751C810" w14:textId="77777777" w:rsidR="005E16AA" w:rsidRDefault="005E16AA" w:rsidP="005E16AA">
      <w:pPr>
        <w:spacing w:after="0" w:line="259" w:lineRule="auto"/>
        <w:ind w:left="571" w:right="1928"/>
        <w:rPr>
          <w:sz w:val="20"/>
        </w:rPr>
      </w:pPr>
    </w:p>
    <w:p w14:paraId="040A2580" w14:textId="011631CD" w:rsidR="005E16AA" w:rsidRDefault="005E16AA" w:rsidP="005E16AA">
      <w:pPr>
        <w:spacing w:after="0" w:line="259" w:lineRule="auto"/>
        <w:ind w:left="571" w:right="1928"/>
      </w:pPr>
      <w:r>
        <w:rPr>
          <w:sz w:val="20"/>
        </w:rPr>
        <w:t xml:space="preserve">Table </w:t>
      </w:r>
      <w:r w:rsidR="00E209C9">
        <w:rPr>
          <w:sz w:val="20"/>
        </w:rPr>
        <w:t>2</w:t>
      </w:r>
      <w:r>
        <w:rPr>
          <w:sz w:val="20"/>
        </w:rPr>
        <w:t>. Performance of eleven classifiers for prediction of high-grade and low-grade Fuhrman nuclear groups for GLCM features groups</w:t>
      </w:r>
      <w:r>
        <w:rPr>
          <w:sz w:val="22"/>
        </w:rPr>
        <w:t xml:space="preserve"> </w:t>
      </w:r>
    </w:p>
    <w:tbl>
      <w:tblPr>
        <w:tblStyle w:val="TableGrid"/>
        <w:tblW w:w="8213" w:type="dxa"/>
        <w:tblInd w:w="576" w:type="dxa"/>
        <w:tblCellMar>
          <w:top w:w="33" w:type="dxa"/>
          <w:left w:w="91" w:type="dxa"/>
          <w:right w:w="36" w:type="dxa"/>
        </w:tblCellMar>
        <w:tblLook w:val="04A0" w:firstRow="1" w:lastRow="0" w:firstColumn="1" w:lastColumn="0" w:noHBand="0" w:noVBand="1"/>
      </w:tblPr>
      <w:tblGrid>
        <w:gridCol w:w="1975"/>
        <w:gridCol w:w="710"/>
        <w:gridCol w:w="850"/>
        <w:gridCol w:w="1558"/>
        <w:gridCol w:w="852"/>
        <w:gridCol w:w="991"/>
        <w:gridCol w:w="1277"/>
      </w:tblGrid>
      <w:tr w:rsidR="005E16AA" w14:paraId="7A1B8766" w14:textId="77777777" w:rsidTr="004D121F">
        <w:trPr>
          <w:trHeight w:val="253"/>
        </w:trPr>
        <w:tc>
          <w:tcPr>
            <w:tcW w:w="1975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44D63FD" w14:textId="77777777" w:rsidR="005E16AA" w:rsidRDefault="005E16AA" w:rsidP="004D121F">
            <w:pPr>
              <w:spacing w:after="0" w:line="259" w:lineRule="auto"/>
              <w:ind w:left="139" w:firstLine="0"/>
            </w:pPr>
            <w:r>
              <w:rPr>
                <w:sz w:val="20"/>
              </w:rPr>
              <w:t xml:space="preserve">Types of classifiers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8019522" w14:textId="77777777" w:rsidR="005E16AA" w:rsidRDefault="005E16AA" w:rsidP="004D121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TPR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FC32A57" w14:textId="77777777" w:rsidR="005E16AA" w:rsidRDefault="005E16AA" w:rsidP="004D121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>TNR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D3C4883" w14:textId="77777777" w:rsidR="005E16AA" w:rsidRDefault="005E16AA" w:rsidP="004D121F">
            <w:pPr>
              <w:spacing w:after="0" w:line="259" w:lineRule="auto"/>
              <w:ind w:left="60" w:firstLine="0"/>
            </w:pPr>
            <w:r>
              <w:rPr>
                <w:sz w:val="20"/>
              </w:rPr>
              <w:t>Percent correct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CB69BA2" w14:textId="77777777" w:rsidR="005E16AA" w:rsidRDefault="005E16AA" w:rsidP="004D121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Recall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47D9216" w14:textId="77777777" w:rsidR="005E16AA" w:rsidRDefault="005E16AA" w:rsidP="004D121F">
            <w:pPr>
              <w:spacing w:after="0" w:line="259" w:lineRule="auto"/>
              <w:ind w:left="34" w:firstLine="0"/>
            </w:pPr>
            <w:r>
              <w:rPr>
                <w:sz w:val="20"/>
              </w:rPr>
              <w:t>Precision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05A0FC3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AUROC</w:t>
            </w:r>
            <w:r>
              <w:rPr>
                <w:sz w:val="22"/>
              </w:rPr>
              <w:t xml:space="preserve"> </w:t>
            </w:r>
          </w:p>
        </w:tc>
      </w:tr>
      <w:tr w:rsidR="005E16AA" w14:paraId="29100C5C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D2652E9" w14:textId="77777777" w:rsidR="005E16AA" w:rsidRDefault="005E16AA" w:rsidP="004D121F">
            <w:pPr>
              <w:spacing w:after="0" w:line="259" w:lineRule="auto"/>
              <w:ind w:left="511" w:firstLine="0"/>
            </w:pPr>
            <w:proofErr w:type="spellStart"/>
            <w:r>
              <w:rPr>
                <w:sz w:val="20"/>
              </w:rPr>
              <w:t>BayesNet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2477C0E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B6EDC88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70F3721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54.55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DC2D225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6049129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841A2D2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</w:tr>
      <w:tr w:rsidR="005E16AA" w14:paraId="630EC2E6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7B6F67E" w14:textId="77777777" w:rsidR="005E16AA" w:rsidRDefault="005E16AA" w:rsidP="004D121F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sz w:val="20"/>
              </w:rPr>
              <w:t>NaiveBayes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11B2E24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AC60A46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A84E82F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45.45 *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7CC3B3A" w14:textId="77777777" w:rsidR="005E16AA" w:rsidRDefault="005E16AA" w:rsidP="004D121F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08E5FB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D6B93B8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0.43 * </w:t>
            </w:r>
          </w:p>
        </w:tc>
      </w:tr>
      <w:tr w:rsidR="005E16AA" w14:paraId="348A5AA4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857CF37" w14:textId="77777777" w:rsidR="005E16AA" w:rsidRDefault="005E16AA" w:rsidP="004D121F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sz w:val="20"/>
              </w:rPr>
              <w:t>LibSVM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BB54CC4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54EE89A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F3E16EA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54.55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C01E6F9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006C1BD" w14:textId="77777777" w:rsidR="005E16AA" w:rsidRDefault="005E16AA" w:rsidP="004D121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E433D10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0.50 * </w:t>
            </w:r>
          </w:p>
        </w:tc>
      </w:tr>
      <w:tr w:rsidR="005E16AA" w14:paraId="7EDD0B25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AC41886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>Logistic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FEDA972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B8A28F2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0.60 v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E519E08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63.64 v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C289C1B" w14:textId="77777777" w:rsidR="005E16AA" w:rsidRDefault="005E16AA" w:rsidP="004D121F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CF993BF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DA5DB5C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0.67 v </w:t>
            </w:r>
          </w:p>
        </w:tc>
      </w:tr>
      <w:tr w:rsidR="005E16AA" w14:paraId="00D1F19E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1018986" w14:textId="77777777" w:rsidR="005E16AA" w:rsidRDefault="005E16AA" w:rsidP="004D121F">
            <w:pPr>
              <w:spacing w:after="0" w:line="259" w:lineRule="auto"/>
              <w:ind w:left="22" w:firstLine="0"/>
            </w:pPr>
            <w:proofErr w:type="spellStart"/>
            <w:r>
              <w:rPr>
                <w:sz w:val="20"/>
              </w:rPr>
              <w:t>MultilayerPerceptron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3058F8E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0.36 *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7610510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0.34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00C3148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36.36 *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ECB8021" w14:textId="77777777" w:rsidR="005E16AA" w:rsidRDefault="005E16AA" w:rsidP="004D121F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 xml:space="preserve">0.36 *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FFF5E2F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0.35 *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2CD1601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0.30 * </w:t>
            </w:r>
          </w:p>
        </w:tc>
      </w:tr>
      <w:tr w:rsidR="005E16AA" w14:paraId="35B5678C" w14:textId="77777777" w:rsidTr="004D121F">
        <w:trPr>
          <w:trHeight w:val="295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12EF84B" w14:textId="77777777" w:rsidR="005E16AA" w:rsidRDefault="005E16AA" w:rsidP="004D121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SMO-poly-kernel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1F80A12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0.36 *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3A73C0E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0.34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1B7A946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36.36 *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DE5A124" w14:textId="77777777" w:rsidR="005E16AA" w:rsidRDefault="005E16AA" w:rsidP="004D121F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 xml:space="preserve">0.36 *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D63E38F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0.35 *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C1D93A2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0.35 * </w:t>
            </w:r>
          </w:p>
        </w:tc>
      </w:tr>
      <w:tr w:rsidR="005E16AA" w14:paraId="2E2F32D8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B523A75" w14:textId="77777777" w:rsidR="005E16AA" w:rsidRDefault="005E16AA" w:rsidP="004D121F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0"/>
              </w:rPr>
              <w:t>IBk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C9950C0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0BBC312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0.48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E3763FA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45.45 *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E0350E0" w14:textId="77777777" w:rsidR="005E16AA" w:rsidRDefault="005E16AA" w:rsidP="004D121F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0428029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0.47 *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23B761E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0.47 * </w:t>
            </w:r>
          </w:p>
        </w:tc>
      </w:tr>
      <w:tr w:rsidR="005E16AA" w14:paraId="4B0E4C01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3BE490E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AdaBoostM1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6058DF5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E23AABF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0.60 v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95A4ACF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63.64 v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7F4D6EB" w14:textId="77777777" w:rsidR="005E16AA" w:rsidRDefault="005E16AA" w:rsidP="004D121F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6E5C88B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0.64 v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84B47CE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0.58 v </w:t>
            </w:r>
          </w:p>
        </w:tc>
      </w:tr>
      <w:tr w:rsidR="005E16AA" w14:paraId="76981E40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E86959B" w14:textId="77777777" w:rsidR="005E16AA" w:rsidRDefault="005E16AA" w:rsidP="004D121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Bagging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C2653F2" w14:textId="77777777" w:rsidR="005E16AA" w:rsidRDefault="005E16AA" w:rsidP="004D121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0.36 *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56F2F79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0.34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57D1684" w14:textId="77777777" w:rsidR="005E16AA" w:rsidRDefault="005E16AA" w:rsidP="004D121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36.36 *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AD58C76" w14:textId="77777777" w:rsidR="005E16AA" w:rsidRDefault="005E16AA" w:rsidP="004D121F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 xml:space="preserve">0.36 *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D7A61C8" w14:textId="77777777" w:rsidR="005E16AA" w:rsidRDefault="005E16AA" w:rsidP="004D121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B062A78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0.47 * </w:t>
            </w:r>
          </w:p>
        </w:tc>
      </w:tr>
      <w:tr w:rsidR="005E16AA" w14:paraId="6EB56CC5" w14:textId="77777777" w:rsidTr="004D121F">
        <w:trPr>
          <w:trHeight w:val="293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4CD633A" w14:textId="77777777" w:rsidR="005E16AA" w:rsidRDefault="005E16AA" w:rsidP="004D121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J48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6648A28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A14CB18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0.45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AC011C9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54.55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5774375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3B63A7A9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0.35 *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923D529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0.50 * </w:t>
            </w:r>
          </w:p>
        </w:tc>
      </w:tr>
      <w:tr w:rsidR="005E16AA" w14:paraId="7887378E" w14:textId="77777777" w:rsidTr="004D121F">
        <w:trPr>
          <w:trHeight w:val="294"/>
        </w:trPr>
        <w:tc>
          <w:tcPr>
            <w:tcW w:w="197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AAA8B" w14:textId="77777777" w:rsidR="005E16AA" w:rsidRDefault="005E16AA" w:rsidP="004D121F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sz w:val="20"/>
              </w:rPr>
              <w:t>RandomForest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D5C68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EC751" w14:textId="77777777" w:rsidR="005E16AA" w:rsidRDefault="005E16AA" w:rsidP="004D121F">
            <w:pPr>
              <w:spacing w:after="0" w:line="259" w:lineRule="auto"/>
              <w:ind w:left="70" w:firstLine="0"/>
            </w:pPr>
            <w:r>
              <w:rPr>
                <w:sz w:val="22"/>
              </w:rPr>
              <w:t xml:space="preserve">0.52 *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377B" w14:textId="77777777" w:rsidR="005E16AA" w:rsidRDefault="005E16AA" w:rsidP="004D121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54.55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4759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0.55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D6C1" w14:textId="77777777" w:rsidR="005E16AA" w:rsidRDefault="005E16AA" w:rsidP="004D121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0.54 *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E9783" w14:textId="77777777" w:rsidR="005E16AA" w:rsidRDefault="005E16AA" w:rsidP="004D121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0.48 * </w:t>
            </w:r>
          </w:p>
        </w:tc>
      </w:tr>
    </w:tbl>
    <w:p w14:paraId="766B40E9" w14:textId="77777777" w:rsidR="005E16AA" w:rsidRDefault="005E16AA" w:rsidP="005E16AA">
      <w:pPr>
        <w:spacing w:after="45" w:line="248" w:lineRule="auto"/>
        <w:ind w:left="561" w:right="1798"/>
        <w:jc w:val="both"/>
      </w:pPr>
      <w:r>
        <w:rPr>
          <w:sz w:val="20"/>
        </w:rPr>
        <w:t xml:space="preserve">Abbreviations: v, significant better; *, significant worse; </w:t>
      </w:r>
      <w:r>
        <w:rPr>
          <w:sz w:val="22"/>
        </w:rPr>
        <w:t xml:space="preserve">-, </w:t>
      </w:r>
      <w:r>
        <w:rPr>
          <w:sz w:val="20"/>
        </w:rPr>
        <w:t>cannot be computed by</w:t>
      </w:r>
      <w:r>
        <w:rPr>
          <w:sz w:val="22"/>
        </w:rPr>
        <w:t xml:space="preserve"> WEKA</w:t>
      </w:r>
      <w:r>
        <w:rPr>
          <w:sz w:val="20"/>
        </w:rPr>
        <w:t>;</w:t>
      </w:r>
      <w:r>
        <w:rPr>
          <w:sz w:val="22"/>
        </w:rPr>
        <w:t xml:space="preserve"> </w:t>
      </w:r>
      <w:r>
        <w:rPr>
          <w:sz w:val="20"/>
        </w:rPr>
        <w:t xml:space="preserve">TPR, true positive rate; TNR, true negative rate; AUROC, area under receiver operating characteristic curve; GLCM, Gray-level co-occurrence matrix; AdaBoostM1, Boosting; </w:t>
      </w:r>
      <w:proofErr w:type="spellStart"/>
      <w:r>
        <w:rPr>
          <w:sz w:val="20"/>
        </w:rPr>
        <w:t>RandomForest</w:t>
      </w:r>
      <w:proofErr w:type="spellEnd"/>
      <w:r>
        <w:rPr>
          <w:sz w:val="20"/>
        </w:rPr>
        <w:t xml:space="preserve">, Random Forest Tree; </w:t>
      </w:r>
      <w:proofErr w:type="spellStart"/>
      <w:r>
        <w:rPr>
          <w:sz w:val="20"/>
        </w:rPr>
        <w:t>NaiveBayes</w:t>
      </w:r>
      <w:proofErr w:type="spellEnd"/>
      <w:r>
        <w:rPr>
          <w:sz w:val="20"/>
        </w:rPr>
        <w:t xml:space="preserve">, Naive Bayes; J48, Decision trees; </w:t>
      </w:r>
      <w:proofErr w:type="spellStart"/>
      <w:r>
        <w:rPr>
          <w:sz w:val="20"/>
        </w:rPr>
        <w:t>IBk</w:t>
      </w:r>
      <w:proofErr w:type="spellEnd"/>
      <w:r>
        <w:rPr>
          <w:sz w:val="20"/>
        </w:rPr>
        <w:t xml:space="preserve">, K- Nearest Neighbors; </w:t>
      </w:r>
      <w:proofErr w:type="spellStart"/>
      <w:r>
        <w:rPr>
          <w:sz w:val="20"/>
        </w:rPr>
        <w:t>BayesNet</w:t>
      </w:r>
      <w:proofErr w:type="spellEnd"/>
      <w:r>
        <w:rPr>
          <w:sz w:val="20"/>
        </w:rPr>
        <w:t>, Bayesian Network; Multilayer Perceptron, Artificial Neural Networks; Logistic; Logistic Regression; SMO-</w:t>
      </w:r>
      <w:proofErr w:type="spellStart"/>
      <w:r>
        <w:rPr>
          <w:sz w:val="20"/>
        </w:rPr>
        <w:t>polykernel</w:t>
      </w:r>
      <w:proofErr w:type="spellEnd"/>
      <w:r>
        <w:rPr>
          <w:sz w:val="20"/>
        </w:rPr>
        <w:t xml:space="preserve">, Support Vector Machine  based on poly-kernel. P&lt; 0.05 </w:t>
      </w:r>
    </w:p>
    <w:p w14:paraId="0BA63471" w14:textId="77777777" w:rsidR="005E16AA" w:rsidRDefault="005E16AA" w:rsidP="005E16AA">
      <w:pPr>
        <w:spacing w:after="0" w:line="259" w:lineRule="auto"/>
        <w:ind w:left="566" w:firstLine="0"/>
      </w:pPr>
      <w:r>
        <w:t xml:space="preserve"> </w:t>
      </w:r>
    </w:p>
    <w:p w14:paraId="02368807" w14:textId="77777777" w:rsidR="005E16AA" w:rsidRDefault="005E16AA" w:rsidP="005E16AA">
      <w:pPr>
        <w:spacing w:after="0" w:line="259" w:lineRule="auto"/>
        <w:ind w:left="1358" w:right="1928" w:hanging="797"/>
        <w:rPr>
          <w:sz w:val="20"/>
        </w:rPr>
      </w:pPr>
    </w:p>
    <w:p w14:paraId="3126EF65" w14:textId="77777777" w:rsidR="005E16AA" w:rsidRPr="005E16AA" w:rsidRDefault="005E16AA" w:rsidP="005E16AA">
      <w:pPr>
        <w:rPr>
          <w:rFonts w:eastAsiaTheme="minorEastAsia"/>
        </w:rPr>
      </w:pPr>
    </w:p>
    <w:sectPr w:rsidR="005E16AA" w:rsidRPr="005E16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AA"/>
    <w:rsid w:val="00264AD8"/>
    <w:rsid w:val="002C14CF"/>
    <w:rsid w:val="00524B12"/>
    <w:rsid w:val="005E16AA"/>
    <w:rsid w:val="006F4B2B"/>
    <w:rsid w:val="00E2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3D0D"/>
  <w15:chartTrackingRefBased/>
  <w15:docId w15:val="{86703DBE-1309-4B2D-B8DA-6F4D2BD1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6AA"/>
    <w:pPr>
      <w:spacing w:after="3" w:line="249" w:lineRule="auto"/>
      <w:ind w:left="576" w:hanging="10"/>
    </w:pPr>
    <w:rPr>
      <w:rFonts w:ascii="Times New Roman" w:eastAsia="Times New Roman" w:hAnsi="Times New Roman" w:cs="Times New Roman"/>
      <w:color w:val="00000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16AA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震宇 王</dc:creator>
  <cp:keywords/>
  <dc:description/>
  <cp:lastModifiedBy> nephrol</cp:lastModifiedBy>
  <cp:revision>2</cp:revision>
  <dcterms:created xsi:type="dcterms:W3CDTF">2025-10-21T19:25:00Z</dcterms:created>
  <dcterms:modified xsi:type="dcterms:W3CDTF">2025-10-21T19:25:00Z</dcterms:modified>
</cp:coreProperties>
</file>