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0492" w14:textId="6BE229FF" w:rsidR="00452659" w:rsidRPr="00452659" w:rsidRDefault="00452659" w:rsidP="00452659">
      <w:pPr>
        <w:spacing w:before="120" w:after="120" w:line="480" w:lineRule="auto"/>
        <w:jc w:val="both"/>
        <w:rPr>
          <w:rFonts w:ascii="Times New Roman" w:hAnsi="Times New Roman" w:cs="Times New Roman"/>
          <w:b/>
          <w:bCs/>
        </w:rPr>
      </w:pPr>
      <w:r w:rsidRPr="00452659">
        <w:rPr>
          <w:rFonts w:ascii="Times New Roman" w:hAnsi="Times New Roman" w:cs="Times New Roman"/>
          <w:b/>
          <w:bCs/>
        </w:rPr>
        <w:t>SUPPLEMENTAL METHODS</w:t>
      </w:r>
    </w:p>
    <w:p w14:paraId="54CB0B36" w14:textId="77777777" w:rsidR="00452659" w:rsidRPr="003F3C74" w:rsidRDefault="00452659" w:rsidP="00452659">
      <w:pPr>
        <w:spacing w:before="120" w:after="120" w:line="480" w:lineRule="auto"/>
        <w:jc w:val="both"/>
        <w:rPr>
          <w:rFonts w:ascii="Times New Roman" w:hAnsi="Times New Roman" w:cs="Times New Roman"/>
          <w:b/>
          <w:iCs/>
        </w:rPr>
      </w:pPr>
      <w:r w:rsidRPr="003F3C74">
        <w:rPr>
          <w:rFonts w:ascii="Times New Roman" w:hAnsi="Times New Roman" w:cs="Times New Roman"/>
          <w:b/>
          <w:iCs/>
        </w:rPr>
        <w:t>Cell Culture</w:t>
      </w:r>
    </w:p>
    <w:p w14:paraId="0C79FCF9" w14:textId="4866975F" w:rsidR="00452659" w:rsidRPr="003F3C74" w:rsidRDefault="00452659" w:rsidP="00452659">
      <w:pPr>
        <w:spacing w:before="120" w:after="120" w:line="480" w:lineRule="auto"/>
        <w:jc w:val="both"/>
        <w:rPr>
          <w:rFonts w:ascii="Times New Roman" w:hAnsi="Times New Roman" w:cs="Times New Roman"/>
        </w:rPr>
      </w:pPr>
      <w:r w:rsidRPr="003F3C74">
        <w:rPr>
          <w:rFonts w:ascii="Times New Roman" w:hAnsi="Times New Roman" w:cs="Times New Roman"/>
        </w:rPr>
        <w:t xml:space="preserve">MPC-1, MPC-2, and MPC-3 cell suspensions from </w:t>
      </w:r>
      <w:r w:rsidRPr="003F3C74">
        <w:rPr>
          <w:rFonts w:ascii="Times New Roman" w:hAnsi="Times New Roman" w:cs="Times New Roman"/>
          <w:i/>
        </w:rPr>
        <w:t>Ptch1-LacZ,</w:t>
      </w:r>
      <w:r w:rsidRPr="003F3C74">
        <w:rPr>
          <w:rFonts w:ascii="Times New Roman" w:hAnsi="Times New Roman" w:cs="Times New Roman"/>
        </w:rPr>
        <w:t xml:space="preserve"> </w:t>
      </w:r>
      <w:r w:rsidRPr="003F3C74">
        <w:rPr>
          <w:rFonts w:ascii="Times New Roman" w:hAnsi="Times New Roman" w:cs="Times New Roman"/>
          <w:i/>
        </w:rPr>
        <w:t xml:space="preserve">Trp53-mutant </w:t>
      </w:r>
      <w:r w:rsidRPr="003F3C74">
        <w:rPr>
          <w:rFonts w:ascii="Times New Roman" w:hAnsi="Times New Roman" w:cs="Times New Roman"/>
          <w:iCs/>
        </w:rPr>
        <w:t xml:space="preserve">tumors, as well as the </w:t>
      </w:r>
      <w:r w:rsidRPr="003F3C74">
        <w:rPr>
          <w:rFonts w:ascii="Times New Roman" w:hAnsi="Times New Roman" w:cs="Times New Roman"/>
          <w:i/>
        </w:rPr>
        <w:t>Trp53</w:t>
      </w:r>
      <w:r w:rsidRPr="003F3C74">
        <w:rPr>
          <w:rFonts w:ascii="Times New Roman" w:hAnsi="Times New Roman" w:cs="Times New Roman"/>
          <w:iCs/>
        </w:rPr>
        <w:t xml:space="preserve"> wild-type MPC-47</w:t>
      </w:r>
      <w:r w:rsidRPr="003F3C74">
        <w:rPr>
          <w:rFonts w:ascii="Times New Roman" w:hAnsi="Times New Roman" w:cs="Times New Roman"/>
        </w:rPr>
        <w:t xml:space="preserve">, were maintained </w:t>
      </w:r>
      <w:r w:rsidRPr="003F3C74">
        <w:rPr>
          <w:rFonts w:ascii="Times New Roman" w:hAnsi="Times New Roman" w:cs="Times New Roman"/>
          <w:i/>
        </w:rPr>
        <w:t>ex vivo</w:t>
      </w:r>
      <w:r w:rsidRPr="003F3C74">
        <w:rPr>
          <w:rFonts w:ascii="Times New Roman" w:hAnsi="Times New Roman" w:cs="Times New Roman"/>
        </w:rPr>
        <w:t xml:space="preserve"> in Neurobasal serum-free media containing </w:t>
      </w:r>
      <w:proofErr w:type="spellStart"/>
      <w:r w:rsidRPr="003F3C74">
        <w:rPr>
          <w:rFonts w:ascii="Times New Roman" w:hAnsi="Times New Roman" w:cs="Times New Roman"/>
        </w:rPr>
        <w:t>GlutaMAX</w:t>
      </w:r>
      <w:proofErr w:type="spellEnd"/>
      <w:r w:rsidRPr="003F3C74">
        <w:rPr>
          <w:rFonts w:ascii="Times New Roman" w:hAnsi="Times New Roman" w:cs="Times New Roman"/>
        </w:rPr>
        <w:t xml:space="preserve">, B27, N2, EGF (25 ng/ml), FGF (25 ng/ml), and Pen-Strep (all from Invitrogen). </w:t>
      </w:r>
      <w:r w:rsidRPr="003F3C74">
        <w:rPr>
          <w:rFonts w:ascii="Times New Roman" w:hAnsi="Times New Roman" w:cs="Times New Roman"/>
          <w:i/>
          <w:iCs/>
        </w:rPr>
        <w:t>Gli1</w:t>
      </w:r>
      <w:r w:rsidRPr="003F3C74">
        <w:rPr>
          <w:rFonts w:ascii="Times New Roman" w:hAnsi="Times New Roman" w:cs="Times New Roman"/>
        </w:rPr>
        <w:t xml:space="preserve">-reporter Light2 cells (a gift of Dr. Robbins at Georgetown University) were maintained in DMEM with 10% newborn calf serum (NCS) (R&amp;D Systems), G418 (200 µg/mL), and Zeocin (100 µg/mL). SHH signaling was induced by treating these cells with Smo agonist (SAG) (Sigma-Aldrich) (100 nM) in 0.1% FBS for 24h. </w:t>
      </w:r>
      <w:r w:rsidRPr="003F3C74">
        <w:rPr>
          <w:rFonts w:ascii="Times New Roman" w:hAnsi="Times New Roman" w:cs="Times New Roman"/>
          <w:i/>
          <w:iCs/>
        </w:rPr>
        <w:t>Gli1</w:t>
      </w:r>
      <w:r w:rsidRPr="003F3C74">
        <w:rPr>
          <w:rFonts w:ascii="Times New Roman" w:hAnsi="Times New Roman" w:cs="Times New Roman"/>
        </w:rPr>
        <w:t xml:space="preserve">-driven firefly luciferase activity was normalized to the </w:t>
      </w:r>
      <w:proofErr w:type="spellStart"/>
      <w:r w:rsidRPr="003F3C74">
        <w:rPr>
          <w:rFonts w:ascii="Times New Roman" w:hAnsi="Times New Roman" w:cs="Times New Roman"/>
        </w:rPr>
        <w:t>Renilla</w:t>
      </w:r>
      <w:proofErr w:type="spellEnd"/>
      <w:r w:rsidRPr="003F3C74">
        <w:rPr>
          <w:rFonts w:ascii="Times New Roman" w:hAnsi="Times New Roman" w:cs="Times New Roman"/>
        </w:rPr>
        <w:t xml:space="preserve"> luciferase control, and its activity was determined using a dual luciferase kit (Promega). WNT reporter activity was studied using a cell line containing a T-cell factor (TCF)/LEF luciferase reporter gene, HEK293-STF (ATCC), maintained in DMEM/F12, G-418 (200 µg/mL), and 20% fetal bovine serum (FBS). WNT signaling was induced with 10 mM LiCl (Sigma-Aldrich) and 100 ng/mL WNT3a (R&amp;D Systems), and luciferase data were normalized to protein concentration. Organotypic cultures were obtained from the brains of 8-10-day-old C57BL/6 mice using a VT1000S vibratome (Leica). Slides were cultured in Basal Medium Eagle (BME) supplemented with glucose (4.5 mg/ml), glutamine, Insulin-Transferrin-Selenium (Gibco), and Pen-Strep in </w:t>
      </w:r>
      <w:proofErr w:type="spellStart"/>
      <w:r w:rsidRPr="003F3C74">
        <w:rPr>
          <w:rFonts w:ascii="Times New Roman" w:hAnsi="Times New Roman" w:cs="Times New Roman"/>
        </w:rPr>
        <w:t>Millicell</w:t>
      </w:r>
      <w:proofErr w:type="spellEnd"/>
      <w:r w:rsidRPr="003F3C74">
        <w:rPr>
          <w:rFonts w:ascii="Times New Roman" w:hAnsi="Times New Roman" w:cs="Times New Roman"/>
        </w:rPr>
        <w:t xml:space="preserve"> Cell Culture Inserts (Millipore). </w:t>
      </w:r>
    </w:p>
    <w:p w14:paraId="3EEA9494" w14:textId="77777777" w:rsidR="00452659" w:rsidRPr="00A22D5C" w:rsidRDefault="00452659" w:rsidP="00452659">
      <w:pPr>
        <w:spacing w:before="120" w:after="120" w:line="480" w:lineRule="auto"/>
        <w:jc w:val="both"/>
        <w:rPr>
          <w:rFonts w:ascii="Times New Roman" w:hAnsi="Times New Roman" w:cs="Times New Roman"/>
          <w:b/>
        </w:rPr>
      </w:pPr>
      <w:r w:rsidRPr="00A22D5C">
        <w:rPr>
          <w:rFonts w:ascii="Times New Roman" w:hAnsi="Times New Roman" w:cs="Times New Roman"/>
          <w:b/>
        </w:rPr>
        <w:t>Immunohistochemistry</w:t>
      </w:r>
    </w:p>
    <w:p w14:paraId="4852CD7A" w14:textId="77777777" w:rsidR="00452659" w:rsidRPr="003F3C74" w:rsidRDefault="00452659" w:rsidP="00452659">
      <w:pPr>
        <w:spacing w:before="120" w:after="120" w:line="480" w:lineRule="auto"/>
        <w:jc w:val="both"/>
        <w:rPr>
          <w:rFonts w:ascii="Times New Roman" w:hAnsi="Times New Roman" w:cs="Times New Roman"/>
          <w:b/>
          <w:bCs/>
        </w:rPr>
      </w:pPr>
      <w:r w:rsidRPr="003F3C74">
        <w:rPr>
          <w:rFonts w:ascii="Times New Roman" w:hAnsi="Times New Roman" w:cs="Times New Roman"/>
        </w:rPr>
        <w:t xml:space="preserve">After in vivo treatment, tumors were harvested, fixed for 48h in 10% neutral buffered formalin (VWR), and embedded in paraffin. Antigen retrieval was performed by steaming tissue sections on glass slides in citrate buffer for 30 minutes before staining using the antibodies and dilutions </w:t>
      </w:r>
      <w:r w:rsidRPr="003F3C74">
        <w:rPr>
          <w:rFonts w:ascii="Times New Roman" w:hAnsi="Times New Roman" w:cs="Times New Roman"/>
        </w:rPr>
        <w:lastRenderedPageBreak/>
        <w:t xml:space="preserve">specified in </w:t>
      </w:r>
      <w:r w:rsidRPr="003F3C74">
        <w:rPr>
          <w:rFonts w:ascii="Times New Roman" w:hAnsi="Times New Roman" w:cs="Times New Roman"/>
          <w:b/>
          <w:bCs/>
        </w:rPr>
        <w:t>Supplemental Table 1</w:t>
      </w:r>
      <w:r w:rsidRPr="003F3C74">
        <w:rPr>
          <w:rFonts w:ascii="Times New Roman" w:hAnsi="Times New Roman" w:cs="Times New Roman"/>
        </w:rPr>
        <w:t xml:space="preserve">. HRP </w:t>
      </w:r>
      <w:proofErr w:type="spellStart"/>
      <w:r w:rsidRPr="003F3C74">
        <w:rPr>
          <w:rFonts w:ascii="Times New Roman" w:hAnsi="Times New Roman" w:cs="Times New Roman"/>
        </w:rPr>
        <w:t>SignalStain</w:t>
      </w:r>
      <w:proofErr w:type="spellEnd"/>
      <w:r w:rsidRPr="003F3C74">
        <w:rPr>
          <w:rFonts w:ascii="Times New Roman" w:hAnsi="Times New Roman" w:cs="Times New Roman"/>
        </w:rPr>
        <w:t xml:space="preserve">, Boost Detection (Cell Signaling), and Diaminobenzidine (DAKO) reagents were applied for antigen detection and counterstained with hematoxylin (Sigma). For double Sox2/CD15 IHC staining, DAB (DAKO) and a Vina Green chromogen kit (BioCare Medical) were used for antigen detection. IHC images were obtained using an Olympus IX7I or CX43 microscope, and the number of positive cells in tumor tissues was assessed using a blinded visual scoring method. </w:t>
      </w:r>
    </w:p>
    <w:p w14:paraId="2BA1A7C0" w14:textId="77777777" w:rsidR="00452659" w:rsidRPr="003F3C74" w:rsidRDefault="00452659" w:rsidP="00452659">
      <w:pPr>
        <w:spacing w:before="120" w:after="120" w:line="480" w:lineRule="auto"/>
        <w:jc w:val="both"/>
        <w:rPr>
          <w:rFonts w:ascii="Times New Roman" w:hAnsi="Times New Roman" w:cs="Times New Roman"/>
          <w:b/>
          <w:bCs/>
        </w:rPr>
      </w:pPr>
      <w:r w:rsidRPr="003F3C74">
        <w:rPr>
          <w:rFonts w:ascii="Times New Roman" w:hAnsi="Times New Roman" w:cs="Times New Roman"/>
          <w:b/>
          <w:bCs/>
        </w:rPr>
        <w:t>Flow and Sorting Analyses</w:t>
      </w:r>
    </w:p>
    <w:p w14:paraId="73AD2FD6" w14:textId="77777777" w:rsidR="00452659" w:rsidRPr="003F3C74" w:rsidRDefault="00452659" w:rsidP="00452659">
      <w:pPr>
        <w:spacing w:before="120" w:after="120" w:line="480" w:lineRule="auto"/>
        <w:jc w:val="both"/>
        <w:rPr>
          <w:rFonts w:ascii="Times New Roman" w:hAnsi="Times New Roman" w:cs="Times New Roman"/>
        </w:rPr>
      </w:pPr>
      <w:r w:rsidRPr="003F3C74">
        <w:rPr>
          <w:rFonts w:ascii="Times New Roman" w:hAnsi="Times New Roman" w:cs="Times New Roman"/>
        </w:rPr>
        <w:t>For extracellular staining, either MPC cultures or cell suspensions from tumor tissues were blocked in 5% BSA before staining them in 1% BSA with fluorescent-conjugated antibodies (</w:t>
      </w:r>
      <w:r w:rsidRPr="003F3C74">
        <w:rPr>
          <w:rFonts w:ascii="Times New Roman" w:hAnsi="Times New Roman" w:cs="Times New Roman"/>
          <w:b/>
          <w:bCs/>
        </w:rPr>
        <w:t>Supplemental Table 1</w:t>
      </w:r>
      <w:r w:rsidRPr="003F3C74">
        <w:rPr>
          <w:rFonts w:ascii="Times New Roman" w:hAnsi="Times New Roman" w:cs="Times New Roman"/>
        </w:rPr>
        <w:t xml:space="preserve">). For CD15 staining using unconjugated anti-CD15 antibody, a secondary Alexa-Fluor594 antibody was used for detection. For intracellular staining, once extracellular staining was complete, cells were fixed and permeabilized with </w:t>
      </w:r>
      <w:proofErr w:type="spellStart"/>
      <w:r w:rsidRPr="003F3C74">
        <w:rPr>
          <w:rFonts w:ascii="Times New Roman" w:hAnsi="Times New Roman" w:cs="Times New Roman"/>
        </w:rPr>
        <w:t>Cytofix</w:t>
      </w:r>
      <w:proofErr w:type="spellEnd"/>
      <w:r w:rsidRPr="003F3C74">
        <w:rPr>
          <w:rFonts w:ascii="Times New Roman" w:hAnsi="Times New Roman" w:cs="Times New Roman"/>
        </w:rPr>
        <w:t>/</w:t>
      </w:r>
      <w:proofErr w:type="spellStart"/>
      <w:r w:rsidRPr="003F3C74">
        <w:rPr>
          <w:rFonts w:ascii="Times New Roman" w:hAnsi="Times New Roman" w:cs="Times New Roman"/>
        </w:rPr>
        <w:t>Cytoperm</w:t>
      </w:r>
      <w:proofErr w:type="spellEnd"/>
      <w:r w:rsidRPr="003F3C74">
        <w:rPr>
          <w:rFonts w:ascii="Times New Roman" w:hAnsi="Times New Roman" w:cs="Times New Roman"/>
        </w:rPr>
        <w:t xml:space="preserve"> solution (BD Biosciences). Cells were then washed in Perm Wash (BD Biosciences), and staining was performed in a similar solution using the indicated antibodies and dilutions (</w:t>
      </w:r>
      <w:r w:rsidRPr="003F3C74">
        <w:rPr>
          <w:rFonts w:ascii="Times New Roman" w:hAnsi="Times New Roman" w:cs="Times New Roman"/>
          <w:b/>
          <w:bCs/>
        </w:rPr>
        <w:t>Supplemental Table 1)</w:t>
      </w:r>
      <w:r w:rsidRPr="003F3C74">
        <w:rPr>
          <w:rFonts w:ascii="Times New Roman" w:hAnsi="Times New Roman" w:cs="Times New Roman"/>
        </w:rPr>
        <w:t xml:space="preserve">. FACS data acquisition was done on a Beckman Coulter </w:t>
      </w:r>
      <w:proofErr w:type="spellStart"/>
      <w:r w:rsidRPr="003F3C74">
        <w:rPr>
          <w:rFonts w:ascii="Times New Roman" w:hAnsi="Times New Roman" w:cs="Times New Roman"/>
        </w:rPr>
        <w:t>CytoFLEX</w:t>
      </w:r>
      <w:proofErr w:type="spellEnd"/>
      <w:r w:rsidRPr="003F3C74">
        <w:rPr>
          <w:rFonts w:ascii="Times New Roman" w:hAnsi="Times New Roman" w:cs="Times New Roman"/>
        </w:rPr>
        <w:t xml:space="preserve"> LX</w:t>
      </w:r>
      <w:r w:rsidRPr="003F3C74">
        <w:rPr>
          <w:rFonts w:ascii="Times New Roman" w:hAnsi="Times New Roman" w:cs="Times New Roman"/>
          <w:b/>
          <w:bCs/>
        </w:rPr>
        <w:t xml:space="preserve"> </w:t>
      </w:r>
      <w:r w:rsidRPr="003F3C74">
        <w:rPr>
          <w:rFonts w:ascii="Times New Roman" w:hAnsi="Times New Roman" w:cs="Times New Roman"/>
        </w:rPr>
        <w:t xml:space="preserve">and analyzed by </w:t>
      </w:r>
      <w:proofErr w:type="spellStart"/>
      <w:r w:rsidRPr="003F3C74">
        <w:rPr>
          <w:rFonts w:ascii="Times New Roman" w:hAnsi="Times New Roman" w:cs="Times New Roman"/>
        </w:rPr>
        <w:t>CytoExpert</w:t>
      </w:r>
      <w:proofErr w:type="spellEnd"/>
      <w:r w:rsidRPr="003F3C74">
        <w:rPr>
          <w:rFonts w:ascii="Times New Roman" w:hAnsi="Times New Roman" w:cs="Times New Roman"/>
        </w:rPr>
        <w:t xml:space="preserve"> software. A BD FACS Aria Fusion was utilized for CD15</w:t>
      </w:r>
      <w:r w:rsidRPr="003F3C74">
        <w:rPr>
          <w:rFonts w:ascii="Times New Roman" w:hAnsi="Times New Roman" w:cs="Times New Roman"/>
          <w:vertAlign w:val="superscript"/>
        </w:rPr>
        <w:t>+</w:t>
      </w:r>
      <w:r w:rsidRPr="003F3C74">
        <w:rPr>
          <w:rFonts w:ascii="Times New Roman" w:hAnsi="Times New Roman" w:cs="Times New Roman"/>
        </w:rPr>
        <w:t xml:space="preserve"> cell sorting. Cell suspensions from tumors were previously frozen in 10% DMSO to lyse erythroid cells, and Ter-119 was used to ensure their depletion.</w:t>
      </w:r>
    </w:p>
    <w:p w14:paraId="561122B2" w14:textId="77777777" w:rsidR="00452659" w:rsidRPr="003F3C74" w:rsidRDefault="00452659" w:rsidP="00452659">
      <w:pPr>
        <w:spacing w:before="120" w:after="120" w:line="480" w:lineRule="auto"/>
        <w:jc w:val="both"/>
        <w:rPr>
          <w:rFonts w:ascii="Times New Roman" w:hAnsi="Times New Roman" w:cs="Times New Roman"/>
          <w:b/>
        </w:rPr>
      </w:pPr>
      <w:r w:rsidRPr="003F3C74">
        <w:rPr>
          <w:rFonts w:ascii="Times New Roman" w:hAnsi="Times New Roman" w:cs="Times New Roman"/>
          <w:b/>
        </w:rPr>
        <w:t xml:space="preserve">Cell and Molecular Biology </w:t>
      </w:r>
    </w:p>
    <w:p w14:paraId="6A6CED8A" w14:textId="01EBAD22" w:rsidR="00452659" w:rsidRPr="003F3C74" w:rsidRDefault="00452659" w:rsidP="00452659">
      <w:pPr>
        <w:spacing w:before="120" w:after="120" w:line="480" w:lineRule="auto"/>
        <w:jc w:val="both"/>
        <w:rPr>
          <w:rFonts w:ascii="Times New Roman" w:hAnsi="Times New Roman" w:cs="Times New Roman"/>
        </w:rPr>
      </w:pPr>
      <w:r w:rsidRPr="003F3C74">
        <w:rPr>
          <w:rFonts w:ascii="Times New Roman" w:hAnsi="Times New Roman" w:cs="Times New Roman"/>
        </w:rPr>
        <w:t>Cell viability was monitored by the reduction of 3-(4,5-dimethyl-2-thiazolyl) 2,5-diphenyl-2H-tetrazolium bromide (MTT) (Sigma-Aldrich) to formazan. For secondary sphere formation assays, spheres were mechanically disaggregated after treatment, and 1</w:t>
      </w:r>
      <w:r w:rsidR="005B5834">
        <w:rPr>
          <w:rFonts w:ascii="Times New Roman" w:hAnsi="Times New Roman" w:cs="Times New Roman"/>
        </w:rPr>
        <w:t>x10</w:t>
      </w:r>
      <w:r w:rsidR="005B5834" w:rsidRPr="005B5834">
        <w:rPr>
          <w:rFonts w:ascii="Times New Roman" w:hAnsi="Times New Roman" w:cs="Times New Roman"/>
          <w:vertAlign w:val="superscript"/>
        </w:rPr>
        <w:t xml:space="preserve">4 </w:t>
      </w:r>
      <w:r w:rsidRPr="003F3C74">
        <w:rPr>
          <w:rFonts w:ascii="Times New Roman" w:hAnsi="Times New Roman" w:cs="Times New Roman"/>
        </w:rPr>
        <w:t xml:space="preserve">viable cells were allowed to form new spheres in 1 ml of drug-free media for one week. Spheres were stained with MTT for 30 </w:t>
      </w:r>
      <w:r w:rsidRPr="003F3C74">
        <w:rPr>
          <w:rFonts w:ascii="Times New Roman" w:hAnsi="Times New Roman" w:cs="Times New Roman"/>
        </w:rPr>
        <w:lastRenderedPageBreak/>
        <w:t xml:space="preserve">minutes, scanned in a V600 scanner (Epson), and images quantified using ImageJ protocols. For bromodeoxyuridine (BrdU) incorporation and cleaved-Caspase-3 detection by IF, MPC cultures were allowed to attach to </w:t>
      </w:r>
      <w:r w:rsidR="005B5834">
        <w:rPr>
          <w:rFonts w:ascii="Times New Roman" w:hAnsi="Times New Roman" w:cs="Times New Roman"/>
        </w:rPr>
        <w:t xml:space="preserve">poly-L-lysine-coated </w:t>
      </w:r>
      <w:r w:rsidRPr="003F3C74">
        <w:rPr>
          <w:rFonts w:ascii="Times New Roman" w:hAnsi="Times New Roman" w:cs="Times New Roman"/>
        </w:rPr>
        <w:t xml:space="preserve">chamber slices (Millipore) for 24h before treatment. Cells were incubated in BrdU (10 </w:t>
      </w:r>
      <w:proofErr w:type="spellStart"/>
      <w:r w:rsidRPr="003F3C74">
        <w:rPr>
          <w:rFonts w:ascii="Times New Roman" w:hAnsi="Times New Roman" w:cs="Times New Roman"/>
        </w:rPr>
        <w:t>μM</w:t>
      </w:r>
      <w:proofErr w:type="spellEnd"/>
      <w:r w:rsidRPr="003F3C74">
        <w:rPr>
          <w:rFonts w:ascii="Times New Roman" w:hAnsi="Times New Roman" w:cs="Times New Roman"/>
        </w:rPr>
        <w:t>) (</w:t>
      </w:r>
      <w:proofErr w:type="spellStart"/>
      <w:r w:rsidRPr="003F3C74">
        <w:rPr>
          <w:rFonts w:ascii="Times New Roman" w:hAnsi="Times New Roman" w:cs="Times New Roman"/>
        </w:rPr>
        <w:t>BioLegend</w:t>
      </w:r>
      <w:proofErr w:type="spellEnd"/>
      <w:r w:rsidRPr="003F3C74">
        <w:rPr>
          <w:rFonts w:ascii="Times New Roman" w:hAnsi="Times New Roman" w:cs="Times New Roman"/>
        </w:rPr>
        <w:t xml:space="preserve">) for 2h before fixation in 4% paraformaldehyde (PFA) and staining with antibodies indicated in </w:t>
      </w:r>
      <w:r w:rsidRPr="003F3C74">
        <w:rPr>
          <w:rFonts w:ascii="Times New Roman" w:hAnsi="Times New Roman" w:cs="Times New Roman"/>
          <w:b/>
          <w:bCs/>
        </w:rPr>
        <w:t>Supplemental Table 1</w:t>
      </w:r>
      <w:r w:rsidRPr="003F3C74">
        <w:rPr>
          <w:rFonts w:ascii="Times New Roman" w:hAnsi="Times New Roman" w:cs="Times New Roman"/>
        </w:rPr>
        <w:t>. After treatment, the organotypic slides were similarly incubated with BrdU before being fixed in 4% PFA/4% sucrose and stained with antibodies detecting BrdU and Calbindin (</w:t>
      </w:r>
      <w:r w:rsidRPr="003F3C74">
        <w:rPr>
          <w:rFonts w:ascii="Times New Roman" w:hAnsi="Times New Roman" w:cs="Times New Roman"/>
          <w:b/>
          <w:bCs/>
        </w:rPr>
        <w:t>Supplemental Table 1</w:t>
      </w:r>
      <w:r w:rsidRPr="003F3C74">
        <w:rPr>
          <w:rFonts w:ascii="Times New Roman" w:hAnsi="Times New Roman" w:cs="Times New Roman"/>
        </w:rPr>
        <w:t xml:space="preserve">). High-magnification images of staining were taken using an Olympus IX7I fluorescent or a Leica TCS SPE confocal microscope, and the number of positive cells per field was assessed using a blinded visual score. </w:t>
      </w:r>
    </w:p>
    <w:p w14:paraId="6FE1B008" w14:textId="77777777" w:rsidR="00452659" w:rsidRPr="003F3C74" w:rsidRDefault="00452659" w:rsidP="00452659">
      <w:pPr>
        <w:spacing w:before="120" w:after="120" w:line="480" w:lineRule="auto"/>
        <w:jc w:val="both"/>
        <w:rPr>
          <w:rFonts w:ascii="Times New Roman" w:hAnsi="Times New Roman" w:cs="Times New Roman"/>
        </w:rPr>
      </w:pPr>
      <w:r w:rsidRPr="003F3C74">
        <w:rPr>
          <w:rFonts w:ascii="Times New Roman" w:hAnsi="Times New Roman" w:cs="Times New Roman"/>
        </w:rPr>
        <w:t xml:space="preserve">Lipofectamine 2000 (Invitrogen) was used to transfect MPC cultures with </w:t>
      </w:r>
      <w:r w:rsidRPr="003F3C74">
        <w:rPr>
          <w:rFonts w:ascii="Times New Roman" w:hAnsi="Times New Roman" w:cs="Times New Roman"/>
          <w:i/>
          <w:iCs/>
        </w:rPr>
        <w:t>pcDNA3-</w:t>
      </w:r>
      <w:r w:rsidRPr="003F3C74">
        <w:rPr>
          <w:rFonts w:ascii="Times New Roman" w:eastAsia="Symbol" w:hAnsi="Times New Roman" w:cs="Times New Roman"/>
          <w:i/>
          <w:iCs/>
        </w:rPr>
        <w:t>b</w:t>
      </w:r>
      <w:r w:rsidRPr="003F3C74">
        <w:rPr>
          <w:rFonts w:ascii="Times New Roman" w:hAnsi="Times New Roman" w:cs="Times New Roman"/>
          <w:i/>
          <w:iCs/>
        </w:rPr>
        <w:t>-catenin S33Y</w:t>
      </w:r>
      <w:r w:rsidRPr="003F3C74">
        <w:rPr>
          <w:rFonts w:ascii="Times New Roman" w:hAnsi="Times New Roman" w:cs="Times New Roman"/>
        </w:rPr>
        <w:t xml:space="preserve"> plasmid (a gift from Eric Fearon to </w:t>
      </w:r>
      <w:proofErr w:type="spellStart"/>
      <w:r w:rsidRPr="003F3C74">
        <w:rPr>
          <w:rFonts w:ascii="Times New Roman" w:hAnsi="Times New Roman" w:cs="Times New Roman"/>
        </w:rPr>
        <w:t>Addgene</w:t>
      </w:r>
      <w:proofErr w:type="spellEnd"/>
      <w:r w:rsidRPr="003F3C74">
        <w:rPr>
          <w:rFonts w:ascii="Times New Roman" w:hAnsi="Times New Roman" w:cs="Times New Roman"/>
        </w:rPr>
        <w:t xml:space="preserve">, plasmid #19286) using 1 </w:t>
      </w:r>
      <w:proofErr w:type="spellStart"/>
      <w:r w:rsidRPr="003F3C74">
        <w:rPr>
          <w:rFonts w:ascii="Times New Roman" w:hAnsi="Times New Roman" w:cs="Times New Roman"/>
        </w:rPr>
        <w:t>μg</w:t>
      </w:r>
      <w:proofErr w:type="spellEnd"/>
      <w:r w:rsidRPr="003F3C74">
        <w:rPr>
          <w:rFonts w:ascii="Times New Roman" w:hAnsi="Times New Roman" w:cs="Times New Roman"/>
        </w:rPr>
        <w:t xml:space="preserve"> DNA in 300,000 cells. Mimic and anti-miR sequences, along with their respective scrambled controls, were purchased from Invitrogen and transfected at 30 nM using similar protocols.</w:t>
      </w:r>
    </w:p>
    <w:p w14:paraId="402B0822" w14:textId="77777777" w:rsidR="00452659" w:rsidRPr="003F3C74" w:rsidRDefault="00452659" w:rsidP="00452659">
      <w:pPr>
        <w:spacing w:before="120" w:after="120" w:line="480" w:lineRule="auto"/>
        <w:jc w:val="both"/>
        <w:rPr>
          <w:rFonts w:ascii="Times New Roman" w:hAnsi="Times New Roman" w:cs="Times New Roman"/>
        </w:rPr>
      </w:pPr>
      <w:r w:rsidRPr="003F3C74">
        <w:rPr>
          <w:rFonts w:ascii="Times New Roman" w:hAnsi="Times New Roman" w:cs="Times New Roman"/>
        </w:rPr>
        <w:t xml:space="preserve">Total RNA was extracted using </w:t>
      </w:r>
      <w:proofErr w:type="spellStart"/>
      <w:r w:rsidRPr="003F3C74">
        <w:rPr>
          <w:rFonts w:ascii="Times New Roman" w:hAnsi="Times New Roman" w:cs="Times New Roman"/>
        </w:rPr>
        <w:t>Trizol</w:t>
      </w:r>
      <w:proofErr w:type="spellEnd"/>
      <w:r w:rsidRPr="003F3C74">
        <w:rPr>
          <w:rFonts w:ascii="Times New Roman" w:hAnsi="Times New Roman" w:cs="Times New Roman"/>
        </w:rPr>
        <w:t xml:space="preserve"> (Invitrogen), and the expression of the indicated genes was analyzed by quantitative real-time PCR (RT-qPCR) using TaqMan probes according to the manufacturer’s recommendations (Invitrogen). Data were normalized to the reference gene </w:t>
      </w:r>
      <w:r w:rsidRPr="003F3C74">
        <w:rPr>
          <w:rFonts w:ascii="Times New Roman" w:hAnsi="Times New Roman" w:cs="Times New Roman"/>
          <w:i/>
        </w:rPr>
        <w:t>Glyceraldehyde-3-phosphate dehydrogenase</w:t>
      </w:r>
      <w:r w:rsidRPr="003F3C74">
        <w:rPr>
          <w:rFonts w:ascii="Times New Roman" w:hAnsi="Times New Roman" w:cs="Times New Roman"/>
        </w:rPr>
        <w:t xml:space="preserve"> (</w:t>
      </w:r>
      <w:proofErr w:type="spellStart"/>
      <w:r w:rsidRPr="003F3C74">
        <w:rPr>
          <w:rFonts w:ascii="Times New Roman" w:hAnsi="Times New Roman" w:cs="Times New Roman"/>
          <w:i/>
          <w:iCs/>
        </w:rPr>
        <w:t>Gapdh</w:t>
      </w:r>
      <w:proofErr w:type="spellEnd"/>
      <w:r w:rsidRPr="003F3C74">
        <w:rPr>
          <w:rFonts w:ascii="Times New Roman" w:hAnsi="Times New Roman" w:cs="Times New Roman"/>
        </w:rPr>
        <w:t>). Radio-Immunoprecipitation Assay (RIPA) buffer (</w:t>
      </w:r>
      <w:proofErr w:type="spellStart"/>
      <w:r w:rsidRPr="003F3C74">
        <w:rPr>
          <w:rFonts w:ascii="Times New Roman" w:hAnsi="Times New Roman" w:cs="Times New Roman"/>
        </w:rPr>
        <w:t>Thermo</w:t>
      </w:r>
      <w:proofErr w:type="spellEnd"/>
      <w:r w:rsidRPr="003F3C74">
        <w:rPr>
          <w:rFonts w:ascii="Times New Roman" w:hAnsi="Times New Roman" w:cs="Times New Roman"/>
        </w:rPr>
        <w:t xml:space="preserve"> Fisher Scientific) supplemented with the HALT protease inhibitor cocktail (</w:t>
      </w:r>
      <w:proofErr w:type="spellStart"/>
      <w:r w:rsidRPr="003F3C74">
        <w:rPr>
          <w:rFonts w:ascii="Times New Roman" w:hAnsi="Times New Roman" w:cs="Times New Roman"/>
        </w:rPr>
        <w:t>Thermo</w:t>
      </w:r>
      <w:proofErr w:type="spellEnd"/>
      <w:r w:rsidRPr="003F3C74">
        <w:rPr>
          <w:rFonts w:ascii="Times New Roman" w:hAnsi="Times New Roman" w:cs="Times New Roman"/>
        </w:rPr>
        <w:t xml:space="preserve"> Fisher Scientific) was used for protein extraction, and protein levels were determined by immunoblotting using antibodies and dilutions indicated on </w:t>
      </w:r>
      <w:r w:rsidRPr="003F3C74">
        <w:rPr>
          <w:rFonts w:ascii="Times New Roman" w:hAnsi="Times New Roman" w:cs="Times New Roman"/>
          <w:b/>
          <w:bCs/>
        </w:rPr>
        <w:t>Supplemental Table 1</w:t>
      </w:r>
      <w:r w:rsidRPr="003F3C74">
        <w:rPr>
          <w:rFonts w:ascii="Times New Roman" w:hAnsi="Times New Roman" w:cs="Times New Roman"/>
        </w:rPr>
        <w:t xml:space="preserve">. Heat shock protein 90 (HSP90) and GAPDH were used for loading normalization. </w:t>
      </w:r>
      <w:proofErr w:type="spellStart"/>
      <w:r w:rsidRPr="003F3C74">
        <w:rPr>
          <w:rFonts w:ascii="Times New Roman" w:hAnsi="Times New Roman" w:cs="Times New Roman"/>
        </w:rPr>
        <w:t>mirVana</w:t>
      </w:r>
      <w:proofErr w:type="spellEnd"/>
      <w:r w:rsidRPr="003F3C74">
        <w:rPr>
          <w:rFonts w:ascii="Times New Roman" w:hAnsi="Times New Roman" w:cs="Times New Roman"/>
        </w:rPr>
        <w:t xml:space="preserve"> </w:t>
      </w:r>
      <w:r w:rsidRPr="003F3C74">
        <w:rPr>
          <w:rFonts w:ascii="Times New Roman" w:hAnsi="Times New Roman" w:cs="Times New Roman"/>
          <w:i/>
          <w:iCs/>
        </w:rPr>
        <w:t>miRNA</w:t>
      </w:r>
      <w:r w:rsidRPr="003F3C74">
        <w:rPr>
          <w:rFonts w:ascii="Times New Roman" w:hAnsi="Times New Roman" w:cs="Times New Roman"/>
        </w:rPr>
        <w:t xml:space="preserve"> isolation </w:t>
      </w:r>
      <w:r w:rsidRPr="003F3C74">
        <w:rPr>
          <w:rFonts w:ascii="Times New Roman" w:hAnsi="Times New Roman" w:cs="Times New Roman"/>
        </w:rPr>
        <w:lastRenderedPageBreak/>
        <w:t xml:space="preserve">kit (Invitrogen) was utilized for miRNA extraction. </w:t>
      </w:r>
      <w:proofErr w:type="spellStart"/>
      <w:r w:rsidRPr="003F3C74">
        <w:rPr>
          <w:rFonts w:ascii="Times New Roman" w:hAnsi="Times New Roman" w:cs="Times New Roman"/>
        </w:rPr>
        <w:t>Taqman</w:t>
      </w:r>
      <w:proofErr w:type="spellEnd"/>
      <w:r w:rsidRPr="003F3C74">
        <w:rPr>
          <w:rFonts w:ascii="Times New Roman" w:hAnsi="Times New Roman" w:cs="Times New Roman"/>
        </w:rPr>
        <w:t xml:space="preserve"> Advanced </w:t>
      </w:r>
      <w:r w:rsidRPr="003F3C74">
        <w:rPr>
          <w:rFonts w:ascii="Times New Roman" w:hAnsi="Times New Roman" w:cs="Times New Roman"/>
          <w:i/>
          <w:iCs/>
        </w:rPr>
        <w:t>miRNA</w:t>
      </w:r>
      <w:r w:rsidRPr="003F3C74">
        <w:rPr>
          <w:rFonts w:ascii="Times New Roman" w:hAnsi="Times New Roman" w:cs="Times New Roman"/>
        </w:rPr>
        <w:t xml:space="preserve"> Assays (Invitrogen) were used to quantify the expression of</w:t>
      </w:r>
      <w:r w:rsidRPr="003F3C74">
        <w:rPr>
          <w:rFonts w:ascii="Times New Roman" w:hAnsi="Times New Roman" w:cs="Times New Roman"/>
          <w:i/>
          <w:iCs/>
        </w:rPr>
        <w:t xml:space="preserve"> miR-34a-5p</w:t>
      </w:r>
      <w:r w:rsidRPr="003F3C74">
        <w:rPr>
          <w:rFonts w:ascii="Times New Roman" w:hAnsi="Times New Roman" w:cs="Times New Roman"/>
        </w:rPr>
        <w:t xml:space="preserve"> and the housekeeping </w:t>
      </w:r>
      <w:r w:rsidRPr="003F3C74">
        <w:rPr>
          <w:rFonts w:ascii="Times New Roman" w:hAnsi="Times New Roman" w:cs="Times New Roman"/>
          <w:i/>
          <w:iCs/>
        </w:rPr>
        <w:t>miRNA miR-361-5p</w:t>
      </w:r>
      <w:r w:rsidRPr="003F3C74">
        <w:rPr>
          <w:rFonts w:ascii="Times New Roman" w:hAnsi="Times New Roman" w:cs="Times New Roman"/>
        </w:rPr>
        <w:t xml:space="preserve">. </w:t>
      </w:r>
    </w:p>
    <w:p w14:paraId="36CD5238" w14:textId="186A7DBE" w:rsidR="008443C7" w:rsidRDefault="008443C7"/>
    <w:sectPr w:rsidR="00844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I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452659"/>
    <w:rsid w:val="000064AC"/>
    <w:rsid w:val="00061BC1"/>
    <w:rsid w:val="0008409A"/>
    <w:rsid w:val="000F5571"/>
    <w:rsid w:val="0011577E"/>
    <w:rsid w:val="001163F7"/>
    <w:rsid w:val="00137CDB"/>
    <w:rsid w:val="00140581"/>
    <w:rsid w:val="00147FD9"/>
    <w:rsid w:val="001D1B5F"/>
    <w:rsid w:val="001D29C8"/>
    <w:rsid w:val="001F0159"/>
    <w:rsid w:val="00223106"/>
    <w:rsid w:val="00291ACF"/>
    <w:rsid w:val="002B2F7F"/>
    <w:rsid w:val="003025C6"/>
    <w:rsid w:val="003334EC"/>
    <w:rsid w:val="0035146E"/>
    <w:rsid w:val="003F362F"/>
    <w:rsid w:val="0040090D"/>
    <w:rsid w:val="00410BD6"/>
    <w:rsid w:val="00426999"/>
    <w:rsid w:val="0043243F"/>
    <w:rsid w:val="004351BB"/>
    <w:rsid w:val="00444A12"/>
    <w:rsid w:val="00452659"/>
    <w:rsid w:val="00487CC5"/>
    <w:rsid w:val="00490D97"/>
    <w:rsid w:val="004D14E2"/>
    <w:rsid w:val="004E7158"/>
    <w:rsid w:val="0054369E"/>
    <w:rsid w:val="00563FB8"/>
    <w:rsid w:val="005B5834"/>
    <w:rsid w:val="005C3B84"/>
    <w:rsid w:val="005F7652"/>
    <w:rsid w:val="00605CCE"/>
    <w:rsid w:val="00674AF4"/>
    <w:rsid w:val="0067733B"/>
    <w:rsid w:val="006A6CC1"/>
    <w:rsid w:val="006C7C48"/>
    <w:rsid w:val="00720971"/>
    <w:rsid w:val="00724CE5"/>
    <w:rsid w:val="00742942"/>
    <w:rsid w:val="007D4342"/>
    <w:rsid w:val="007E523E"/>
    <w:rsid w:val="00806A45"/>
    <w:rsid w:val="0081554F"/>
    <w:rsid w:val="00824C45"/>
    <w:rsid w:val="00835817"/>
    <w:rsid w:val="008443C7"/>
    <w:rsid w:val="0086064C"/>
    <w:rsid w:val="00935CED"/>
    <w:rsid w:val="00946853"/>
    <w:rsid w:val="00981FDC"/>
    <w:rsid w:val="00997AC4"/>
    <w:rsid w:val="009E0FFF"/>
    <w:rsid w:val="00A86872"/>
    <w:rsid w:val="00AB718C"/>
    <w:rsid w:val="00B16870"/>
    <w:rsid w:val="00B3474B"/>
    <w:rsid w:val="00B428AC"/>
    <w:rsid w:val="00B660B0"/>
    <w:rsid w:val="00B87C04"/>
    <w:rsid w:val="00BB0C7A"/>
    <w:rsid w:val="00BD7657"/>
    <w:rsid w:val="00C127A5"/>
    <w:rsid w:val="00C1639F"/>
    <w:rsid w:val="00C4298B"/>
    <w:rsid w:val="00C91A6B"/>
    <w:rsid w:val="00CA71F1"/>
    <w:rsid w:val="00CB4B9E"/>
    <w:rsid w:val="00CB68D0"/>
    <w:rsid w:val="00CF532F"/>
    <w:rsid w:val="00DA0213"/>
    <w:rsid w:val="00DA36EF"/>
    <w:rsid w:val="00DF6A1F"/>
    <w:rsid w:val="00E25D3A"/>
    <w:rsid w:val="00EA6ACF"/>
    <w:rsid w:val="00EC1F52"/>
    <w:rsid w:val="00F06D4D"/>
    <w:rsid w:val="00F245D1"/>
    <w:rsid w:val="00F27594"/>
    <w:rsid w:val="00F55741"/>
    <w:rsid w:val="00F62115"/>
    <w:rsid w:val="00F63BB3"/>
    <w:rsid w:val="00F66697"/>
    <w:rsid w:val="00F77BC8"/>
    <w:rsid w:val="00FC7389"/>
    <w:rsid w:val="00FF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415FFC"/>
  <w15:chartTrackingRefBased/>
  <w15:docId w15:val="{9ACC7FA3-10CF-B24E-8FAF-1FDB2DF7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659"/>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4526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526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5265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2659"/>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52659"/>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52659"/>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52659"/>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52659"/>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52659"/>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6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26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26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26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6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659"/>
    <w:rPr>
      <w:rFonts w:eastAsiaTheme="majorEastAsia" w:cstheme="majorBidi"/>
      <w:color w:val="272727" w:themeColor="text1" w:themeTint="D8"/>
    </w:rPr>
  </w:style>
  <w:style w:type="paragraph" w:styleId="Title">
    <w:name w:val="Title"/>
    <w:basedOn w:val="Normal"/>
    <w:next w:val="Normal"/>
    <w:link w:val="TitleChar"/>
    <w:uiPriority w:val="10"/>
    <w:qFormat/>
    <w:rsid w:val="0045265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52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65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52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659"/>
    <w:pPr>
      <w:spacing w:before="160" w:after="160" w:line="278"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452659"/>
    <w:rPr>
      <w:i/>
      <w:iCs/>
      <w:color w:val="404040" w:themeColor="text1" w:themeTint="BF"/>
    </w:rPr>
  </w:style>
  <w:style w:type="paragraph" w:styleId="ListParagraph">
    <w:name w:val="List Paragraph"/>
    <w:basedOn w:val="Normal"/>
    <w:uiPriority w:val="34"/>
    <w:qFormat/>
    <w:rsid w:val="00452659"/>
    <w:pPr>
      <w:spacing w:after="160" w:line="278"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452659"/>
    <w:rPr>
      <w:i/>
      <w:iCs/>
      <w:color w:val="0F4761" w:themeColor="accent1" w:themeShade="BF"/>
    </w:rPr>
  </w:style>
  <w:style w:type="paragraph" w:styleId="IntenseQuote">
    <w:name w:val="Intense Quote"/>
    <w:basedOn w:val="Normal"/>
    <w:next w:val="Normal"/>
    <w:link w:val="IntenseQuoteChar"/>
    <w:uiPriority w:val="30"/>
    <w:qFormat/>
    <w:rsid w:val="004526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52659"/>
    <w:rPr>
      <w:i/>
      <w:iCs/>
      <w:color w:val="0F4761" w:themeColor="accent1" w:themeShade="BF"/>
    </w:rPr>
  </w:style>
  <w:style w:type="character" w:styleId="IntenseReference">
    <w:name w:val="Intense Reference"/>
    <w:basedOn w:val="DefaultParagraphFont"/>
    <w:uiPriority w:val="32"/>
    <w:qFormat/>
    <w:rsid w:val="00452659"/>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935CED"/>
    <w:pPr>
      <w:jc w:val="center"/>
    </w:pPr>
    <w:rPr>
      <w:rFonts w:ascii="Aptos" w:hAnsi="Aptos"/>
    </w:rPr>
  </w:style>
  <w:style w:type="character" w:customStyle="1" w:styleId="EndNoteBibliographyTitleChar">
    <w:name w:val="EndNote Bibliography Title Char"/>
    <w:basedOn w:val="DefaultParagraphFont"/>
    <w:link w:val="EndNoteBibliographyTitle"/>
    <w:rsid w:val="00935CED"/>
    <w:rPr>
      <w:rFonts w:ascii="Aptos" w:eastAsiaTheme="minorEastAsia" w:hAnsi="Aptos"/>
      <w:kern w:val="0"/>
      <w14:ligatures w14:val="none"/>
    </w:rPr>
  </w:style>
  <w:style w:type="paragraph" w:customStyle="1" w:styleId="EndNoteBibliography">
    <w:name w:val="EndNote Bibliography"/>
    <w:basedOn w:val="Normal"/>
    <w:link w:val="EndNoteBibliographyChar"/>
    <w:rsid w:val="00935CED"/>
    <w:rPr>
      <w:rFonts w:ascii="Aptos" w:hAnsi="Aptos"/>
    </w:rPr>
  </w:style>
  <w:style w:type="character" w:customStyle="1" w:styleId="EndNoteBibliographyChar">
    <w:name w:val="EndNote Bibliography Char"/>
    <w:basedOn w:val="DefaultParagraphFont"/>
    <w:link w:val="EndNoteBibliography"/>
    <w:rsid w:val="00935CED"/>
    <w:rPr>
      <w:rFonts w:ascii="Aptos" w:eastAsiaTheme="minorEastAsia" w:hAnsi="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873</Words>
  <Characters>4889</Characters>
  <Application>Microsoft Office Word</Application>
  <DocSecurity>0</DocSecurity>
  <Lines>68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Blanco, Jezabel</dc:creator>
  <cp:keywords/>
  <dc:description/>
  <cp:lastModifiedBy>Rodriguez Blanco, Jezabel</cp:lastModifiedBy>
  <cp:revision>2</cp:revision>
  <dcterms:created xsi:type="dcterms:W3CDTF">2025-10-21T15:48:00Z</dcterms:created>
  <dcterms:modified xsi:type="dcterms:W3CDTF">2025-10-21T15:48:00Z</dcterms:modified>
</cp:coreProperties>
</file>