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9CEDB40" w14:textId="77777777" w:rsidR="004E6222" w:rsidRDefault="004E6222" w:rsidP="004E6222">
      <w:pPr>
        <w:pStyle w:val="BodyText"/>
        <w:spacing w:line="360" w:lineRule="auto"/>
        <w:jc w:val="both"/>
        <w:rPr>
          <w:rFonts w:ascii="Times New Roman" w:hAnsi="Times New Roman" w:cs="Times New Roman"/>
        </w:rPr>
      </w:pPr>
      <w:r>
        <w:rPr>
          <w:rFonts w:ascii="Times New Roman" w:hAnsi="Times New Roman" w:cs="Times New Roman"/>
        </w:rPr>
        <w:t>The Supplementary Information contains:</w:t>
      </w:r>
    </w:p>
    <w:p w14:paraId="2FBDE1AB" w14:textId="77777777" w:rsidR="004E6222" w:rsidRDefault="004E6222" w:rsidP="004E6222">
      <w:pPr>
        <w:pStyle w:val="List"/>
        <w:spacing w:line="360" w:lineRule="auto"/>
        <w:jc w:val="both"/>
        <w:rPr>
          <w:rFonts w:ascii="Times New Roman" w:hAnsi="Times New Roman" w:cs="Times New Roman"/>
        </w:rPr>
      </w:pPr>
      <w:r>
        <w:rPr>
          <w:rFonts w:ascii="Times New Roman" w:hAnsi="Times New Roman" w:cs="Times New Roman"/>
        </w:rPr>
        <w:t>Figure S1 to S13</w:t>
      </w:r>
    </w:p>
    <w:p w14:paraId="22873889" w14:textId="77777777" w:rsidR="004E6222" w:rsidRDefault="004E6222" w:rsidP="004E6222">
      <w:pPr>
        <w:pStyle w:val="List"/>
        <w:spacing w:line="360" w:lineRule="auto"/>
        <w:jc w:val="both"/>
        <w:rPr>
          <w:rFonts w:ascii="Times New Roman" w:hAnsi="Times New Roman" w:cs="Times New Roman"/>
        </w:rPr>
      </w:pPr>
      <w:r>
        <w:rPr>
          <w:rFonts w:ascii="Times New Roman" w:hAnsi="Times New Roman" w:cs="Times New Roman"/>
        </w:rPr>
        <w:t>Table S1</w:t>
      </w:r>
    </w:p>
    <w:p w14:paraId="3890AA53" w14:textId="77777777" w:rsidR="004E6222" w:rsidRDefault="004E6222" w:rsidP="004E6222">
      <w:pPr>
        <w:pStyle w:val="List"/>
        <w:spacing w:line="480" w:lineRule="auto"/>
        <w:jc w:val="both"/>
        <w:rPr>
          <w:rFonts w:cs="Times New Roman"/>
        </w:rPr>
      </w:pPr>
      <w:r>
        <w:rPr>
          <w:rFonts w:ascii="Times New Roman" w:hAnsi="Times New Roman" w:cs="Times New Roman"/>
        </w:rPr>
        <w:t>Movie Captions S1-S4</w:t>
      </w:r>
    </w:p>
    <w:p w14:paraId="20E301BA" w14:textId="77777777" w:rsidR="004E6222" w:rsidRDefault="004E6222" w:rsidP="004E6222">
      <w:pPr>
        <w:spacing w:after="160"/>
        <w:jc w:val="left"/>
        <w:rPr>
          <w:rFonts w:eastAsia="Arial" w:cs="Times New Roman"/>
        </w:rPr>
      </w:pPr>
      <w:r>
        <w:rPr>
          <w:rFonts w:eastAsia="Arial" w:cs="Times New Roman"/>
        </w:rPr>
        <w:br w:type="page"/>
      </w:r>
    </w:p>
    <w:p w14:paraId="3FC612AA" w14:textId="23EF2300" w:rsidR="004E6222" w:rsidRDefault="004E6222" w:rsidP="004E6222">
      <w:pPr>
        <w:spacing w:line="360" w:lineRule="auto"/>
        <w:rPr>
          <w:rFonts w:cs="Times New Roman"/>
          <w:bCs/>
          <w:szCs w:val="20"/>
        </w:rPr>
      </w:pPr>
      <w:r>
        <w:rPr>
          <w:rFonts w:cs="Times New Roman"/>
          <w:noProof/>
          <w:szCs w:val="20"/>
          <w:lang w:eastAsia="en-US"/>
        </w:rPr>
        <w:lastRenderedPageBreak/>
        <w:drawing>
          <wp:inline distT="0" distB="0" distL="0" distR="0" wp14:anchorId="041AC7E6" wp14:editId="358E01FD">
            <wp:extent cx="5731510" cy="3239135"/>
            <wp:effectExtent l="0" t="0" r="2540" b="0"/>
            <wp:docPr id="1493120105" name="Picture 13" descr="STEM_S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TEM_SI"/>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731510" cy="3239135"/>
                    </a:xfrm>
                    <a:prstGeom prst="rect">
                      <a:avLst/>
                    </a:prstGeom>
                    <a:noFill/>
                    <a:ln>
                      <a:noFill/>
                    </a:ln>
                  </pic:spPr>
                </pic:pic>
              </a:graphicData>
            </a:graphic>
          </wp:inline>
        </w:drawing>
      </w:r>
    </w:p>
    <w:p w14:paraId="2CC6D249" w14:textId="77777777" w:rsidR="004E6222" w:rsidRDefault="004E6222" w:rsidP="004E6222">
      <w:pPr>
        <w:spacing w:after="160" w:line="360" w:lineRule="auto"/>
        <w:rPr>
          <w:rFonts w:eastAsia="Arial" w:cs="Times New Roman"/>
        </w:rPr>
      </w:pPr>
      <w:r>
        <w:rPr>
          <w:rStyle w:val="Strong"/>
          <w:color w:val="0E101A"/>
        </w:rPr>
        <w:t>Supplementary Figure S1.</w:t>
      </w:r>
      <w:r>
        <w:t xml:space="preserve"> </w:t>
      </w:r>
      <w:r>
        <w:rPr>
          <w:rStyle w:val="Strong"/>
          <w:color w:val="0E101A"/>
        </w:rPr>
        <w:t xml:space="preserve">Ex-Situ Scanning Transmission Electron Micrographs of the Supported Catalyst. </w:t>
      </w:r>
      <w:r>
        <w:t>Micrographs show the growth of the palladium particles as a function of temperature. Shown from left to right are images of the as-prepared catalyst, after heat treatment at 300 °C and 550 °C. Scale bars are 10 nm. Micrographs were acquired from mechanically fractured pieces of the supported catalyst.</w:t>
      </w:r>
      <w:r>
        <w:rPr>
          <w:rFonts w:eastAsia="Arial" w:cs="Times New Roman"/>
        </w:rPr>
        <w:br w:type="page"/>
      </w:r>
    </w:p>
    <w:p w14:paraId="627DFBC8" w14:textId="69101E19" w:rsidR="004E6222" w:rsidRDefault="004E6222" w:rsidP="004E6222">
      <w:pPr>
        <w:rPr>
          <w:rFonts w:eastAsia="Arial" w:cs="Times New Roman"/>
        </w:rPr>
      </w:pPr>
      <w:r>
        <w:rPr>
          <w:rFonts w:eastAsia="Arial" w:cs="Times New Roman"/>
          <w:noProof/>
        </w:rPr>
        <w:lastRenderedPageBreak/>
        <w:drawing>
          <wp:inline distT="0" distB="0" distL="0" distR="0" wp14:anchorId="1273755C" wp14:editId="295CD2CF">
            <wp:extent cx="5731510" cy="6097905"/>
            <wp:effectExtent l="0" t="0" r="2540" b="0"/>
            <wp:docPr id="93282747"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731510" cy="6097905"/>
                    </a:xfrm>
                    <a:prstGeom prst="rect">
                      <a:avLst/>
                    </a:prstGeom>
                    <a:noFill/>
                    <a:ln>
                      <a:noFill/>
                    </a:ln>
                  </pic:spPr>
                </pic:pic>
              </a:graphicData>
            </a:graphic>
          </wp:inline>
        </w:drawing>
      </w:r>
    </w:p>
    <w:p w14:paraId="16310984" w14:textId="77777777" w:rsidR="004E6222" w:rsidRDefault="004E6222" w:rsidP="004E6222">
      <w:pPr>
        <w:spacing w:after="0" w:line="360" w:lineRule="auto"/>
        <w:rPr>
          <w:rFonts w:cs="Times New Roman"/>
          <w:bCs/>
          <w:szCs w:val="20"/>
        </w:rPr>
      </w:pPr>
      <w:r>
        <w:rPr>
          <w:rFonts w:cs="Times New Roman"/>
          <w:b/>
          <w:bCs/>
          <w:szCs w:val="20"/>
        </w:rPr>
        <w:t>Supplementary Figure S2.</w:t>
      </w:r>
      <w:r>
        <w:rPr>
          <w:rFonts w:cs="Times New Roman"/>
          <w:bCs/>
          <w:szCs w:val="20"/>
        </w:rPr>
        <w:t xml:space="preserve"> </w:t>
      </w:r>
      <w:r>
        <w:rPr>
          <w:rFonts w:cs="Times New Roman"/>
          <w:b/>
          <w:szCs w:val="20"/>
        </w:rPr>
        <w:t xml:space="preserve">Ex-Situ Scanning Transmission Electron Microscopy Derived Palladium Particle Size Distributions. </w:t>
      </w:r>
      <w:r>
        <w:rPr>
          <w:rFonts w:cs="Times New Roman"/>
          <w:bCs/>
          <w:szCs w:val="20"/>
        </w:rPr>
        <w:t xml:space="preserve">Plotted are the </w:t>
      </w:r>
      <w:proofErr w:type="spellStart"/>
      <w:r>
        <w:rPr>
          <w:rFonts w:cs="Times New Roman"/>
          <w:bCs/>
          <w:szCs w:val="20"/>
        </w:rPr>
        <w:t>PdO</w:t>
      </w:r>
      <w:proofErr w:type="spellEnd"/>
      <w:r>
        <w:rPr>
          <w:rFonts w:cs="Times New Roman"/>
          <w:bCs/>
          <w:szCs w:val="20"/>
        </w:rPr>
        <w:t xml:space="preserve"> particle size distributions as found in the as-prepared catalyst and after CH</w:t>
      </w:r>
      <w:r>
        <w:rPr>
          <w:rFonts w:cs="Times New Roman"/>
          <w:bCs/>
          <w:szCs w:val="20"/>
          <w:vertAlign w:val="subscript"/>
        </w:rPr>
        <w:t>4</w:t>
      </w:r>
      <w:r>
        <w:rPr>
          <w:rFonts w:cs="Times New Roman"/>
          <w:bCs/>
          <w:szCs w:val="20"/>
        </w:rPr>
        <w:t xml:space="preserve"> oxidation at 300 °C, 450 °C, and 550 °C. Reported is the Feret diameter determined using elliptical shapes. More than 200 particles were measured per condition.</w:t>
      </w:r>
    </w:p>
    <w:p w14:paraId="7246C8F8" w14:textId="77777777" w:rsidR="004E6222" w:rsidRDefault="004E6222" w:rsidP="004E6222">
      <w:pPr>
        <w:spacing w:after="160"/>
        <w:jc w:val="left"/>
        <w:rPr>
          <w:rFonts w:eastAsia="Arial" w:cs="Times New Roman"/>
        </w:rPr>
      </w:pPr>
      <w:r>
        <w:rPr>
          <w:rFonts w:eastAsia="Arial" w:cs="Times New Roman"/>
        </w:rPr>
        <w:br w:type="page"/>
      </w:r>
    </w:p>
    <w:p w14:paraId="2098BEE4" w14:textId="1C55E60C" w:rsidR="004E6222" w:rsidRDefault="004E6222" w:rsidP="004E6222">
      <w:pPr>
        <w:rPr>
          <w:rFonts w:eastAsia="Arial" w:cs="Times New Roman"/>
        </w:rPr>
      </w:pPr>
      <w:r>
        <w:rPr>
          <w:rFonts w:eastAsia="Arial" w:cs="Times New Roman"/>
          <w:noProof/>
        </w:rPr>
        <w:lastRenderedPageBreak/>
        <w:drawing>
          <wp:inline distT="0" distB="0" distL="0" distR="0" wp14:anchorId="726A03BD" wp14:editId="6E3FB028">
            <wp:extent cx="5486400" cy="3029585"/>
            <wp:effectExtent l="0" t="0" r="0" b="0"/>
            <wp:docPr id="1960698300"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486400" cy="3029585"/>
                    </a:xfrm>
                    <a:prstGeom prst="rect">
                      <a:avLst/>
                    </a:prstGeom>
                    <a:noFill/>
                    <a:ln>
                      <a:noFill/>
                    </a:ln>
                  </pic:spPr>
                </pic:pic>
              </a:graphicData>
            </a:graphic>
          </wp:inline>
        </w:drawing>
      </w:r>
    </w:p>
    <w:p w14:paraId="1EE000C7" w14:textId="77777777" w:rsidR="004E6222" w:rsidRDefault="004E6222" w:rsidP="004E6222">
      <w:pPr>
        <w:spacing w:after="0" w:line="360" w:lineRule="auto"/>
        <w:rPr>
          <w:rFonts w:cs="Times New Roman"/>
          <w:bCs/>
          <w:szCs w:val="20"/>
        </w:rPr>
      </w:pPr>
      <w:r>
        <w:rPr>
          <w:rFonts w:cs="Times New Roman"/>
          <w:b/>
          <w:bCs/>
          <w:szCs w:val="20"/>
        </w:rPr>
        <w:t>Supplementary Figure S3.</w:t>
      </w:r>
      <w:r>
        <w:rPr>
          <w:rFonts w:cs="Times New Roman"/>
          <w:bCs/>
          <w:szCs w:val="20"/>
        </w:rPr>
        <w:t xml:space="preserve"> </w:t>
      </w:r>
      <w:r>
        <w:rPr>
          <w:rFonts w:cs="Times New Roman"/>
          <w:b/>
          <w:szCs w:val="20"/>
        </w:rPr>
        <w:t>Powder X-ray Diffraction of the Supported Catalyst as a Function of Temperature.</w:t>
      </w:r>
      <w:r>
        <w:rPr>
          <w:rFonts w:cs="Times New Roman"/>
          <w:bCs/>
          <w:szCs w:val="20"/>
        </w:rPr>
        <w:t xml:space="preserve"> (a) PXRD patterns of the as-prepared (fresh) catalyst and after CH</w:t>
      </w:r>
      <w:r>
        <w:rPr>
          <w:rFonts w:cs="Times New Roman"/>
          <w:bCs/>
          <w:szCs w:val="20"/>
          <w:vertAlign w:val="subscript"/>
        </w:rPr>
        <w:t>4</w:t>
      </w:r>
      <w:r>
        <w:rPr>
          <w:rFonts w:cs="Times New Roman"/>
          <w:bCs/>
          <w:szCs w:val="20"/>
        </w:rPr>
        <w:t xml:space="preserve"> oxidation at 300 °C, 450 °C, 550 °C, 650 °C and 750 °C. Prominent reflections can be assigned to SiO</w:t>
      </w:r>
      <w:r>
        <w:rPr>
          <w:rFonts w:cs="Times New Roman"/>
          <w:bCs/>
          <w:szCs w:val="20"/>
          <w:vertAlign w:val="subscript"/>
        </w:rPr>
        <w:t>2</w:t>
      </w:r>
      <w:r>
        <w:rPr>
          <w:rFonts w:cs="Times New Roman"/>
          <w:bCs/>
          <w:szCs w:val="20"/>
        </w:rPr>
        <w:t xml:space="preserve">, </w:t>
      </w:r>
      <w:proofErr w:type="spellStart"/>
      <w:r>
        <w:rPr>
          <w:rFonts w:cs="Times New Roman"/>
          <w:bCs/>
          <w:szCs w:val="20"/>
        </w:rPr>
        <w:t>PdO</w:t>
      </w:r>
      <w:proofErr w:type="spellEnd"/>
      <w:r>
        <w:rPr>
          <w:rFonts w:cs="Times New Roman"/>
          <w:bCs/>
          <w:szCs w:val="20"/>
        </w:rPr>
        <w:t xml:space="preserve">, Si and </w:t>
      </w:r>
      <w:proofErr w:type="spellStart"/>
      <w:r>
        <w:rPr>
          <w:rFonts w:cs="Times New Roman"/>
          <w:bCs/>
          <w:szCs w:val="20"/>
        </w:rPr>
        <w:t>SiC.</w:t>
      </w:r>
      <w:proofErr w:type="spellEnd"/>
      <w:r>
        <w:rPr>
          <w:rFonts w:cs="Times New Roman"/>
          <w:bCs/>
          <w:szCs w:val="20"/>
        </w:rPr>
        <w:t xml:space="preserve"> No reflection of metallic Pd was detectable. The </w:t>
      </w:r>
      <w:proofErr w:type="gramStart"/>
      <w:r>
        <w:rPr>
          <w:rFonts w:cs="Times New Roman"/>
          <w:bCs/>
          <w:szCs w:val="20"/>
        </w:rPr>
        <w:t>Si(</w:t>
      </w:r>
      <w:proofErr w:type="gramEnd"/>
      <w:r>
        <w:rPr>
          <w:rFonts w:cs="Times New Roman"/>
          <w:bCs/>
          <w:szCs w:val="20"/>
        </w:rPr>
        <w:t xml:space="preserve">111) reflection is owed to an incomplete coverage of the PXRD sample holder. </w:t>
      </w:r>
    </w:p>
    <w:p w14:paraId="128AA4DE" w14:textId="77777777" w:rsidR="004E6222" w:rsidRDefault="004E6222" w:rsidP="004E6222">
      <w:pPr>
        <w:spacing w:after="0" w:line="360" w:lineRule="auto"/>
        <w:rPr>
          <w:rFonts w:cs="Times New Roman"/>
          <w:bCs/>
          <w:szCs w:val="20"/>
        </w:rPr>
      </w:pPr>
      <w:r>
        <w:rPr>
          <w:rFonts w:cs="Times New Roman"/>
          <w:bCs/>
          <w:szCs w:val="20"/>
        </w:rPr>
        <w:t xml:space="preserve">The detection of </w:t>
      </w:r>
      <w:proofErr w:type="spellStart"/>
      <w:r>
        <w:rPr>
          <w:rFonts w:cs="Times New Roman"/>
          <w:bCs/>
          <w:szCs w:val="20"/>
        </w:rPr>
        <w:t>SiC</w:t>
      </w:r>
      <w:proofErr w:type="spellEnd"/>
      <w:r>
        <w:rPr>
          <w:rFonts w:cs="Times New Roman"/>
          <w:bCs/>
          <w:szCs w:val="20"/>
        </w:rPr>
        <w:t xml:space="preserve"> stems from the presence of </w:t>
      </w:r>
      <w:proofErr w:type="spellStart"/>
      <w:r>
        <w:rPr>
          <w:rFonts w:cs="Times New Roman"/>
          <w:bCs/>
          <w:szCs w:val="20"/>
        </w:rPr>
        <w:t>SiC</w:t>
      </w:r>
      <w:proofErr w:type="spellEnd"/>
      <w:r>
        <w:rPr>
          <w:rFonts w:cs="Times New Roman"/>
          <w:bCs/>
          <w:szCs w:val="20"/>
        </w:rPr>
        <w:t xml:space="preserve"> in the powdered sample, a leftover from the catalytic bed dilution after the catalytic test. (b) Plotted are the Scherrer equation (black) and STEM (orange) derived </w:t>
      </w:r>
      <w:proofErr w:type="spellStart"/>
      <w:r>
        <w:rPr>
          <w:rFonts w:cs="Times New Roman"/>
          <w:bCs/>
          <w:szCs w:val="20"/>
        </w:rPr>
        <w:t>PdO</w:t>
      </w:r>
      <w:proofErr w:type="spellEnd"/>
      <w:r>
        <w:rPr>
          <w:rFonts w:cs="Times New Roman"/>
          <w:bCs/>
          <w:szCs w:val="20"/>
        </w:rPr>
        <w:t xml:space="preserve"> particle diameter as a function of temperature. The orange shaded area in (b) represents the standard deviation of the STEM particle size analysis (Figure S2).</w:t>
      </w:r>
      <w:r>
        <w:rPr>
          <w:rFonts w:eastAsia="Arial" w:cs="Times New Roman"/>
        </w:rPr>
        <w:t xml:space="preserve"> </w:t>
      </w:r>
      <w:r>
        <w:rPr>
          <w:rFonts w:eastAsia="Arial" w:cs="Times New Roman"/>
        </w:rPr>
        <w:br w:type="page"/>
      </w:r>
    </w:p>
    <w:p w14:paraId="6BE39291" w14:textId="3CE8F007" w:rsidR="004E6222" w:rsidRDefault="004E6222" w:rsidP="004E6222">
      <w:pPr>
        <w:spacing w:line="360" w:lineRule="auto"/>
        <w:rPr>
          <w:rFonts w:cs="Times New Roman"/>
          <w:b/>
          <w:szCs w:val="20"/>
        </w:rPr>
      </w:pPr>
      <w:r>
        <w:rPr>
          <w:rFonts w:cs="Times New Roman"/>
          <w:b/>
          <w:noProof/>
          <w:szCs w:val="20"/>
          <w:lang w:eastAsia="en-US"/>
        </w:rPr>
        <w:lastRenderedPageBreak/>
        <w:drawing>
          <wp:inline distT="0" distB="0" distL="0" distR="0" wp14:anchorId="681E6823" wp14:editId="3EA78D6A">
            <wp:extent cx="5575300" cy="7021830"/>
            <wp:effectExtent l="0" t="0" r="6350" b="7620"/>
            <wp:docPr id="837913952"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575300" cy="7021830"/>
                    </a:xfrm>
                    <a:prstGeom prst="rect">
                      <a:avLst/>
                    </a:prstGeom>
                    <a:noFill/>
                    <a:ln>
                      <a:noFill/>
                    </a:ln>
                  </pic:spPr>
                </pic:pic>
              </a:graphicData>
            </a:graphic>
          </wp:inline>
        </w:drawing>
      </w:r>
    </w:p>
    <w:p w14:paraId="147AAE2E" w14:textId="77777777" w:rsidR="004E6222" w:rsidRDefault="004E6222" w:rsidP="004E6222">
      <w:pPr>
        <w:spacing w:line="360" w:lineRule="auto"/>
        <w:rPr>
          <w:rFonts w:cs="Times New Roman"/>
          <w:szCs w:val="20"/>
        </w:rPr>
      </w:pPr>
      <w:r>
        <w:rPr>
          <w:rFonts w:cs="Times New Roman"/>
          <w:b/>
          <w:szCs w:val="20"/>
        </w:rPr>
        <w:t xml:space="preserve">Supplementary Figure S4: Scanning Electron Micrographs of a Nanoporous Silica Sample Pillar. </w:t>
      </w:r>
      <w:r>
        <w:rPr>
          <w:rFonts w:cs="Times New Roman"/>
          <w:szCs w:val="20"/>
        </w:rPr>
        <w:t xml:space="preserve">(a) Overview micrograph showing the sample after mounting of the glass bead on the tomography pin and following a pre-cut using a </w:t>
      </w:r>
      <w:proofErr w:type="spellStart"/>
      <w:r>
        <w:rPr>
          <w:rFonts w:cs="Times New Roman"/>
          <w:szCs w:val="20"/>
        </w:rPr>
        <w:t>microlathe</w:t>
      </w:r>
      <w:proofErr w:type="spellEnd"/>
      <w:r>
        <w:rPr>
          <w:rFonts w:cs="Times New Roman"/>
          <w:szCs w:val="20"/>
        </w:rPr>
        <w:t>. (</w:t>
      </w:r>
      <w:proofErr w:type="spellStart"/>
      <w:r>
        <w:rPr>
          <w:rFonts w:cs="Times New Roman"/>
          <w:szCs w:val="20"/>
        </w:rPr>
        <w:t>b&amp;c</w:t>
      </w:r>
      <w:proofErr w:type="spellEnd"/>
      <w:r>
        <w:rPr>
          <w:rFonts w:cs="Times New Roman"/>
          <w:szCs w:val="20"/>
        </w:rPr>
        <w:t xml:space="preserve">) The final sample pillar after FIB milling of the pre-cut. Shown are a top-down and a side-view of the pillar. To note, are the exterior accessible or open pore structure, allowing for liquid infiltration, and the ion beam irradiation protective sample cap. </w:t>
      </w:r>
    </w:p>
    <w:p w14:paraId="4178C499" w14:textId="77777777" w:rsidR="004E6222" w:rsidRDefault="004E6222" w:rsidP="004E6222">
      <w:pPr>
        <w:spacing w:after="160"/>
        <w:jc w:val="left"/>
        <w:rPr>
          <w:rFonts w:eastAsia="Arial" w:cs="Times New Roman"/>
        </w:rPr>
      </w:pPr>
      <w:r>
        <w:rPr>
          <w:rFonts w:eastAsia="Arial" w:cs="Times New Roman"/>
        </w:rPr>
        <w:br w:type="page"/>
      </w:r>
    </w:p>
    <w:p w14:paraId="511AE9AA" w14:textId="732B6E85" w:rsidR="004E6222" w:rsidRDefault="004E6222" w:rsidP="004E6222">
      <w:pPr>
        <w:spacing w:before="240" w:after="0" w:line="360" w:lineRule="auto"/>
        <w:rPr>
          <w:szCs w:val="20"/>
        </w:rPr>
      </w:pPr>
      <w:r>
        <w:rPr>
          <w:rFonts w:cs="Times New Roman"/>
          <w:b/>
          <w:noProof/>
          <w:szCs w:val="20"/>
          <w:lang w:eastAsia="en-US"/>
        </w:rPr>
        <w:lastRenderedPageBreak/>
        <w:drawing>
          <wp:inline distT="0" distB="0" distL="0" distR="0" wp14:anchorId="718DF7EE" wp14:editId="0C21439C">
            <wp:extent cx="5581650" cy="3459480"/>
            <wp:effectExtent l="0" t="0" r="0" b="0"/>
            <wp:docPr id="2047537460"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8">
                      <a:extLst>
                        <a:ext uri="{28A0092B-C50C-407E-A947-70E740481C1C}">
                          <a14:useLocalDpi xmlns:a14="http://schemas.microsoft.com/office/drawing/2010/main" val="0"/>
                        </a:ext>
                      </a:extLst>
                    </a:blip>
                    <a:srcRect t="19157"/>
                    <a:stretch>
                      <a:fillRect/>
                    </a:stretch>
                  </pic:blipFill>
                  <pic:spPr bwMode="auto">
                    <a:xfrm>
                      <a:off x="0" y="0"/>
                      <a:ext cx="5581650" cy="3459480"/>
                    </a:xfrm>
                    <a:prstGeom prst="rect">
                      <a:avLst/>
                    </a:prstGeom>
                    <a:noFill/>
                    <a:ln>
                      <a:noFill/>
                    </a:ln>
                  </pic:spPr>
                </pic:pic>
              </a:graphicData>
            </a:graphic>
          </wp:inline>
        </w:drawing>
      </w:r>
      <w:r>
        <w:rPr>
          <w:rFonts w:cs="Times New Roman"/>
          <w:b/>
          <w:szCs w:val="20"/>
        </w:rPr>
        <w:t xml:space="preserve">Supplementary Figure S5: Fourier Shell Correlation (FSC) Curves. </w:t>
      </w:r>
      <w:r>
        <w:rPr>
          <w:rFonts w:cs="Times New Roman"/>
          <w:bCs/>
          <w:szCs w:val="20"/>
        </w:rPr>
        <w:t xml:space="preserve">Provided are FSC curves of the acquired phase / electron density tomograms. The </w:t>
      </w:r>
      <w:r>
        <w:rPr>
          <w:rFonts w:cs="Times New Roman"/>
          <w:bCs/>
          <w:i/>
          <w:iCs/>
          <w:szCs w:val="20"/>
        </w:rPr>
        <w:t>sample-average</w:t>
      </w:r>
      <w:r>
        <w:rPr>
          <w:rFonts w:cs="Times New Roman"/>
          <w:bCs/>
          <w:szCs w:val="20"/>
        </w:rPr>
        <w:t xml:space="preserve"> half-period spatial resolution estimate is determined by the intersection of the FSC curve with the half-bit threshold curve (turquoise curve). The voxel size is </w:t>
      </w:r>
      <w:r>
        <w:rPr>
          <w:rFonts w:cs="Times New Roman"/>
          <w:szCs w:val="20"/>
        </w:rPr>
        <w:t>(15.48 nm)</w:t>
      </w:r>
      <w:r>
        <w:rPr>
          <w:rFonts w:cs="Times New Roman"/>
          <w:szCs w:val="20"/>
          <w:vertAlign w:val="superscript"/>
        </w:rPr>
        <w:t>3</w:t>
      </w:r>
      <w:r>
        <w:rPr>
          <w:rFonts w:cs="Times New Roman"/>
          <w:szCs w:val="20"/>
        </w:rPr>
        <w:t>.</w:t>
      </w:r>
      <w:r>
        <w:rPr>
          <w:szCs w:val="20"/>
        </w:rPr>
        <w:t xml:space="preserve"> The sample-average spatial resolution of tomograms acquired in an argon atmosphere is lower than those acquired in a nitrogen dominant atmosphere, we currently assign this observation to (1) the argon atmosphere slightly interfering with the accuracy of flOMNI’s</w:t>
      </w:r>
      <w:r>
        <w:rPr>
          <w:szCs w:val="20"/>
        </w:rPr>
        <w:fldChar w:fldCharType="begin" w:fldLock="1"/>
      </w:r>
      <w:r>
        <w:rPr>
          <w:szCs w:val="20"/>
        </w:rPr>
        <w:instrText xml:space="preserve"> ADDIN ZOTERO_ITEM CSL_CITATION {"citationID":"dP4GP0HW","properties":{"formattedCitation":"\\super 29,74\\nosupersub{}","plainCitation":"29,74","noteIndex":0},"citationItems":[{"id":11612,"uris":["http://www.mendeley.com/documents/?uuid=7a583849-fe0a-4dc7-b5a1-ba0b8de2d932","http://zotero.org/users/15799332/items/T3J3B63V"],"itemData":{"id":11612,"type":"article-journal","abstract":"We present an instrument dedicated to 3D scanning x-ray microscopy, allowing a sample to be precisely scanned through a beam while the angle of x-ray incidence can be changed. The position of the sample is controlled with respect to the beam-defining optics by laser interferometry. The instrument achieves a position stability better than 10 nm standard deviation. The instrument performance is assessed using scanning x-ray diffraction microscopy and we demonstrate a resolution of 18 nm in 2D imaging of a lithographic test pattern while the beam was defined by a pinhole of 3 μm in diameter. In 3D on a test object of copper interconnects of a microprocessor, a resolution of 53 nm is achieved. © 2012 American Institute of Physics.","container-title":"Review of Scientific Instruments","DOI":"10.1063/1.4737624","ISSN":"00346748","issue":"7","title":"An instrument for 3D x-ray nano-imaging","volume":"83","author":[{"family":"Holler","given":"M."},{"family":"Raabe","given":"J."},{"family":"Diaz","given":"A."},{"family":"Guizar-Sicairos","given":"M."},{"family":"Quitmann","given":"C."},{"family":"Menzel","given":"A."},{"family":"Bunk","given":"O."}],"issued":{"date-parts":[["2012"]]}}},{"id":11643,"uris":["http://www.mendeley.com/documents/?uuid=05ecf3c3-1589-4442-8d24-9415b2ffb80e","http://zotero.org/users/15799332/items/UD7C2ZR3"],"itemData":{"id":11643,"type":"article-journal","abstract":"X-ray ptychography is a scanning variant of coherent diffractive imaging with the ability to image large fields of view at high resolution. It further allows imaging of non-isolated specimens and can produce quantitative mapping of the electron density distribution in 3D when combined with computed tomography. The method does not require imaging lenses, which makes it dose efficient and suitable to multi-keV X-rays, where efficient photon counting, pixelated detectors are available. Here we present the first highly resolved quantitative X-ray ptychographic tomography of an extended object yielding 16â€...nm isotropic 3D resolution recorded at 2 Å wavelength. This first-of-its-kind demonstration paves the way for ptychographic X-ray tomography to become a promising method for X-ray imaging of representative sample volumes at unmatched resolution, opening tremendous potential for characterizing samples in materials science and biology by filling the resolution gap between electron microscopy and other X-ray imaging techniques.","container-title":"Scientific Reports","DOI":"10.1038/srep03857","ISSN":"2045-2322","issue":"1","note":"PMID: 24457289","page":"3857","title":"X-ray ptychographic computed tomography at 16 nm isotropic 3D resolution","volume":"4","author":[{"family":"Holler","given":"M."},{"family":"Diaz","given":"A."},{"family":"Guizar-Sicairos","given":"M."},{"family":"Karvinen","given":"P."},{"family":"Färm","given":"Elina"},{"family":"Härkönen","given":"Emma"},{"family":"Ritala","given":"Mikko"},{"family":"Menzel","given":"A."},{"family":"Raabe","given":"J."},{"family":"Bunk","given":"O."}],"issued":{"date-parts":[["2015",5,24]]}}}],"schema":"https://github.com/citation-style-language/schema/raw/master/csl-citation.json"} </w:instrText>
      </w:r>
      <w:r>
        <w:rPr>
          <w:szCs w:val="20"/>
        </w:rPr>
        <w:fldChar w:fldCharType="separate"/>
      </w:r>
      <w:r>
        <w:rPr>
          <w:rFonts w:cs="Times New Roman"/>
          <w:vertAlign w:val="superscript"/>
        </w:rPr>
        <w:t>29,74</w:t>
      </w:r>
      <w:r>
        <w:rPr>
          <w:szCs w:val="20"/>
        </w:rPr>
        <w:fldChar w:fldCharType="end"/>
      </w:r>
      <w:r>
        <w:rPr>
          <w:szCs w:val="20"/>
        </w:rPr>
        <w:t xml:space="preserve"> sample positioning interferometry and (2) a reduced scattering contrast. The 2D spatial resolution of ptychographic phase reconstructions, according to Fourier ring correlation (FRC) is 15 nm at 25</w:t>
      </w:r>
      <w:r>
        <w:rPr>
          <w:rFonts w:cs="Times New Roman"/>
          <w:szCs w:val="20"/>
        </w:rPr>
        <w:t>˚</w:t>
      </w:r>
      <w:r>
        <w:rPr>
          <w:szCs w:val="20"/>
        </w:rPr>
        <w:t xml:space="preserve">C. No FRC tests were performed at elevated temperatures. </w:t>
      </w:r>
    </w:p>
    <w:p w14:paraId="1082EE8F" w14:textId="77777777" w:rsidR="004E6222" w:rsidRDefault="004E6222" w:rsidP="004E6222">
      <w:pPr>
        <w:spacing w:after="160"/>
        <w:jc w:val="left"/>
        <w:rPr>
          <w:rFonts w:cs="Times New Roman"/>
          <w:bCs/>
          <w:szCs w:val="20"/>
        </w:rPr>
      </w:pPr>
      <w:r>
        <w:rPr>
          <w:rFonts w:cs="Times New Roman"/>
          <w:bCs/>
          <w:szCs w:val="20"/>
        </w:rPr>
        <w:br w:type="page"/>
      </w:r>
    </w:p>
    <w:p w14:paraId="0A06A896" w14:textId="77777777" w:rsidR="004E6222" w:rsidRDefault="004E6222" w:rsidP="004E6222">
      <w:pPr>
        <w:spacing w:after="0" w:line="360" w:lineRule="auto"/>
        <w:rPr>
          <w:rFonts w:cs="Times New Roman"/>
          <w:bCs/>
          <w:szCs w:val="20"/>
        </w:rPr>
      </w:pPr>
    </w:p>
    <w:p w14:paraId="3C7E44A8" w14:textId="3DE4C5E1" w:rsidR="004E6222" w:rsidRDefault="004E6222" w:rsidP="004E6222">
      <w:pPr>
        <w:spacing w:line="360" w:lineRule="auto"/>
        <w:jc w:val="center"/>
        <w:rPr>
          <w:rFonts w:cs="Times New Roman"/>
          <w:bCs/>
          <w:szCs w:val="20"/>
        </w:rPr>
      </w:pPr>
      <w:r>
        <w:rPr>
          <w:noProof/>
          <w:lang w:eastAsia="en-US"/>
        </w:rPr>
        <w:drawing>
          <wp:inline distT="0" distB="0" distL="0" distR="0" wp14:anchorId="6E6D50E8" wp14:editId="452F2D2C">
            <wp:extent cx="5731510" cy="3049270"/>
            <wp:effectExtent l="0" t="0" r="0" b="0"/>
            <wp:docPr id="570663491"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a:extLst>
                        <a:ext uri="{28A0092B-C50C-407E-A947-70E740481C1C}">
                          <a14:useLocalDpi xmlns:a14="http://schemas.microsoft.com/office/drawing/2010/main" val="0"/>
                        </a:ext>
                      </a:extLst>
                    </a:blip>
                    <a:srcRect t="25021" b="5373"/>
                    <a:stretch>
                      <a:fillRect/>
                    </a:stretch>
                  </pic:blipFill>
                  <pic:spPr bwMode="auto">
                    <a:xfrm>
                      <a:off x="0" y="0"/>
                      <a:ext cx="5731510" cy="3049270"/>
                    </a:xfrm>
                    <a:prstGeom prst="rect">
                      <a:avLst/>
                    </a:prstGeom>
                    <a:noFill/>
                    <a:ln>
                      <a:noFill/>
                    </a:ln>
                  </pic:spPr>
                </pic:pic>
              </a:graphicData>
            </a:graphic>
          </wp:inline>
        </w:drawing>
      </w:r>
    </w:p>
    <w:p w14:paraId="531CA36B" w14:textId="77777777" w:rsidR="004E6222" w:rsidRDefault="004E6222" w:rsidP="004E6222">
      <w:pPr>
        <w:spacing w:after="0" w:line="360" w:lineRule="auto"/>
        <w:rPr>
          <w:rFonts w:cs="Times New Roman"/>
          <w:bCs/>
          <w:szCs w:val="20"/>
        </w:rPr>
      </w:pPr>
      <w:r>
        <w:rPr>
          <w:rFonts w:cs="Times New Roman"/>
          <w:b/>
          <w:bCs/>
          <w:szCs w:val="20"/>
        </w:rPr>
        <w:t xml:space="preserve">Supplementary Figure S6: Total Sample Mass as a Function of Environmental Conditions. </w:t>
      </w:r>
      <w:r>
        <w:rPr>
          <w:rFonts w:cs="Times New Roman"/>
          <w:bCs/>
          <w:szCs w:val="20"/>
        </w:rPr>
        <w:t xml:space="preserve">Shown are cumulative or integrated electron density histograms of the supported catalyst tomograms acquired at 25ºC in air, at 750 ºC in an argon/ </w:t>
      </w:r>
      <w:r>
        <w:rPr>
          <w:rFonts w:cs="Times New Roman"/>
          <w:szCs w:val="20"/>
        </w:rPr>
        <w:t>CH</w:t>
      </w:r>
      <w:r>
        <w:rPr>
          <w:rFonts w:cs="Times New Roman"/>
          <w:szCs w:val="20"/>
          <w:vertAlign w:val="subscript"/>
        </w:rPr>
        <w:t xml:space="preserve">4 </w:t>
      </w:r>
      <w:r>
        <w:rPr>
          <w:rFonts w:cs="Times New Roman"/>
          <w:szCs w:val="20"/>
        </w:rPr>
        <w:t xml:space="preserve">atmosphere </w:t>
      </w:r>
      <w:r>
        <w:rPr>
          <w:rFonts w:cs="Times New Roman"/>
          <w:bCs/>
          <w:szCs w:val="20"/>
        </w:rPr>
        <w:t xml:space="preserve">and at 830ºC in air. Analysed are identical sample volumes, i.e. containing the same number of voxels, with identical binning for histogram construction. The change in atmosphere density (air vs argon) was accounted for during tomogram reconstruction. Observable is an increase in integrated sample electron density of ~7% over the course of the measurement. Currently we assume this increase in density and thus total sample mass to be a result of (1) the formation of </w:t>
      </w:r>
      <w:proofErr w:type="spellStart"/>
      <w:r>
        <w:rPr>
          <w:rFonts w:cs="Times New Roman"/>
          <w:bCs/>
          <w:szCs w:val="20"/>
        </w:rPr>
        <w:t>PdO</w:t>
      </w:r>
      <w:proofErr w:type="spellEnd"/>
      <w:r>
        <w:rPr>
          <w:rFonts w:cs="Times New Roman"/>
          <w:bCs/>
          <w:szCs w:val="20"/>
        </w:rPr>
        <w:t xml:space="preserve">, i.e. the uptake of oxygen and (2) the elimination of oxygen vacancies in the amorphous silica support (Figure S3). </w:t>
      </w:r>
    </w:p>
    <w:p w14:paraId="0CB6172A" w14:textId="77777777" w:rsidR="004E6222" w:rsidRDefault="004E6222" w:rsidP="004E6222">
      <w:pPr>
        <w:rPr>
          <w:rFonts w:cs="Times New Roman"/>
          <w:b/>
          <w:bCs/>
          <w:szCs w:val="20"/>
        </w:rPr>
      </w:pPr>
      <w:r>
        <w:rPr>
          <w:rFonts w:cs="Times New Roman"/>
          <w:b/>
          <w:bCs/>
          <w:szCs w:val="20"/>
        </w:rPr>
        <w:br w:type="page"/>
      </w:r>
    </w:p>
    <w:p w14:paraId="40A37130" w14:textId="21A9089C" w:rsidR="004E6222" w:rsidRDefault="004E6222" w:rsidP="004E6222">
      <w:pPr>
        <w:spacing w:after="0" w:line="360" w:lineRule="auto"/>
        <w:rPr>
          <w:rFonts w:cs="Times New Roman"/>
          <w:szCs w:val="20"/>
        </w:rPr>
      </w:pPr>
      <w:r>
        <w:rPr>
          <w:rFonts w:cs="Times New Roman"/>
          <w:noProof/>
          <w:szCs w:val="20"/>
          <w:lang w:eastAsia="en-US"/>
        </w:rPr>
        <w:lastRenderedPageBreak/>
        <w:drawing>
          <wp:inline distT="0" distB="0" distL="0" distR="0" wp14:anchorId="72C5C066" wp14:editId="10016C6B">
            <wp:extent cx="5731510" cy="4461510"/>
            <wp:effectExtent l="0" t="0" r="0" b="0"/>
            <wp:docPr id="1255680696"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731510" cy="4461510"/>
                    </a:xfrm>
                    <a:prstGeom prst="rect">
                      <a:avLst/>
                    </a:prstGeom>
                    <a:noFill/>
                    <a:ln>
                      <a:noFill/>
                    </a:ln>
                  </pic:spPr>
                </pic:pic>
              </a:graphicData>
            </a:graphic>
          </wp:inline>
        </w:drawing>
      </w:r>
    </w:p>
    <w:p w14:paraId="593A0A7D" w14:textId="77777777" w:rsidR="004E6222" w:rsidRDefault="004E6222" w:rsidP="004E6222">
      <w:pPr>
        <w:spacing w:after="0" w:line="360" w:lineRule="auto"/>
        <w:rPr>
          <w:rFonts w:cs="Times New Roman"/>
          <w:szCs w:val="20"/>
        </w:rPr>
      </w:pPr>
      <w:r>
        <w:rPr>
          <w:rFonts w:cs="Times New Roman"/>
          <w:b/>
          <w:bCs/>
          <w:szCs w:val="20"/>
        </w:rPr>
        <w:t>Supplementary Figure S7: Changes of the Silica Support</w:t>
      </w:r>
      <w:r>
        <w:rPr>
          <w:rFonts w:cs="Times New Roman"/>
          <w:b/>
          <w:szCs w:val="20"/>
        </w:rPr>
        <w:t xml:space="preserve">. </w:t>
      </w:r>
      <w:r>
        <w:rPr>
          <w:rFonts w:cs="Times New Roman"/>
          <w:szCs w:val="20"/>
        </w:rPr>
        <w:t xml:space="preserve">Plotted are electron density changes of the silica support as a function of environmental conditions and as a function of distance to the pore space. Voxels at 0 nm to the pore space are suggested to be in direct contact. Voxel at a distance of &gt; 60 nm are assumed to represent the “bulk state”. Excluded from the analysis were palladium-rich voxel (electron density &gt; 0.8 </w:t>
      </w:r>
      <w:r>
        <w:rPr>
          <w:rFonts w:cs="Times New Roman"/>
          <w:bCs/>
          <w:szCs w:val="20"/>
        </w:rPr>
        <w:t>n</w:t>
      </w:r>
      <w:r>
        <w:rPr>
          <w:rFonts w:cs="Times New Roman"/>
          <w:bCs/>
          <w:szCs w:val="20"/>
          <w:vertAlign w:val="subscript"/>
        </w:rPr>
        <w:t>e</w:t>
      </w:r>
      <w:r>
        <w:rPr>
          <w:rFonts w:cs="Times New Roman"/>
          <w:bCs/>
          <w:szCs w:val="20"/>
        </w:rPr>
        <w:t xml:space="preserve"> </w:t>
      </w:r>
      <w:r>
        <w:rPr>
          <w:rFonts w:cs="Times New Roman"/>
          <w:color w:val="202124"/>
          <w:szCs w:val="20"/>
          <w:shd w:val="clear" w:color="auto" w:fill="FFFFFF"/>
        </w:rPr>
        <w:t>Å</w:t>
      </w:r>
      <w:r>
        <w:rPr>
          <w:rFonts w:cs="Times New Roman"/>
          <w:bCs/>
          <w:szCs w:val="20"/>
          <w:vertAlign w:val="superscript"/>
        </w:rPr>
        <w:t>-3</w:t>
      </w:r>
      <w:r>
        <w:rPr>
          <w:rFonts w:cs="Times New Roman"/>
          <w:szCs w:val="20"/>
        </w:rPr>
        <w:t>). Evident is an increase in the support’s electron density with increasing temperature. This increase is possibly due to the elimination of oxygen vacancies form the support and or the migration of Pd atoms into the support.</w:t>
      </w:r>
      <w:r>
        <w:rPr>
          <w:rFonts w:cs="Times New Roman"/>
          <w:szCs w:val="20"/>
        </w:rPr>
        <w:fldChar w:fldCharType="begin"/>
      </w:r>
      <w:r>
        <w:rPr>
          <w:rFonts w:cs="Times New Roman"/>
          <w:szCs w:val="20"/>
        </w:rPr>
        <w:instrText xml:space="preserve"> ADDIN ZOTERO_ITEM CSL_CITATION {"citationID":"fh4nYPXv","properties":{"formattedCitation":"\\super 32,41\\nosupersub{}","plainCitation":"32,41","noteIndex":0},"citationItems":[{"id":18427,"uris":["http://zotero.org/users/15799332/items/FHNZ7M92"],"itemData":{"id":18427,"type":"article-journal","abstract":"Using density functional theory (DFT) calculations, we investigated oxygen vacancy diffusion and aggregation in relation to dielectric breakdown in amorphous silicon dioxide (a-SiO2). Our calculations indicate the existence of favourable sites for the formation of vacancy dimers and trimers in the amorphous network with maximum binding energies of approximately 0.13 eV and 0.18 eV, respectively. However, an average energy barrier height for neutral vacancy diffusion is found to be about 4.6 eV, rendering this process unfeasible. At Fermi level positions above 6.4 eV with respect to the top of the valence band, oxygen vacancies can trap up to two extra electrons. Average barriers for the diffusion of negative and double negatively charged vacancies are found to be 2.7 eV and 2.0 eV, respectively. These barriers are higher than or comparable to thermal ionization energies of extra electrons from oxygen vacancies into the conduction band of a-SiO2. In addition, we discuss the competing pathways for electron trapping in oxygen deficient a-SiO2 caused by the existence of intrinsic electron traps and oxygen vacancies. These results provide new insights into the role of oxygen vacancies in degradation and dielectric breakdown in amorphous silicon oxides.","container-title":"Journal of Physics: Condensed Matter","DOI":"10.1088/1361-648X/aa6f9a","ISSN":"0953-8984","issue":"24","journalAbbreviation":"J. Phys.: Condens. Matter","language":"en","note":"publisher: IOP Publishing","page":"245701","source":"Institute of Physics","title":"Diffusion and aggregation of oxygen vacancies in amorphous silica","volume":"29","author":[{"family":"Munde","given":"Manveer S"},{"family":"Gao","given":"David Z"},{"family":"Shluger","given":"Alexander L"}],"issued":{"date-parts":[["2017",5]]}}},{"id":5794,"uris":["http://zotero.org/users/15799332/items/6Z4JV4WT"],"itemData":{"id":5794,"type":"article-journal","container-title":"Nature Catalysis","DOI":"10.1038/s41929-019-0328-1","ISSN":"2520-1158","issue":"9","page":"748-755","title":"Catalyst deactivation via decomposition into single atoms and the role of metal loading","volume":"2","author":[{"family":"Goodman","given":"Emmett D"},{"family":"Johnston-Peck","given":"Aaron C"},{"family":"Dietze","given":"Elisabeth M"},{"family":"Wrasman","given":"Cody J"},{"family":"Hoffman","given":"Adam S"},{"family":"Abild-Pedersen","given":"Frank"},{"family":"Bare","given":"Simon R"},{"family":"Plessow","given":"Philipp N"},{"family":"Cargnello","given":"Matteo"}],"issued":{"date-parts":[["2019",9,12]]}}}],"schema":"https://github.com/citation-style-language/schema/raw/master/csl-citation.json"} </w:instrText>
      </w:r>
      <w:r>
        <w:rPr>
          <w:rFonts w:cs="Times New Roman"/>
          <w:szCs w:val="20"/>
        </w:rPr>
        <w:fldChar w:fldCharType="separate"/>
      </w:r>
      <w:r>
        <w:rPr>
          <w:rFonts w:cs="Times New Roman"/>
          <w:vertAlign w:val="superscript"/>
        </w:rPr>
        <w:t>32,41</w:t>
      </w:r>
      <w:r>
        <w:rPr>
          <w:rFonts w:cs="Times New Roman"/>
          <w:szCs w:val="20"/>
        </w:rPr>
        <w:fldChar w:fldCharType="end"/>
      </w:r>
      <w:r>
        <w:rPr>
          <w:rFonts w:cs="Times New Roman"/>
          <w:szCs w:val="20"/>
        </w:rPr>
        <w:t xml:space="preserve"> Notably, there is an initial spatial gradient in electron density, with voxel closer to the pore space possessing a lower electron density. While the existence of such a gradient is expected and owed to the </w:t>
      </w:r>
      <w:proofErr w:type="gramStart"/>
      <w:r>
        <w:rPr>
          <w:rFonts w:cs="Times New Roman"/>
          <w:szCs w:val="20"/>
        </w:rPr>
        <w:t>supports</w:t>
      </w:r>
      <w:proofErr w:type="gramEnd"/>
      <w:r>
        <w:rPr>
          <w:rFonts w:cs="Times New Roman"/>
          <w:szCs w:val="20"/>
        </w:rPr>
        <w:t xml:space="preserve"> synthesis route and partial volume effects, i.e. limited spatial resolution. The strong decay of this gradient with increasing temperature and change is atmosphere is </w:t>
      </w:r>
      <w:proofErr w:type="gramStart"/>
      <w:r>
        <w:rPr>
          <w:rFonts w:cs="Times New Roman"/>
          <w:szCs w:val="20"/>
        </w:rPr>
        <w:t>surprising, and</w:t>
      </w:r>
      <w:proofErr w:type="gramEnd"/>
      <w:r>
        <w:rPr>
          <w:rFonts w:cs="Times New Roman"/>
          <w:szCs w:val="20"/>
        </w:rPr>
        <w:t xml:space="preserve"> currently suggested to results from a combination of surface reconstruction, more efficient oxygen uptake at the support surface.  </w:t>
      </w:r>
    </w:p>
    <w:p w14:paraId="22B14543" w14:textId="77777777" w:rsidR="004E6222" w:rsidRDefault="004E6222" w:rsidP="004E6222">
      <w:pPr>
        <w:spacing w:after="0" w:line="360" w:lineRule="auto"/>
        <w:ind w:firstLine="708"/>
        <w:rPr>
          <w:rFonts w:cs="Times New Roman"/>
          <w:szCs w:val="20"/>
        </w:rPr>
      </w:pPr>
      <w:r>
        <w:rPr>
          <w:rFonts w:cs="Times New Roman"/>
          <w:szCs w:val="20"/>
        </w:rPr>
        <w:t>The here achieved spatial resolution and dimensionality prohibits us to investigate possible metal-support interactions,</w:t>
      </w:r>
      <w:r>
        <w:rPr>
          <w:rFonts w:cs="Times New Roman"/>
          <w:szCs w:val="20"/>
        </w:rPr>
        <w:fldChar w:fldCharType="begin" w:fldLock="1"/>
      </w:r>
      <w:r>
        <w:rPr>
          <w:rFonts w:cs="Times New Roman"/>
          <w:szCs w:val="20"/>
        </w:rPr>
        <w:instrText xml:space="preserve"> ADDIN ZOTERO_ITEM CSL_CITATION {"citationID":"HrzeUfjC","properties":{"formattedCitation":"\\super 50\\nosupersub{}","plainCitation":"50","noteIndex":0},"citationItems":[{"id":7010,"uris":["http://www.mendeley.com/documents/?uuid=eb0f6d44-a3dc-488e-b23c-355f3332ff56","http://zotero.org/users/15799332/items/9U6G2B2W"],"itemData":{"id":7010,"type":"article-journal","container-title":"Nature Communications","DOI":"10.1038/s41467-020-17070-2","ISSN":"2041-1723","issue":"1","note":"publisher: Springer US","page":"3220","title":"The dynamics of overlayer formation on catalyst nanoparticles and strong metal-support interaction","volume":"11","author":[{"family":"Beck","given":"Arik"},{"family":"Huang","given":"Xing"},{"family":"Artiglia","given":"Luca"},{"family":"Zabilskiy","given":"Maxim"},{"family":"Wang","given":"Xing"},{"family":"Rzepka","given":"Przemyslaw"},{"family":"Palagin","given":"Dennis"},{"family":"Willinger","given":"Marc-Georg"},{"family":"Bokhoven","given":"Jeroen A.","non-dropping-particle":"van"}],"issued":{"date-parts":[["2020",12,26]]}}}],"schema":"https://github.com/citation-style-language/schema/raw/master/csl-citation.json"} </w:instrText>
      </w:r>
      <w:r>
        <w:rPr>
          <w:rFonts w:cs="Times New Roman"/>
          <w:szCs w:val="20"/>
        </w:rPr>
        <w:fldChar w:fldCharType="separate"/>
      </w:r>
      <w:r>
        <w:rPr>
          <w:rFonts w:cs="Times New Roman"/>
          <w:vertAlign w:val="superscript"/>
        </w:rPr>
        <w:t>50</w:t>
      </w:r>
      <w:r>
        <w:rPr>
          <w:rFonts w:cs="Times New Roman"/>
          <w:szCs w:val="20"/>
        </w:rPr>
        <w:fldChar w:fldCharType="end"/>
      </w:r>
      <w:r>
        <w:rPr>
          <w:rFonts w:cs="Times New Roman"/>
          <w:szCs w:val="20"/>
        </w:rPr>
        <w:t xml:space="preserve"> i.e. accurately probe density and chemical changes of individual palladium particles and the surrounding support matrix. We hope to be able to probe these changes in a follow-up study utilizing recently developed sparse-hyper-dimensional ptychographic tomography approaches.</w:t>
      </w:r>
      <w:r>
        <w:rPr>
          <w:rFonts w:cs="Times New Roman"/>
          <w:szCs w:val="20"/>
        </w:rPr>
        <w:fldChar w:fldCharType="begin" w:fldLock="1"/>
      </w:r>
      <w:r>
        <w:rPr>
          <w:rFonts w:cs="Times New Roman"/>
          <w:szCs w:val="20"/>
        </w:rPr>
        <w:instrText xml:space="preserve"> ADDIN ZOTERO_ITEM CSL_CITATION {"citationID":"WYhwntlT","properties":{"formattedCitation":"\\super 21\\nosupersub{}","plainCitation":"21","noteIndex":0},"citationItems":[{"id":11639,"uris":["http://www.mendeley.com/documents/?uuid=1136efef-fdb9-45e4-b1b1-cff8443763cd","http://zotero.org/users/15799332/items/AUXK8RCU"],"itemData":{"id":11639,"type":"article-journal","abstract":"We developed a spectro-nanotomography method that enables fast chemical characterization of functional materials.","container-title":"Science Advances","DOI":"10.1126/sciadv.abf6971","ISSN":"2375-2548","issue":"24","note":"PMID: 34108209","page":"1-12","title":"Sparse ab initio x-ray transmission spectrotomography for nanoscopic compositional analysis of functional materials","volume":"7","author":[{"family":"Gao","given":"Zirui"},{"family":"Odstrcil","given":"Michal"},{"family":"Böcklein","given":"Sebastian"},{"family":"Palagin","given":"Dennis"},{"family":"Holler","given":"Mirko"},{"family":"Ferreira Sanchez","given":"Dario"},{"family":"Krumeich","given":"Frank"},{"family":"Menzel","given":"Andreas"},{"family":"Stampanoni","given":"Marco"},{"family":"Mestl","given":"Gerhard"},{"family":"Bokhoven","given":"Jeroen Anton","non-dropping-particle":"van"},{"family":"Guizar-Sicairos","given":"Manuel"},{"family":"Ihli","given":"Johannes"}],"issued":{"date-parts":[["2021",6,11]]}}}],"schema":"https://github.com/citation-style-language/schema/raw/master/csl-citation.json"} </w:instrText>
      </w:r>
      <w:r>
        <w:rPr>
          <w:rFonts w:cs="Times New Roman"/>
          <w:szCs w:val="20"/>
        </w:rPr>
        <w:fldChar w:fldCharType="separate"/>
      </w:r>
      <w:r>
        <w:rPr>
          <w:rFonts w:cs="Times New Roman"/>
          <w:vertAlign w:val="superscript"/>
        </w:rPr>
        <w:t>21</w:t>
      </w:r>
      <w:r>
        <w:rPr>
          <w:rFonts w:cs="Times New Roman"/>
          <w:szCs w:val="20"/>
        </w:rPr>
        <w:fldChar w:fldCharType="end"/>
      </w:r>
    </w:p>
    <w:p w14:paraId="05BAEBBE" w14:textId="77777777" w:rsidR="004E6222" w:rsidRDefault="004E6222" w:rsidP="004E6222">
      <w:pPr>
        <w:spacing w:after="160"/>
        <w:jc w:val="left"/>
        <w:rPr>
          <w:rFonts w:cs="Times New Roman"/>
          <w:szCs w:val="20"/>
        </w:rPr>
      </w:pPr>
      <w:r>
        <w:rPr>
          <w:rFonts w:cs="Times New Roman"/>
          <w:szCs w:val="20"/>
        </w:rPr>
        <w:br w:type="page"/>
      </w:r>
    </w:p>
    <w:p w14:paraId="6EF287AD" w14:textId="755040D7" w:rsidR="004E6222" w:rsidRDefault="004E6222" w:rsidP="004E6222">
      <w:pPr>
        <w:spacing w:line="360" w:lineRule="auto"/>
        <w:jc w:val="center"/>
        <w:rPr>
          <w:rFonts w:cs="Times New Roman"/>
          <w:szCs w:val="20"/>
        </w:rPr>
      </w:pPr>
      <w:r>
        <w:rPr>
          <w:rFonts w:cs="Times New Roman"/>
          <w:noProof/>
          <w:szCs w:val="20"/>
          <w:lang w:eastAsia="en-US"/>
        </w:rPr>
        <w:lastRenderedPageBreak/>
        <w:drawing>
          <wp:inline distT="0" distB="0" distL="0" distR="0" wp14:anchorId="27730D74" wp14:editId="59DFAF2D">
            <wp:extent cx="5397500" cy="5384165"/>
            <wp:effectExtent l="0" t="0" r="0" b="0"/>
            <wp:docPr id="117106599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l="127" t="17494" r="-127" b="3627"/>
                    <a:stretch>
                      <a:fillRect/>
                    </a:stretch>
                  </pic:blipFill>
                  <pic:spPr bwMode="auto">
                    <a:xfrm>
                      <a:off x="0" y="0"/>
                      <a:ext cx="5397500" cy="5384165"/>
                    </a:xfrm>
                    <a:prstGeom prst="rect">
                      <a:avLst/>
                    </a:prstGeom>
                    <a:noFill/>
                    <a:ln>
                      <a:noFill/>
                    </a:ln>
                  </pic:spPr>
                </pic:pic>
              </a:graphicData>
            </a:graphic>
          </wp:inline>
        </w:drawing>
      </w:r>
    </w:p>
    <w:p w14:paraId="694BE5C4" w14:textId="77777777" w:rsidR="004E6222" w:rsidRDefault="004E6222" w:rsidP="004E6222">
      <w:pPr>
        <w:spacing w:after="0" w:line="360" w:lineRule="auto"/>
        <w:rPr>
          <w:rFonts w:cs="Times New Roman"/>
          <w:szCs w:val="20"/>
        </w:rPr>
      </w:pPr>
      <w:r>
        <w:rPr>
          <w:rFonts w:cs="Times New Roman"/>
          <w:b/>
          <w:bCs/>
          <w:szCs w:val="20"/>
        </w:rPr>
        <w:t xml:space="preserve">Supplementary Figure S8: </w:t>
      </w:r>
      <w:r>
        <w:rPr>
          <w:rFonts w:cs="Times New Roman"/>
          <w:b/>
          <w:szCs w:val="20"/>
        </w:rPr>
        <w:t xml:space="preserve">Tomography Derived Pore Size Distributions. </w:t>
      </w:r>
      <w:r>
        <w:rPr>
          <w:rFonts w:cs="Times New Roman"/>
          <w:szCs w:val="20"/>
        </w:rPr>
        <w:t>Shown are volume-weighted pore diameter distributions of the imaged catalyst pillar. For ease of visibility, we limit the display to the pore diameter distributions extracted from the tomograms acquired at 25˚C and 830˚C, i.e. the measured extremes. Provided are the pore diameter distributions (a) and the corresponding cumulative pore volume distributions (b).</w:t>
      </w:r>
    </w:p>
    <w:p w14:paraId="1FBA7C07" w14:textId="77777777" w:rsidR="004E6222" w:rsidRDefault="004E6222" w:rsidP="004E6222">
      <w:pPr>
        <w:spacing w:line="360" w:lineRule="auto"/>
        <w:rPr>
          <w:rFonts w:cs="Times New Roman"/>
          <w:szCs w:val="20"/>
        </w:rPr>
      </w:pPr>
      <w:r>
        <w:rPr>
          <w:rFonts w:cs="Times New Roman"/>
          <w:szCs w:val="20"/>
        </w:rPr>
        <w:t>The sample average, volume-weighted, pore diameter varies between 112 nm (25°C) and 107 nm (750°C) across the tested conditions, i.e. well in agreement with the literature reported and physisorption based diameter of 139 nm. Equally, the specific surface area of the support, assuming a fixed sample density of 2.20 g cm</w:t>
      </w:r>
      <w:r>
        <w:rPr>
          <w:rFonts w:cs="Times New Roman"/>
          <w:szCs w:val="20"/>
          <w:vertAlign w:val="superscript"/>
        </w:rPr>
        <w:t>-3</w:t>
      </w:r>
      <w:r>
        <w:rPr>
          <w:rFonts w:cs="Times New Roman"/>
          <w:szCs w:val="20"/>
        </w:rPr>
        <w:t>,</w:t>
      </w:r>
      <w:r>
        <w:rPr>
          <w:rFonts w:cs="Times New Roman"/>
          <w:szCs w:val="20"/>
        </w:rPr>
        <w:fldChar w:fldCharType="begin" w:fldLock="1"/>
      </w:r>
      <w:r>
        <w:rPr>
          <w:rFonts w:cs="Times New Roman"/>
          <w:szCs w:val="20"/>
        </w:rPr>
        <w:instrText xml:space="preserve"> ADDIN ZOTERO_ITEM CSL_CITATION {"citationID":"yiOZ2XMf","properties":{"formattedCitation":"\\super 24\\nosupersub{}","plainCitation":"24","noteIndex":0},"citationItems":[{"id":11634,"uris":["http://www.mendeley.com/documents/?uuid=1318a518-9f95-403a-86a1-4c96f86f51cd","http://zotero.org/users/15799332/items/Y6U4NNYK"],"itemData":{"id":11634,"type":"report","title":"No Title","author":[{"family":"BAM Federal Institute for Materials Research and Testing SS, Germany","given":"European reference material ERM FD122. 2000 [cited]Available","dropping-particle":"from: http://www.bam.de/de/rm-certificates_media/rm_cert_porous_materials/erm_fd120_121_122rep.pdf"}]}}],"schema":"https://github.com/citation-style-language/schema/raw/master/csl-citation.json"} </w:instrText>
      </w:r>
      <w:r>
        <w:rPr>
          <w:rFonts w:cs="Times New Roman"/>
          <w:szCs w:val="20"/>
        </w:rPr>
        <w:fldChar w:fldCharType="separate"/>
      </w:r>
      <w:r>
        <w:rPr>
          <w:rFonts w:cs="Times New Roman"/>
          <w:vertAlign w:val="superscript"/>
        </w:rPr>
        <w:t>24</w:t>
      </w:r>
      <w:r>
        <w:rPr>
          <w:rFonts w:cs="Times New Roman"/>
          <w:szCs w:val="20"/>
        </w:rPr>
        <w:fldChar w:fldCharType="end"/>
      </w:r>
      <w:r>
        <w:rPr>
          <w:rFonts w:cs="Times New Roman"/>
          <w:szCs w:val="20"/>
        </w:rPr>
        <w:t xml:space="preserve"> was calculated to be around 33 m</w:t>
      </w:r>
      <w:r>
        <w:rPr>
          <w:rFonts w:cs="Times New Roman"/>
          <w:szCs w:val="20"/>
          <w:vertAlign w:val="superscript"/>
        </w:rPr>
        <w:t>2</w:t>
      </w:r>
      <w:r>
        <w:rPr>
          <w:rFonts w:cs="Times New Roman"/>
          <w:szCs w:val="20"/>
        </w:rPr>
        <w:t>g</w:t>
      </w:r>
      <w:r>
        <w:rPr>
          <w:rFonts w:cs="Times New Roman"/>
          <w:szCs w:val="20"/>
          <w:vertAlign w:val="superscript"/>
        </w:rPr>
        <w:t>-1</w:t>
      </w:r>
      <w:r>
        <w:rPr>
          <w:rFonts w:cs="Times New Roman"/>
          <w:szCs w:val="20"/>
        </w:rPr>
        <w:t xml:space="preserve"> across all environmental conditions. This is again well in agreement with the bulk measurement determined value. These observations suggest (1) the examined sample volume to be system representative and to be well describable via in-situ PXCT, (2) the support to be</w:t>
      </w:r>
      <w:r>
        <w:rPr>
          <w:rFonts w:cs="Times New Roman"/>
          <w:i/>
          <w:szCs w:val="20"/>
        </w:rPr>
        <w:t xml:space="preserve"> dominantly</w:t>
      </w:r>
      <w:r>
        <w:rPr>
          <w:rFonts w:cs="Times New Roman"/>
          <w:szCs w:val="20"/>
        </w:rPr>
        <w:t xml:space="preserve"> static across the tested environmental conditions (at the achieved spatial resolution) and (3) the observed local changes are ascribable to either Pd nanoparticle formation/ migration and Pd – support interactions. </w:t>
      </w:r>
    </w:p>
    <w:p w14:paraId="5034DAA1" w14:textId="77777777" w:rsidR="004E6222" w:rsidRDefault="004E6222" w:rsidP="004E6222">
      <w:pPr>
        <w:spacing w:after="160"/>
        <w:jc w:val="left"/>
        <w:rPr>
          <w:rFonts w:eastAsia="Arial" w:cs="Times New Roman"/>
        </w:rPr>
      </w:pPr>
      <w:r>
        <w:rPr>
          <w:rFonts w:eastAsia="Arial" w:cs="Times New Roman"/>
        </w:rPr>
        <w:br w:type="page"/>
      </w:r>
    </w:p>
    <w:p w14:paraId="16B43446" w14:textId="7B683294" w:rsidR="004E6222" w:rsidRDefault="004E6222" w:rsidP="004E6222">
      <w:pPr>
        <w:jc w:val="center"/>
        <w:rPr>
          <w:rFonts w:eastAsia="Arial" w:cs="Times New Roman"/>
        </w:rPr>
      </w:pPr>
      <w:r>
        <w:rPr>
          <w:rFonts w:cs="Times New Roman"/>
          <w:noProof/>
          <w:szCs w:val="20"/>
          <w:lang w:eastAsia="en-US"/>
        </w:rPr>
        <w:lastRenderedPageBreak/>
        <w:drawing>
          <wp:inline distT="0" distB="0" distL="0" distR="0" wp14:anchorId="03D7F37C" wp14:editId="74F879DE">
            <wp:extent cx="3650615" cy="5943600"/>
            <wp:effectExtent l="0" t="0" r="6985" b="0"/>
            <wp:docPr id="61070798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2">
                      <a:extLst>
                        <a:ext uri="{28A0092B-C50C-407E-A947-70E740481C1C}">
                          <a14:useLocalDpi xmlns:a14="http://schemas.microsoft.com/office/drawing/2010/main" val="0"/>
                        </a:ext>
                      </a:extLst>
                    </a:blip>
                    <a:srcRect r="11343"/>
                    <a:stretch>
                      <a:fillRect/>
                    </a:stretch>
                  </pic:blipFill>
                  <pic:spPr bwMode="auto">
                    <a:xfrm>
                      <a:off x="0" y="0"/>
                      <a:ext cx="3650615" cy="5943600"/>
                    </a:xfrm>
                    <a:prstGeom prst="rect">
                      <a:avLst/>
                    </a:prstGeom>
                    <a:noFill/>
                    <a:ln>
                      <a:noFill/>
                    </a:ln>
                  </pic:spPr>
                </pic:pic>
              </a:graphicData>
            </a:graphic>
          </wp:inline>
        </w:drawing>
      </w:r>
    </w:p>
    <w:p w14:paraId="1A46167B" w14:textId="77777777" w:rsidR="004E6222" w:rsidRDefault="004E6222" w:rsidP="004E6222">
      <w:pPr>
        <w:spacing w:after="0" w:line="360" w:lineRule="auto"/>
        <w:rPr>
          <w:rFonts w:cs="Times New Roman"/>
          <w:bCs/>
          <w:szCs w:val="20"/>
        </w:rPr>
      </w:pPr>
      <w:r>
        <w:rPr>
          <w:rFonts w:cs="Times New Roman"/>
          <w:b/>
          <w:bCs/>
          <w:szCs w:val="20"/>
        </w:rPr>
        <w:t xml:space="preserve">Supplementary Figure S9: Conversion of Electron Density to Palladium Particle Size. </w:t>
      </w:r>
      <w:r>
        <w:rPr>
          <w:rFonts w:cs="Times New Roman"/>
          <w:bCs/>
          <w:szCs w:val="20"/>
        </w:rPr>
        <w:t xml:space="preserve">Shown is the correlation between a voxel`s electron density and palladium particle size. Plotted is the correlation for two scenarios. </w:t>
      </w:r>
      <w:r>
        <w:rPr>
          <w:rFonts w:cs="Times New Roman"/>
          <w:bCs/>
          <w:i/>
          <w:szCs w:val="20"/>
        </w:rPr>
        <w:t>Scenario 1</w:t>
      </w:r>
      <w:r>
        <w:rPr>
          <w:rFonts w:cs="Times New Roman"/>
          <w:bCs/>
          <w:szCs w:val="20"/>
        </w:rPr>
        <w:t xml:space="preserve"> considers the sole presence of </w:t>
      </w:r>
      <w:proofErr w:type="spellStart"/>
      <w:r>
        <w:rPr>
          <w:rFonts w:cs="Times New Roman"/>
          <w:bCs/>
          <w:szCs w:val="20"/>
        </w:rPr>
        <w:t>PdO</w:t>
      </w:r>
      <w:proofErr w:type="spellEnd"/>
      <w:r>
        <w:rPr>
          <w:rFonts w:cs="Times New Roman"/>
          <w:bCs/>
          <w:szCs w:val="20"/>
        </w:rPr>
        <w:t xml:space="preserve"> nanoparticles in the sample. </w:t>
      </w:r>
      <w:r>
        <w:rPr>
          <w:rFonts w:cs="Times New Roman"/>
          <w:bCs/>
          <w:i/>
          <w:szCs w:val="20"/>
        </w:rPr>
        <w:t>Scenario 2</w:t>
      </w:r>
      <w:r>
        <w:rPr>
          <w:rFonts w:cs="Times New Roman"/>
          <w:bCs/>
          <w:szCs w:val="20"/>
        </w:rPr>
        <w:t xml:space="preserve"> considers the sole presence of metallic Pd nanoparticles in the sample. The Pd or </w:t>
      </w:r>
      <w:proofErr w:type="spellStart"/>
      <w:r>
        <w:rPr>
          <w:rFonts w:cs="Times New Roman"/>
          <w:bCs/>
          <w:szCs w:val="20"/>
        </w:rPr>
        <w:t>PdO</w:t>
      </w:r>
      <w:proofErr w:type="spellEnd"/>
      <w:r>
        <w:rPr>
          <w:rFonts w:cs="Times New Roman"/>
          <w:bCs/>
          <w:szCs w:val="20"/>
        </w:rPr>
        <w:t xml:space="preserve"> particle size in a voxel can be estimated considering partial volume effects. Partial volume effects refer to the occupation of a voxel by a combination of materials (air, silica support, Pd or </w:t>
      </w:r>
      <w:proofErr w:type="spellStart"/>
      <w:r>
        <w:rPr>
          <w:rFonts w:cs="Times New Roman"/>
          <w:bCs/>
          <w:szCs w:val="20"/>
        </w:rPr>
        <w:t>PdO</w:t>
      </w:r>
      <w:proofErr w:type="spellEnd"/>
      <w:r>
        <w:rPr>
          <w:rFonts w:cs="Times New Roman"/>
          <w:bCs/>
          <w:szCs w:val="20"/>
        </w:rPr>
        <w:t>) resulting in a volume-weighted - fractional occupancy - averaged electron density. To estimate the size of a (volumetrically equivalent) single Pd particle in a voxel, we can following consider the material combinations that lead to the minimum (</w:t>
      </w:r>
      <w:r>
        <w:rPr>
          <w:rFonts w:cs="Times New Roman"/>
          <w:bCs/>
          <w:color w:val="808080" w:themeColor="background1" w:themeShade="80"/>
          <w:szCs w:val="20"/>
        </w:rPr>
        <w:t>--</w:t>
      </w:r>
      <w:r>
        <w:rPr>
          <w:rFonts w:cs="Times New Roman"/>
          <w:bCs/>
          <w:szCs w:val="20"/>
        </w:rPr>
        <w:t>) or maximum (</w:t>
      </w:r>
      <w:r>
        <w:rPr>
          <w:rFonts w:cs="Times New Roman"/>
          <w:bCs/>
          <w:color w:val="008080"/>
          <w:szCs w:val="20"/>
        </w:rPr>
        <w:t>--</w:t>
      </w:r>
      <w:r>
        <w:rPr>
          <w:rFonts w:cs="Times New Roman"/>
          <w:bCs/>
          <w:szCs w:val="20"/>
        </w:rPr>
        <w:t>) palladium particle size for a given electron density. The main text reported particle size estimates are based on the numerical average of both extremes (</w:t>
      </w:r>
      <w:r>
        <w:rPr>
          <w:rFonts w:cs="Times New Roman"/>
          <w:bCs/>
          <w:color w:val="0000FF"/>
          <w:szCs w:val="20"/>
        </w:rPr>
        <w:t>■</w:t>
      </w:r>
      <w:r>
        <w:rPr>
          <w:rFonts w:cs="Times New Roman"/>
          <w:bCs/>
          <w:szCs w:val="20"/>
        </w:rPr>
        <w:t xml:space="preserve">) according to </w:t>
      </w:r>
      <w:r>
        <w:rPr>
          <w:rFonts w:cs="Times New Roman"/>
          <w:b/>
          <w:bCs/>
          <w:i/>
          <w:szCs w:val="20"/>
        </w:rPr>
        <w:t>Scenario 1</w:t>
      </w:r>
      <w:r>
        <w:rPr>
          <w:rFonts w:cs="Times New Roman"/>
          <w:b/>
          <w:bCs/>
          <w:szCs w:val="20"/>
        </w:rPr>
        <w:t xml:space="preserve">. </w:t>
      </w:r>
      <w:r>
        <w:rPr>
          <w:rFonts w:cs="Times New Roman"/>
          <w:bCs/>
          <w:szCs w:val="20"/>
        </w:rPr>
        <w:t xml:space="preserve">Scenario 1 was considered to result in more representative size estimates as PXRD and electron microscopy experiments suggest that the particles are </w:t>
      </w:r>
      <w:proofErr w:type="spellStart"/>
      <w:r>
        <w:rPr>
          <w:rFonts w:cs="Times New Roman"/>
          <w:bCs/>
          <w:szCs w:val="20"/>
        </w:rPr>
        <w:t>PdO</w:t>
      </w:r>
      <w:proofErr w:type="spellEnd"/>
      <w:r>
        <w:rPr>
          <w:rFonts w:cs="Times New Roman"/>
          <w:bCs/>
          <w:szCs w:val="20"/>
        </w:rPr>
        <w:t xml:space="preserve"> across the tested environmental conditions.  </w:t>
      </w:r>
    </w:p>
    <w:p w14:paraId="0DD9373E" w14:textId="77777777" w:rsidR="004E6222" w:rsidRDefault="004E6222" w:rsidP="004E6222">
      <w:pPr>
        <w:rPr>
          <w:rFonts w:eastAsia="Arial" w:cs="Times New Roman"/>
        </w:rPr>
      </w:pPr>
    </w:p>
    <w:p w14:paraId="6128EEBB" w14:textId="1EC5C161" w:rsidR="004E6222" w:rsidRDefault="004E6222" w:rsidP="004E6222">
      <w:pPr>
        <w:spacing w:after="0" w:line="360" w:lineRule="auto"/>
        <w:jc w:val="center"/>
        <w:rPr>
          <w:rFonts w:cs="Times New Roman"/>
          <w:bCs/>
          <w:szCs w:val="20"/>
        </w:rPr>
      </w:pPr>
      <w:r>
        <w:rPr>
          <w:rFonts w:cs="Times New Roman"/>
          <w:noProof/>
          <w:szCs w:val="20"/>
          <w:lang w:eastAsia="en-US"/>
        </w:rPr>
        <w:drawing>
          <wp:inline distT="0" distB="0" distL="0" distR="0" wp14:anchorId="0EA49572" wp14:editId="45A324C0">
            <wp:extent cx="5036185" cy="7178675"/>
            <wp:effectExtent l="0" t="0" r="0" b="0"/>
            <wp:docPr id="1433777262"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036185" cy="7178675"/>
                    </a:xfrm>
                    <a:prstGeom prst="rect">
                      <a:avLst/>
                    </a:prstGeom>
                    <a:noFill/>
                    <a:ln>
                      <a:noFill/>
                    </a:ln>
                  </pic:spPr>
                </pic:pic>
              </a:graphicData>
            </a:graphic>
          </wp:inline>
        </w:drawing>
      </w:r>
    </w:p>
    <w:p w14:paraId="7A5B7863" w14:textId="77777777" w:rsidR="004E6222" w:rsidRDefault="004E6222" w:rsidP="004E6222">
      <w:pPr>
        <w:spacing w:after="0" w:line="360" w:lineRule="auto"/>
        <w:rPr>
          <w:rFonts w:cs="Times New Roman"/>
          <w:bCs/>
          <w:szCs w:val="20"/>
        </w:rPr>
      </w:pPr>
      <w:r>
        <w:rPr>
          <w:rFonts w:cs="Times New Roman"/>
          <w:b/>
          <w:bCs/>
          <w:szCs w:val="20"/>
        </w:rPr>
        <w:t xml:space="preserve">Supplementary Figure S10: Stationary and Mobile Palladium Particles. </w:t>
      </w:r>
      <w:r>
        <w:rPr>
          <w:rFonts w:cs="Times New Roman"/>
          <w:bCs/>
          <w:szCs w:val="20"/>
        </w:rPr>
        <w:t xml:space="preserve">(a) Normalized electron density histograms of Pd-rich or particle carrying voxel as a function of temperature and atmosphere. A distinction is made between stationary and mobile palladium particles. Voxel </w:t>
      </w:r>
      <w:r>
        <w:rPr>
          <w:rFonts w:cs="Times New Roman"/>
          <w:bCs/>
          <w:i/>
          <w:szCs w:val="20"/>
        </w:rPr>
        <w:t>constantly</w:t>
      </w:r>
      <w:r>
        <w:rPr>
          <w:rFonts w:cs="Times New Roman"/>
          <w:bCs/>
          <w:szCs w:val="20"/>
        </w:rPr>
        <w:t xml:space="preserve"> possessing an electron density greater than 0.80 </w:t>
      </w:r>
      <w:proofErr w:type="spellStart"/>
      <w:r>
        <w:rPr>
          <w:rFonts w:cs="Times New Roman"/>
          <w:bCs/>
          <w:szCs w:val="20"/>
        </w:rPr>
        <w:t>n</w:t>
      </w:r>
      <w:r>
        <w:rPr>
          <w:rFonts w:cs="Times New Roman"/>
          <w:bCs/>
          <w:szCs w:val="20"/>
          <w:vertAlign w:val="subscript"/>
        </w:rPr>
        <w:t>e</w:t>
      </w:r>
      <w:proofErr w:type="spellEnd"/>
      <w:r>
        <w:rPr>
          <w:rFonts w:cs="Times New Roman"/>
          <w:bCs/>
          <w:szCs w:val="20"/>
        </w:rPr>
        <w:t xml:space="preserve"> </w:t>
      </w:r>
      <w:r>
        <w:rPr>
          <w:rFonts w:cs="Times New Roman"/>
          <w:color w:val="202124"/>
          <w:szCs w:val="20"/>
          <w:shd w:val="clear" w:color="auto" w:fill="FFFFFF"/>
        </w:rPr>
        <w:t>Å</w:t>
      </w:r>
      <w:r>
        <w:rPr>
          <w:rFonts w:cs="Times New Roman"/>
          <w:bCs/>
          <w:szCs w:val="20"/>
          <w:vertAlign w:val="superscript"/>
        </w:rPr>
        <w:t>-3</w:t>
      </w:r>
      <w:r>
        <w:rPr>
          <w:rFonts w:cs="Times New Roman"/>
          <w:bCs/>
          <w:szCs w:val="20"/>
        </w:rPr>
        <w:t xml:space="preserve"> starting from the first temperature where this threshold was crossed are classified as stationary or permanently occupied by a palladium particle. The remaining voxel are classified as transiently occupied. </w:t>
      </w:r>
    </w:p>
    <w:p w14:paraId="222662DB" w14:textId="77777777" w:rsidR="004E6222" w:rsidRDefault="004E6222" w:rsidP="004E6222">
      <w:pPr>
        <w:spacing w:after="160"/>
        <w:jc w:val="left"/>
        <w:rPr>
          <w:rFonts w:eastAsia="Arial" w:cs="Times New Roman"/>
        </w:rPr>
      </w:pPr>
      <w:r>
        <w:rPr>
          <w:rFonts w:eastAsia="Arial" w:cs="Times New Roman"/>
        </w:rPr>
        <w:lastRenderedPageBreak/>
        <w:br w:type="page"/>
      </w:r>
    </w:p>
    <w:p w14:paraId="35AB2CD2" w14:textId="77777777" w:rsidR="004E6222" w:rsidRDefault="004E6222" w:rsidP="004E6222">
      <w:pPr>
        <w:spacing w:after="160"/>
        <w:jc w:val="left"/>
        <w:rPr>
          <w:rFonts w:cs="Times New Roman"/>
          <w:bCs/>
          <w:szCs w:val="20"/>
        </w:rPr>
      </w:pPr>
    </w:p>
    <w:p w14:paraId="02E35626" w14:textId="1DB277D9" w:rsidR="004E6222" w:rsidRDefault="004E6222" w:rsidP="004E6222">
      <w:pPr>
        <w:spacing w:after="160"/>
        <w:jc w:val="center"/>
        <w:rPr>
          <w:rFonts w:cs="Times New Roman"/>
          <w:b/>
          <w:bCs/>
          <w:szCs w:val="20"/>
        </w:rPr>
      </w:pPr>
      <w:r>
        <w:rPr>
          <w:rFonts w:cs="Times New Roman"/>
          <w:b/>
          <w:bCs/>
          <w:noProof/>
          <w:szCs w:val="20"/>
        </w:rPr>
        <w:drawing>
          <wp:inline distT="0" distB="0" distL="0" distR="0" wp14:anchorId="5B05EF22" wp14:editId="33436C58">
            <wp:extent cx="5213350" cy="3473450"/>
            <wp:effectExtent l="0" t="0" r="6350" b="0"/>
            <wp:docPr id="259586695"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213350" cy="3473450"/>
                    </a:xfrm>
                    <a:prstGeom prst="rect">
                      <a:avLst/>
                    </a:prstGeom>
                    <a:noFill/>
                    <a:ln>
                      <a:noFill/>
                    </a:ln>
                  </pic:spPr>
                </pic:pic>
              </a:graphicData>
            </a:graphic>
          </wp:inline>
        </w:drawing>
      </w:r>
    </w:p>
    <w:p w14:paraId="666CABD2" w14:textId="77777777" w:rsidR="004E6222" w:rsidRDefault="004E6222" w:rsidP="004E6222">
      <w:pPr>
        <w:spacing w:after="160" w:line="360" w:lineRule="auto"/>
        <w:rPr>
          <w:rFonts w:cs="Times New Roman"/>
          <w:b/>
          <w:bCs/>
          <w:szCs w:val="20"/>
        </w:rPr>
      </w:pPr>
      <w:r>
        <w:rPr>
          <w:rFonts w:cs="Times New Roman"/>
          <w:b/>
          <w:bCs/>
          <w:szCs w:val="20"/>
        </w:rPr>
        <w:t>Supplementary Figure S11:</w:t>
      </w:r>
      <w:r>
        <w:rPr>
          <w:rFonts w:cs="Times New Roman"/>
          <w:bCs/>
          <w:szCs w:val="20"/>
        </w:rPr>
        <w:t xml:space="preserve"> </w:t>
      </w:r>
      <w:r>
        <w:rPr>
          <w:rFonts w:cs="Times New Roman"/>
          <w:b/>
          <w:szCs w:val="20"/>
        </w:rPr>
        <w:t>Experimental Protocol.</w:t>
      </w:r>
      <w:r>
        <w:rPr>
          <w:rFonts w:cs="Times New Roman"/>
          <w:bCs/>
          <w:szCs w:val="20"/>
        </w:rPr>
        <w:t xml:space="preserve"> Scheme of the experimental protocols for the in-situ </w:t>
      </w:r>
      <w:proofErr w:type="spellStart"/>
      <w:r>
        <w:rPr>
          <w:rFonts w:cs="Times New Roman"/>
          <w:bCs/>
          <w:szCs w:val="20"/>
        </w:rPr>
        <w:t>nanotomography</w:t>
      </w:r>
      <w:proofErr w:type="spellEnd"/>
      <w:r>
        <w:rPr>
          <w:rFonts w:cs="Times New Roman"/>
          <w:bCs/>
          <w:szCs w:val="20"/>
        </w:rPr>
        <w:t xml:space="preserve"> experiment and the catalytic testing in the flow reactor. X and Y scales do not represent actual values but were adapted to increase readability of the scheme.</w:t>
      </w:r>
    </w:p>
    <w:p w14:paraId="72088416" w14:textId="77777777" w:rsidR="004E6222" w:rsidRDefault="004E6222" w:rsidP="004E6222">
      <w:pPr>
        <w:spacing w:after="160"/>
        <w:jc w:val="left"/>
        <w:rPr>
          <w:rFonts w:cs="Times New Roman"/>
          <w:b/>
          <w:bCs/>
          <w:szCs w:val="20"/>
        </w:rPr>
      </w:pPr>
      <w:r>
        <w:rPr>
          <w:rFonts w:cs="Times New Roman"/>
          <w:b/>
          <w:bCs/>
          <w:szCs w:val="20"/>
        </w:rPr>
        <w:br w:type="page"/>
      </w:r>
    </w:p>
    <w:p w14:paraId="4BC026F1" w14:textId="7D1A6CF3" w:rsidR="004E6222" w:rsidRDefault="004E6222" w:rsidP="004E6222">
      <w:pPr>
        <w:spacing w:after="160"/>
        <w:jc w:val="center"/>
        <w:rPr>
          <w:rFonts w:cs="Times New Roman"/>
          <w:b/>
          <w:bCs/>
          <w:szCs w:val="20"/>
        </w:rPr>
      </w:pPr>
      <w:r>
        <w:rPr>
          <w:rFonts w:cs="Times New Roman"/>
          <w:b/>
          <w:noProof/>
          <w:szCs w:val="20"/>
        </w:rPr>
        <w:lastRenderedPageBreak/>
        <w:drawing>
          <wp:inline distT="0" distB="0" distL="0" distR="0" wp14:anchorId="0DB3D873" wp14:editId="281E738B">
            <wp:extent cx="4497070" cy="3746500"/>
            <wp:effectExtent l="0" t="0" r="0" b="6350"/>
            <wp:docPr id="168975432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4497070" cy="3746500"/>
                    </a:xfrm>
                    <a:prstGeom prst="rect">
                      <a:avLst/>
                    </a:prstGeom>
                    <a:noFill/>
                    <a:ln>
                      <a:noFill/>
                    </a:ln>
                  </pic:spPr>
                </pic:pic>
              </a:graphicData>
            </a:graphic>
          </wp:inline>
        </w:drawing>
      </w:r>
    </w:p>
    <w:p w14:paraId="25A2DB92" w14:textId="77777777" w:rsidR="004E6222" w:rsidRDefault="004E6222" w:rsidP="004E6222">
      <w:pPr>
        <w:spacing w:after="160"/>
        <w:rPr>
          <w:rFonts w:cs="Times New Roman"/>
          <w:bCs/>
          <w:szCs w:val="20"/>
        </w:rPr>
      </w:pPr>
      <w:r>
        <w:rPr>
          <w:rFonts w:cs="Times New Roman"/>
          <w:b/>
          <w:bCs/>
          <w:szCs w:val="20"/>
        </w:rPr>
        <w:t>Supplementary Figure S12: Determination of the Pd Traverse Volume</w:t>
      </w:r>
      <w:r>
        <w:rPr>
          <w:rFonts w:cs="Times New Roman"/>
          <w:szCs w:val="20"/>
        </w:rPr>
        <w:t xml:space="preserve"> Top- palladium mass transport length as a function of temperature and atmosphere. Bottom – illustration depicting the determination process. </w:t>
      </w:r>
      <w:r>
        <w:t>(1) A central volume was iteratively sub-sampled into progressively smaller sub-volumes. (2) For each sub-volume, the integrated electron density change (ΔED) across a defined temperature window was then calculated. (3) The maximum Pd displacement length is inferred from the smallest sub-volume size at which a ≥5% deviation in normalized ΔED appears, indicating non-local Pd redistribution.</w:t>
      </w:r>
    </w:p>
    <w:p w14:paraId="73CE38B7" w14:textId="48BD21EA" w:rsidR="004E6222" w:rsidRDefault="004E6222" w:rsidP="004E6222">
      <w:pPr>
        <w:spacing w:after="0" w:line="360" w:lineRule="auto"/>
        <w:jc w:val="center"/>
        <w:rPr>
          <w:rFonts w:cs="Times New Roman"/>
          <w:bCs/>
          <w:szCs w:val="20"/>
        </w:rPr>
      </w:pPr>
      <w:r>
        <w:rPr>
          <w:rFonts w:cs="Times New Roman"/>
          <w:bCs/>
          <w:szCs w:val="20"/>
        </w:rPr>
        <w:br w:type="page"/>
      </w:r>
      <w:r>
        <w:rPr>
          <w:rFonts w:cs="Times New Roman"/>
          <w:noProof/>
          <w:szCs w:val="20"/>
          <w:lang w:eastAsia="en-US"/>
        </w:rPr>
        <w:lastRenderedPageBreak/>
        <w:drawing>
          <wp:inline distT="0" distB="0" distL="0" distR="0" wp14:anchorId="4783793C" wp14:editId="6942F4FB">
            <wp:extent cx="5731510" cy="3368040"/>
            <wp:effectExtent l="0" t="0" r="0" b="3810"/>
            <wp:docPr id="535448337" name="Picture 1" descr="Ein Bild, das Screenshot, Kunst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Ein Bild, das Screenshot, Kunst enthält.&#10;&#10;KI-generierte Inhalte können fehlerhaft sein."/>
                    <pic:cNvPicPr>
                      <a:picLocks noChangeAspect="1" noChangeArrowheads="1"/>
                    </pic:cNvPicPr>
                  </pic:nvPicPr>
                  <pic:blipFill>
                    <a:blip r:embed="rId16">
                      <a:extLst>
                        <a:ext uri="{28A0092B-C50C-407E-A947-70E740481C1C}">
                          <a14:useLocalDpi xmlns:a14="http://schemas.microsoft.com/office/drawing/2010/main" val="0"/>
                        </a:ext>
                      </a:extLst>
                    </a:blip>
                    <a:srcRect l="2" t="17383" r="-1878" b="4172"/>
                    <a:stretch>
                      <a:fillRect/>
                    </a:stretch>
                  </pic:blipFill>
                  <pic:spPr bwMode="auto">
                    <a:xfrm>
                      <a:off x="0" y="0"/>
                      <a:ext cx="5731510" cy="3368040"/>
                    </a:xfrm>
                    <a:prstGeom prst="rect">
                      <a:avLst/>
                    </a:prstGeom>
                    <a:noFill/>
                    <a:ln>
                      <a:noFill/>
                    </a:ln>
                  </pic:spPr>
                </pic:pic>
              </a:graphicData>
            </a:graphic>
          </wp:inline>
        </w:drawing>
      </w:r>
    </w:p>
    <w:p w14:paraId="4962CC07" w14:textId="77777777" w:rsidR="004E6222" w:rsidRDefault="004E6222" w:rsidP="004E6222">
      <w:pPr>
        <w:spacing w:after="0" w:line="360" w:lineRule="auto"/>
        <w:rPr>
          <w:rFonts w:cs="Times New Roman"/>
          <w:bCs/>
          <w:szCs w:val="20"/>
        </w:rPr>
      </w:pPr>
      <w:r>
        <w:rPr>
          <w:rFonts w:cs="Times New Roman"/>
          <w:b/>
          <w:bCs/>
          <w:szCs w:val="20"/>
        </w:rPr>
        <w:t>Supplementary Figure S13: Effect of the Wet Impregnation Process on the Silica Support</w:t>
      </w:r>
      <w:r>
        <w:rPr>
          <w:rFonts w:cs="Times New Roman"/>
          <w:bCs/>
          <w:szCs w:val="20"/>
        </w:rPr>
        <w:t xml:space="preserve">. Electron density histograms derived from phase tomograms of the silica support, before (turquoise) and after (grey) the wet impregnation process. Histograms are show in (a) logarithmic and (b) linear scale. Both tomograms were acquired under identical conditions (25 °C, under air flow). Evident is that the silica peak position remains unchanged, suggesting that the bulk of the silica is unaffected by the impregnation process. However, (1) the impregnation process already results in a small population of Pd nanoparticles, albeit smaller than the achieved spatial resolution, evidenced by the high-density values (&gt;1 </w:t>
      </w:r>
      <w:r>
        <w:rPr>
          <w:rFonts w:cs="Times New Roman"/>
          <w:szCs w:val="20"/>
        </w:rPr>
        <w:t>n</w:t>
      </w:r>
      <w:r>
        <w:rPr>
          <w:rFonts w:cs="Times New Roman"/>
          <w:szCs w:val="20"/>
          <w:vertAlign w:val="subscript"/>
        </w:rPr>
        <w:t>e</w:t>
      </w:r>
      <w:r>
        <w:rPr>
          <w:rFonts w:cs="Times New Roman"/>
          <w:szCs w:val="20"/>
        </w:rPr>
        <w:t xml:space="preserve"> Å</w:t>
      </w:r>
      <w:r>
        <w:rPr>
          <w:rFonts w:cs="Times New Roman"/>
          <w:szCs w:val="20"/>
          <w:vertAlign w:val="superscript"/>
        </w:rPr>
        <w:t>-</w:t>
      </w:r>
      <w:r>
        <w:rPr>
          <w:rFonts w:cs="Times New Roman"/>
          <w:szCs w:val="20"/>
        </w:rPr>
        <w:t>³)</w:t>
      </w:r>
      <w:r>
        <w:rPr>
          <w:rFonts w:cs="Times New Roman"/>
          <w:bCs/>
          <w:szCs w:val="20"/>
        </w:rPr>
        <w:t xml:space="preserve">. The electron density of the deposited palladium nitride is 0.98 </w:t>
      </w:r>
      <w:r>
        <w:rPr>
          <w:rFonts w:cs="Times New Roman"/>
          <w:szCs w:val="20"/>
        </w:rPr>
        <w:t>n</w:t>
      </w:r>
      <w:r>
        <w:rPr>
          <w:rFonts w:cs="Times New Roman"/>
          <w:szCs w:val="20"/>
          <w:vertAlign w:val="subscript"/>
        </w:rPr>
        <w:t>e</w:t>
      </w:r>
      <w:r>
        <w:rPr>
          <w:rFonts w:cs="Times New Roman"/>
          <w:szCs w:val="20"/>
        </w:rPr>
        <w:t xml:space="preserve"> Å</w:t>
      </w:r>
      <w:r>
        <w:rPr>
          <w:rFonts w:cs="Times New Roman"/>
          <w:szCs w:val="20"/>
          <w:vertAlign w:val="superscript"/>
        </w:rPr>
        <w:t>-</w:t>
      </w:r>
      <w:r>
        <w:rPr>
          <w:rFonts w:cs="Times New Roman"/>
          <w:szCs w:val="20"/>
        </w:rPr>
        <w:t>³</w:t>
      </w:r>
      <w:r>
        <w:rPr>
          <w:rFonts w:cs="Times New Roman"/>
          <w:bCs/>
          <w:szCs w:val="20"/>
        </w:rPr>
        <w:t>. (2) The silica peak post impregnation process is significantly broadened. While the increased densities on the right flank can be explained by Pd particles and Pd nitride deposition on the supports surface,</w:t>
      </w:r>
      <w:r>
        <w:rPr>
          <w:rFonts w:cs="Times New Roman"/>
          <w:szCs w:val="20"/>
        </w:rPr>
        <w:t xml:space="preserve"> </w:t>
      </w:r>
      <w:r>
        <w:rPr>
          <w:rFonts w:cs="Times New Roman"/>
          <w:bCs/>
          <w:szCs w:val="20"/>
        </w:rPr>
        <w:t>the changes on the left flank of the peak are likely due to a fraction of the pore space being occupied by precursor residues of the impregnation process.</w:t>
      </w:r>
    </w:p>
    <w:p w14:paraId="6E39F2A5" w14:textId="77777777" w:rsidR="004E6222" w:rsidRDefault="004E6222" w:rsidP="004E6222">
      <w:pPr>
        <w:spacing w:before="0" w:after="160"/>
        <w:jc w:val="left"/>
        <w:rPr>
          <w:rFonts w:cs="Times New Roman"/>
          <w:bCs/>
          <w:szCs w:val="20"/>
        </w:rPr>
      </w:pPr>
      <w:r>
        <w:rPr>
          <w:rFonts w:cs="Times New Roman"/>
          <w:bCs/>
          <w:szCs w:val="20"/>
        </w:rPr>
        <w:br w:type="page"/>
      </w:r>
    </w:p>
    <w:tbl>
      <w:tblPr>
        <w:tblStyle w:val="TableGrid"/>
        <w:tblW w:w="0" w:type="auto"/>
        <w:jc w:val="center"/>
        <w:tblInd w:w="0" w:type="dxa"/>
        <w:tblLook w:val="04A0" w:firstRow="1" w:lastRow="0" w:firstColumn="1" w:lastColumn="0" w:noHBand="0" w:noVBand="1"/>
      </w:tblPr>
      <w:tblGrid>
        <w:gridCol w:w="2067"/>
        <w:gridCol w:w="2129"/>
      </w:tblGrid>
      <w:tr w:rsidR="004E6222" w14:paraId="29580CEF" w14:textId="77777777" w:rsidTr="004E6222">
        <w:trPr>
          <w:trHeight w:val="430"/>
          <w:jc w:val="center"/>
        </w:trPr>
        <w:tc>
          <w:tcPr>
            <w:tcW w:w="0" w:type="auto"/>
            <w:tcBorders>
              <w:top w:val="single" w:sz="4" w:space="0" w:color="auto"/>
              <w:left w:val="single" w:sz="4" w:space="0" w:color="auto"/>
              <w:bottom w:val="single" w:sz="4" w:space="0" w:color="auto"/>
              <w:right w:val="single" w:sz="4" w:space="0" w:color="auto"/>
            </w:tcBorders>
            <w:noWrap/>
            <w:hideMark/>
          </w:tcPr>
          <w:p w14:paraId="401E966F" w14:textId="77777777" w:rsidR="004E6222" w:rsidRDefault="004E6222">
            <w:pPr>
              <w:spacing w:after="0" w:line="360" w:lineRule="auto"/>
              <w:jc w:val="left"/>
              <w:rPr>
                <w:rFonts w:eastAsia="Times New Roman" w:cs="Times New Roman"/>
                <w:b/>
                <w:bCs/>
                <w:sz w:val="18"/>
                <w:szCs w:val="18"/>
                <w:lang w:eastAsia="de-CH"/>
              </w:rPr>
            </w:pPr>
            <w:r>
              <w:rPr>
                <w:rFonts w:eastAsia="Times New Roman" w:cs="Times New Roman"/>
                <w:b/>
                <w:bCs/>
                <w:sz w:val="18"/>
                <w:szCs w:val="18"/>
                <w:lang w:eastAsia="de-CH"/>
              </w:rPr>
              <w:lastRenderedPageBreak/>
              <w:t>Compound</w:t>
            </w:r>
          </w:p>
        </w:tc>
        <w:tc>
          <w:tcPr>
            <w:tcW w:w="0" w:type="auto"/>
            <w:tcBorders>
              <w:top w:val="single" w:sz="4" w:space="0" w:color="auto"/>
              <w:left w:val="single" w:sz="4" w:space="0" w:color="auto"/>
              <w:bottom w:val="single" w:sz="4" w:space="0" w:color="auto"/>
              <w:right w:val="single" w:sz="4" w:space="0" w:color="auto"/>
            </w:tcBorders>
            <w:noWrap/>
            <w:hideMark/>
          </w:tcPr>
          <w:p w14:paraId="707DE8C7" w14:textId="77777777" w:rsidR="004E6222" w:rsidRDefault="004E6222">
            <w:pPr>
              <w:spacing w:after="0" w:line="360" w:lineRule="auto"/>
              <w:jc w:val="left"/>
              <w:rPr>
                <w:rFonts w:eastAsia="Times New Roman" w:cs="Times New Roman"/>
                <w:b/>
                <w:bCs/>
                <w:sz w:val="18"/>
                <w:szCs w:val="18"/>
                <w:lang w:eastAsia="de-CH"/>
              </w:rPr>
            </w:pPr>
            <w:r>
              <w:rPr>
                <w:rFonts w:eastAsia="Times New Roman" w:cs="Times New Roman"/>
                <w:b/>
                <w:bCs/>
                <w:sz w:val="18"/>
                <w:szCs w:val="18"/>
                <w:lang w:eastAsia="de-CH"/>
              </w:rPr>
              <w:t>Electron Density @ 20˚C</w:t>
            </w:r>
          </w:p>
        </w:tc>
      </w:tr>
      <w:tr w:rsidR="004E6222" w14:paraId="4BDE1729" w14:textId="77777777" w:rsidTr="004E6222">
        <w:trPr>
          <w:trHeight w:val="430"/>
          <w:jc w:val="center"/>
        </w:trPr>
        <w:tc>
          <w:tcPr>
            <w:tcW w:w="0" w:type="auto"/>
            <w:tcBorders>
              <w:top w:val="single" w:sz="4" w:space="0" w:color="auto"/>
              <w:left w:val="single" w:sz="4" w:space="0" w:color="auto"/>
              <w:bottom w:val="single" w:sz="4" w:space="0" w:color="auto"/>
              <w:right w:val="single" w:sz="4" w:space="0" w:color="auto"/>
            </w:tcBorders>
            <w:noWrap/>
          </w:tcPr>
          <w:p w14:paraId="31F5035E" w14:textId="77777777" w:rsidR="004E6222" w:rsidRDefault="004E6222">
            <w:pPr>
              <w:spacing w:after="0" w:line="240" w:lineRule="auto"/>
              <w:jc w:val="left"/>
              <w:rPr>
                <w:rFonts w:eastAsia="Times New Roman" w:cs="Times New Roman"/>
                <w:b/>
                <w:bCs/>
                <w:sz w:val="18"/>
                <w:szCs w:val="18"/>
                <w:lang w:eastAsia="de-CH"/>
              </w:rPr>
            </w:pPr>
          </w:p>
        </w:tc>
        <w:tc>
          <w:tcPr>
            <w:tcW w:w="0" w:type="auto"/>
            <w:tcBorders>
              <w:top w:val="single" w:sz="4" w:space="0" w:color="auto"/>
              <w:left w:val="single" w:sz="4" w:space="0" w:color="auto"/>
              <w:bottom w:val="single" w:sz="4" w:space="0" w:color="auto"/>
              <w:right w:val="single" w:sz="4" w:space="0" w:color="auto"/>
            </w:tcBorders>
            <w:noWrap/>
            <w:hideMark/>
          </w:tcPr>
          <w:p w14:paraId="1F8EFF1F" w14:textId="77777777" w:rsidR="004E6222" w:rsidRDefault="004E6222">
            <w:pPr>
              <w:spacing w:after="0" w:line="240" w:lineRule="auto"/>
              <w:jc w:val="center"/>
              <w:rPr>
                <w:rFonts w:eastAsia="Times New Roman" w:cs="Times New Roman"/>
                <w:b/>
                <w:color w:val="000000"/>
                <w:sz w:val="18"/>
                <w:szCs w:val="18"/>
                <w:lang w:eastAsia="de-CH"/>
              </w:rPr>
            </w:pPr>
            <w:r>
              <w:rPr>
                <w:rFonts w:eastAsia="Times New Roman" w:cs="Times New Roman"/>
                <w:b/>
                <w:color w:val="000000"/>
                <w:sz w:val="18"/>
                <w:szCs w:val="18"/>
                <w:lang w:eastAsia="de-CH"/>
              </w:rPr>
              <w:t>n</w:t>
            </w:r>
            <w:r>
              <w:rPr>
                <w:rFonts w:eastAsia="Times New Roman" w:cs="Times New Roman"/>
                <w:b/>
                <w:color w:val="000000"/>
                <w:sz w:val="18"/>
                <w:szCs w:val="18"/>
                <w:vertAlign w:val="subscript"/>
                <w:lang w:eastAsia="de-CH"/>
              </w:rPr>
              <w:t>e</w:t>
            </w:r>
            <w:r>
              <w:rPr>
                <w:rFonts w:cs="Times New Roman"/>
                <w:sz w:val="18"/>
                <w:szCs w:val="18"/>
              </w:rPr>
              <w:t xml:space="preserve"> </w:t>
            </w:r>
            <w:r>
              <w:rPr>
                <w:rFonts w:eastAsia="Times New Roman" w:cs="Times New Roman"/>
                <w:b/>
                <w:color w:val="000000"/>
                <w:sz w:val="18"/>
                <w:szCs w:val="18"/>
                <w:lang w:eastAsia="de-CH"/>
              </w:rPr>
              <w:t>Å</w:t>
            </w:r>
            <w:r>
              <w:rPr>
                <w:rFonts w:eastAsia="Times New Roman" w:cs="Times New Roman"/>
                <w:b/>
                <w:color w:val="000000"/>
                <w:sz w:val="18"/>
                <w:szCs w:val="18"/>
                <w:vertAlign w:val="superscript"/>
                <w:lang w:eastAsia="de-CH"/>
              </w:rPr>
              <w:t>-3</w:t>
            </w:r>
          </w:p>
        </w:tc>
      </w:tr>
      <w:tr w:rsidR="004E6222" w14:paraId="4E107881" w14:textId="77777777" w:rsidTr="004E6222">
        <w:trPr>
          <w:trHeight w:val="431"/>
          <w:jc w:val="center"/>
        </w:trPr>
        <w:tc>
          <w:tcPr>
            <w:tcW w:w="0" w:type="auto"/>
            <w:tcBorders>
              <w:top w:val="single" w:sz="4" w:space="0" w:color="auto"/>
              <w:left w:val="single" w:sz="4" w:space="0" w:color="auto"/>
              <w:bottom w:val="single" w:sz="4" w:space="0" w:color="auto"/>
              <w:right w:val="single" w:sz="4" w:space="0" w:color="auto"/>
            </w:tcBorders>
            <w:noWrap/>
            <w:hideMark/>
          </w:tcPr>
          <w:p w14:paraId="222B6400" w14:textId="77777777" w:rsidR="004E6222" w:rsidRDefault="004E6222">
            <w:pPr>
              <w:spacing w:after="0" w:line="360" w:lineRule="auto"/>
              <w:jc w:val="left"/>
              <w:rPr>
                <w:rFonts w:eastAsia="Times New Roman" w:cs="Times New Roman"/>
                <w:b/>
                <w:bCs/>
                <w:i/>
                <w:sz w:val="18"/>
                <w:szCs w:val="18"/>
                <w:lang w:eastAsia="de-CH"/>
              </w:rPr>
            </w:pPr>
            <w:r>
              <w:rPr>
                <w:rFonts w:eastAsia="Times New Roman" w:cs="Times New Roman"/>
                <w:b/>
                <w:bCs/>
                <w:i/>
                <w:sz w:val="18"/>
                <w:szCs w:val="18"/>
                <w:lang w:eastAsia="de-CH"/>
              </w:rPr>
              <w:t>Air /</w:t>
            </w:r>
            <w:r>
              <w:rPr>
                <w:rFonts w:eastAsia="Times New Roman" w:cs="Times New Roman"/>
                <w:b/>
                <w:bCs/>
                <w:sz w:val="18"/>
                <w:szCs w:val="18"/>
                <w:lang w:eastAsia="de-CH"/>
              </w:rPr>
              <w:t xml:space="preserve"> Argon / Pores</w:t>
            </w:r>
          </w:p>
        </w:tc>
        <w:tc>
          <w:tcPr>
            <w:tcW w:w="0" w:type="auto"/>
            <w:tcBorders>
              <w:top w:val="single" w:sz="4" w:space="0" w:color="auto"/>
              <w:left w:val="single" w:sz="4" w:space="0" w:color="auto"/>
              <w:bottom w:val="single" w:sz="4" w:space="0" w:color="auto"/>
              <w:right w:val="single" w:sz="4" w:space="0" w:color="auto"/>
            </w:tcBorders>
            <w:noWrap/>
            <w:hideMark/>
          </w:tcPr>
          <w:p w14:paraId="75A82140" w14:textId="77777777" w:rsidR="004E6222" w:rsidRDefault="004E6222">
            <w:pPr>
              <w:spacing w:after="0" w:line="360" w:lineRule="auto"/>
              <w:jc w:val="center"/>
              <w:rPr>
                <w:rFonts w:eastAsia="Times New Roman" w:cs="Times New Roman"/>
                <w:b/>
                <w:color w:val="000000"/>
                <w:sz w:val="18"/>
                <w:szCs w:val="18"/>
                <w:lang w:eastAsia="de-CH"/>
              </w:rPr>
            </w:pPr>
            <w:r>
              <w:rPr>
                <w:rFonts w:cs="Times New Roman"/>
                <w:sz w:val="18"/>
                <w:szCs w:val="18"/>
              </w:rPr>
              <w:t>~0.00</w:t>
            </w:r>
          </w:p>
        </w:tc>
      </w:tr>
      <w:tr w:rsidR="004E6222" w14:paraId="2A72BA04" w14:textId="77777777" w:rsidTr="004E6222">
        <w:trPr>
          <w:trHeight w:val="430"/>
          <w:jc w:val="center"/>
        </w:trPr>
        <w:tc>
          <w:tcPr>
            <w:tcW w:w="0" w:type="auto"/>
            <w:tcBorders>
              <w:top w:val="single" w:sz="4" w:space="0" w:color="auto"/>
              <w:left w:val="single" w:sz="4" w:space="0" w:color="auto"/>
              <w:bottom w:val="single" w:sz="4" w:space="0" w:color="auto"/>
              <w:right w:val="single" w:sz="4" w:space="0" w:color="auto"/>
            </w:tcBorders>
            <w:noWrap/>
            <w:hideMark/>
          </w:tcPr>
          <w:p w14:paraId="68EBC833" w14:textId="77777777" w:rsidR="004E6222" w:rsidRDefault="004E6222">
            <w:pPr>
              <w:spacing w:after="0" w:line="360" w:lineRule="auto"/>
              <w:jc w:val="left"/>
              <w:rPr>
                <w:rFonts w:eastAsia="Times New Roman" w:cs="Times New Roman"/>
                <w:b/>
                <w:bCs/>
                <w:sz w:val="18"/>
                <w:szCs w:val="18"/>
                <w:lang w:eastAsia="de-CH"/>
              </w:rPr>
            </w:pPr>
            <w:r>
              <w:rPr>
                <w:rFonts w:eastAsia="Times New Roman" w:cs="Times New Roman"/>
                <w:b/>
                <w:bCs/>
                <w:sz w:val="18"/>
                <w:szCs w:val="18"/>
                <w:lang w:eastAsia="de-CH"/>
              </w:rPr>
              <w:t>Pd</w:t>
            </w:r>
          </w:p>
        </w:tc>
        <w:tc>
          <w:tcPr>
            <w:tcW w:w="0" w:type="auto"/>
            <w:tcBorders>
              <w:top w:val="single" w:sz="4" w:space="0" w:color="auto"/>
              <w:left w:val="single" w:sz="4" w:space="0" w:color="auto"/>
              <w:bottom w:val="single" w:sz="4" w:space="0" w:color="auto"/>
              <w:right w:val="single" w:sz="4" w:space="0" w:color="auto"/>
            </w:tcBorders>
            <w:noWrap/>
            <w:hideMark/>
          </w:tcPr>
          <w:p w14:paraId="386C367A" w14:textId="77777777" w:rsidR="004E6222" w:rsidRDefault="004E6222">
            <w:pPr>
              <w:spacing w:after="0" w:line="360" w:lineRule="auto"/>
              <w:jc w:val="center"/>
              <w:rPr>
                <w:rFonts w:eastAsia="Times New Roman" w:cs="Times New Roman"/>
                <w:b/>
                <w:color w:val="000000"/>
                <w:sz w:val="18"/>
                <w:szCs w:val="18"/>
                <w:lang w:eastAsia="de-CH"/>
              </w:rPr>
            </w:pPr>
            <w:r>
              <w:rPr>
                <w:rFonts w:cs="Times New Roman"/>
                <w:sz w:val="18"/>
                <w:szCs w:val="18"/>
              </w:rPr>
              <w:t>3.10</w:t>
            </w:r>
          </w:p>
        </w:tc>
      </w:tr>
      <w:tr w:rsidR="004E6222" w14:paraId="0FE453C7" w14:textId="77777777" w:rsidTr="004E6222">
        <w:trPr>
          <w:trHeight w:val="430"/>
          <w:jc w:val="center"/>
        </w:trPr>
        <w:tc>
          <w:tcPr>
            <w:tcW w:w="0" w:type="auto"/>
            <w:tcBorders>
              <w:top w:val="single" w:sz="4" w:space="0" w:color="auto"/>
              <w:left w:val="single" w:sz="4" w:space="0" w:color="auto"/>
              <w:bottom w:val="single" w:sz="4" w:space="0" w:color="auto"/>
              <w:right w:val="single" w:sz="4" w:space="0" w:color="auto"/>
            </w:tcBorders>
            <w:noWrap/>
            <w:hideMark/>
          </w:tcPr>
          <w:p w14:paraId="0E57012D" w14:textId="77777777" w:rsidR="004E6222" w:rsidRDefault="004E6222">
            <w:pPr>
              <w:spacing w:after="0" w:line="360" w:lineRule="auto"/>
              <w:jc w:val="left"/>
              <w:rPr>
                <w:rFonts w:eastAsia="Times New Roman" w:cs="Times New Roman"/>
                <w:b/>
                <w:bCs/>
                <w:sz w:val="18"/>
                <w:szCs w:val="18"/>
                <w:lang w:eastAsia="de-CH"/>
              </w:rPr>
            </w:pPr>
            <w:proofErr w:type="spellStart"/>
            <w:r>
              <w:rPr>
                <w:rFonts w:eastAsia="Times New Roman" w:cs="Times New Roman"/>
                <w:b/>
                <w:bCs/>
                <w:sz w:val="18"/>
                <w:szCs w:val="18"/>
                <w:lang w:eastAsia="de-CH"/>
              </w:rPr>
              <w:t>PdO</w:t>
            </w:r>
            <w:proofErr w:type="spellEnd"/>
          </w:p>
        </w:tc>
        <w:tc>
          <w:tcPr>
            <w:tcW w:w="0" w:type="auto"/>
            <w:tcBorders>
              <w:top w:val="single" w:sz="4" w:space="0" w:color="auto"/>
              <w:left w:val="single" w:sz="4" w:space="0" w:color="auto"/>
              <w:bottom w:val="single" w:sz="4" w:space="0" w:color="auto"/>
              <w:right w:val="single" w:sz="4" w:space="0" w:color="auto"/>
            </w:tcBorders>
            <w:noWrap/>
            <w:hideMark/>
          </w:tcPr>
          <w:p w14:paraId="3AD4C708" w14:textId="77777777" w:rsidR="004E6222" w:rsidRDefault="004E6222">
            <w:pPr>
              <w:spacing w:after="0" w:line="360" w:lineRule="auto"/>
              <w:jc w:val="center"/>
              <w:rPr>
                <w:rFonts w:eastAsia="Times New Roman" w:cs="Times New Roman"/>
                <w:b/>
                <w:color w:val="000000"/>
                <w:sz w:val="18"/>
                <w:szCs w:val="18"/>
                <w:lang w:eastAsia="de-CH"/>
              </w:rPr>
            </w:pPr>
            <w:r>
              <w:rPr>
                <w:rFonts w:cs="Times New Roman"/>
                <w:sz w:val="18"/>
                <w:szCs w:val="18"/>
              </w:rPr>
              <w:t>2.21</w:t>
            </w:r>
          </w:p>
        </w:tc>
      </w:tr>
      <w:tr w:rsidR="004E6222" w14:paraId="21D08F96" w14:textId="77777777" w:rsidTr="004E6222">
        <w:trPr>
          <w:trHeight w:val="431"/>
          <w:jc w:val="center"/>
        </w:trPr>
        <w:tc>
          <w:tcPr>
            <w:tcW w:w="0" w:type="auto"/>
            <w:tcBorders>
              <w:top w:val="single" w:sz="4" w:space="0" w:color="auto"/>
              <w:left w:val="single" w:sz="4" w:space="0" w:color="auto"/>
              <w:bottom w:val="single" w:sz="4" w:space="0" w:color="auto"/>
              <w:right w:val="single" w:sz="4" w:space="0" w:color="auto"/>
            </w:tcBorders>
            <w:noWrap/>
            <w:hideMark/>
          </w:tcPr>
          <w:p w14:paraId="456EB2EA" w14:textId="77777777" w:rsidR="004E6222" w:rsidRDefault="004E6222">
            <w:pPr>
              <w:spacing w:after="0" w:line="360" w:lineRule="auto"/>
              <w:jc w:val="left"/>
              <w:rPr>
                <w:rFonts w:eastAsia="Times New Roman" w:cs="Times New Roman"/>
                <w:b/>
                <w:bCs/>
                <w:sz w:val="18"/>
                <w:szCs w:val="18"/>
                <w:lang w:eastAsia="de-CH"/>
              </w:rPr>
            </w:pPr>
            <w:proofErr w:type="gramStart"/>
            <w:r>
              <w:rPr>
                <w:rFonts w:eastAsia="Times New Roman" w:cs="Times New Roman"/>
                <w:b/>
                <w:bCs/>
                <w:sz w:val="18"/>
                <w:szCs w:val="18"/>
                <w:lang w:eastAsia="de-CH"/>
              </w:rPr>
              <w:t>Pd(</w:t>
            </w:r>
            <w:proofErr w:type="gramEnd"/>
            <w:r>
              <w:rPr>
                <w:rFonts w:eastAsia="Times New Roman" w:cs="Times New Roman"/>
                <w:b/>
                <w:bCs/>
                <w:sz w:val="18"/>
                <w:szCs w:val="18"/>
                <w:lang w:eastAsia="de-CH"/>
              </w:rPr>
              <w:t>NO</w:t>
            </w:r>
            <w:proofErr w:type="gramStart"/>
            <w:r>
              <w:rPr>
                <w:rFonts w:eastAsia="Times New Roman" w:cs="Times New Roman"/>
                <w:b/>
                <w:bCs/>
                <w:sz w:val="18"/>
                <w:szCs w:val="18"/>
                <w:lang w:eastAsia="de-CH"/>
              </w:rPr>
              <w:t>₂)₂</w:t>
            </w:r>
            <w:proofErr w:type="gramEnd"/>
          </w:p>
        </w:tc>
        <w:tc>
          <w:tcPr>
            <w:tcW w:w="0" w:type="auto"/>
            <w:tcBorders>
              <w:top w:val="single" w:sz="4" w:space="0" w:color="auto"/>
              <w:left w:val="single" w:sz="4" w:space="0" w:color="auto"/>
              <w:bottom w:val="single" w:sz="4" w:space="0" w:color="auto"/>
              <w:right w:val="single" w:sz="4" w:space="0" w:color="auto"/>
            </w:tcBorders>
            <w:noWrap/>
            <w:hideMark/>
          </w:tcPr>
          <w:p w14:paraId="42D288A2" w14:textId="77777777" w:rsidR="004E6222" w:rsidRDefault="004E6222">
            <w:pPr>
              <w:spacing w:after="0" w:line="360" w:lineRule="auto"/>
              <w:jc w:val="center"/>
              <w:rPr>
                <w:rFonts w:cs="Times New Roman"/>
                <w:sz w:val="18"/>
                <w:szCs w:val="18"/>
              </w:rPr>
            </w:pPr>
            <w:r>
              <w:rPr>
                <w:rFonts w:cs="Times New Roman"/>
                <w:sz w:val="18"/>
                <w:szCs w:val="18"/>
              </w:rPr>
              <w:t>0.97</w:t>
            </w:r>
          </w:p>
        </w:tc>
      </w:tr>
      <w:tr w:rsidR="004E6222" w14:paraId="0F5A01B7" w14:textId="77777777" w:rsidTr="004E6222">
        <w:trPr>
          <w:trHeight w:val="430"/>
          <w:jc w:val="center"/>
        </w:trPr>
        <w:tc>
          <w:tcPr>
            <w:tcW w:w="0" w:type="auto"/>
            <w:tcBorders>
              <w:top w:val="single" w:sz="4" w:space="0" w:color="auto"/>
              <w:left w:val="single" w:sz="4" w:space="0" w:color="auto"/>
              <w:bottom w:val="single" w:sz="4" w:space="0" w:color="auto"/>
              <w:right w:val="single" w:sz="4" w:space="0" w:color="auto"/>
            </w:tcBorders>
            <w:noWrap/>
            <w:hideMark/>
          </w:tcPr>
          <w:p w14:paraId="59213413" w14:textId="77777777" w:rsidR="004E6222" w:rsidRDefault="004E6222">
            <w:pPr>
              <w:spacing w:after="0" w:line="360" w:lineRule="auto"/>
              <w:jc w:val="left"/>
              <w:rPr>
                <w:rFonts w:eastAsia="Times New Roman" w:cs="Times New Roman"/>
                <w:b/>
                <w:bCs/>
                <w:sz w:val="18"/>
                <w:szCs w:val="18"/>
                <w:lang w:eastAsia="de-CH"/>
              </w:rPr>
            </w:pPr>
            <w:r>
              <w:rPr>
                <w:rFonts w:eastAsia="Times New Roman" w:cs="Times New Roman"/>
                <w:b/>
                <w:bCs/>
                <w:sz w:val="18"/>
                <w:szCs w:val="18"/>
                <w:lang w:eastAsia="de-CH"/>
              </w:rPr>
              <w:t>SiO</w:t>
            </w:r>
            <w:r>
              <w:rPr>
                <w:rFonts w:eastAsia="Times New Roman" w:cs="Times New Roman"/>
                <w:b/>
                <w:bCs/>
                <w:sz w:val="18"/>
                <w:szCs w:val="18"/>
                <w:vertAlign w:val="subscript"/>
                <w:lang w:eastAsia="de-CH"/>
              </w:rPr>
              <w:t>2</w:t>
            </w:r>
            <w:r>
              <w:rPr>
                <w:rFonts w:eastAsia="Times New Roman" w:cs="Times New Roman"/>
                <w:b/>
                <w:bCs/>
                <w:sz w:val="18"/>
                <w:szCs w:val="18"/>
                <w:lang w:eastAsia="de-CH"/>
              </w:rPr>
              <w:t xml:space="preserve"> (Amorphous)</w:t>
            </w:r>
          </w:p>
        </w:tc>
        <w:tc>
          <w:tcPr>
            <w:tcW w:w="0" w:type="auto"/>
            <w:tcBorders>
              <w:top w:val="single" w:sz="4" w:space="0" w:color="auto"/>
              <w:left w:val="single" w:sz="4" w:space="0" w:color="auto"/>
              <w:bottom w:val="single" w:sz="4" w:space="0" w:color="auto"/>
              <w:right w:val="single" w:sz="4" w:space="0" w:color="auto"/>
            </w:tcBorders>
            <w:noWrap/>
            <w:hideMark/>
          </w:tcPr>
          <w:p w14:paraId="69D79AC9" w14:textId="77777777" w:rsidR="004E6222" w:rsidRDefault="004E6222">
            <w:pPr>
              <w:spacing w:after="0" w:line="360" w:lineRule="auto"/>
              <w:jc w:val="center"/>
              <w:rPr>
                <w:rFonts w:eastAsia="Times New Roman" w:cs="Times New Roman"/>
                <w:b/>
                <w:sz w:val="18"/>
                <w:szCs w:val="18"/>
                <w:lang w:eastAsia="de-CH"/>
              </w:rPr>
            </w:pPr>
            <w:r>
              <w:rPr>
                <w:rFonts w:cs="Times New Roman"/>
                <w:sz w:val="18"/>
                <w:szCs w:val="18"/>
              </w:rPr>
              <w:t>0.55</w:t>
            </w:r>
          </w:p>
        </w:tc>
      </w:tr>
      <w:tr w:rsidR="004E6222" w14:paraId="33AA3FBE" w14:textId="77777777" w:rsidTr="004E6222">
        <w:trPr>
          <w:trHeight w:val="431"/>
          <w:jc w:val="center"/>
        </w:trPr>
        <w:tc>
          <w:tcPr>
            <w:tcW w:w="0" w:type="auto"/>
            <w:tcBorders>
              <w:top w:val="single" w:sz="4" w:space="0" w:color="auto"/>
              <w:left w:val="single" w:sz="4" w:space="0" w:color="auto"/>
              <w:bottom w:val="single" w:sz="4" w:space="0" w:color="auto"/>
              <w:right w:val="single" w:sz="4" w:space="0" w:color="auto"/>
            </w:tcBorders>
            <w:noWrap/>
            <w:hideMark/>
          </w:tcPr>
          <w:p w14:paraId="0B008427" w14:textId="77777777" w:rsidR="004E6222" w:rsidRDefault="004E6222">
            <w:pPr>
              <w:spacing w:after="0" w:line="360" w:lineRule="auto"/>
              <w:jc w:val="left"/>
              <w:rPr>
                <w:rFonts w:eastAsia="Times New Roman" w:cs="Times New Roman"/>
                <w:b/>
                <w:bCs/>
                <w:sz w:val="18"/>
                <w:szCs w:val="18"/>
                <w:lang w:eastAsia="de-CH"/>
              </w:rPr>
            </w:pPr>
            <w:r>
              <w:rPr>
                <w:rFonts w:eastAsia="Times New Roman" w:cs="Times New Roman"/>
                <w:b/>
                <w:bCs/>
                <w:sz w:val="18"/>
                <w:szCs w:val="18"/>
                <w:lang w:eastAsia="de-CH"/>
              </w:rPr>
              <w:t>Coke/ Organic Residues</w:t>
            </w:r>
          </w:p>
        </w:tc>
        <w:tc>
          <w:tcPr>
            <w:tcW w:w="0" w:type="auto"/>
            <w:tcBorders>
              <w:top w:val="single" w:sz="4" w:space="0" w:color="auto"/>
              <w:left w:val="single" w:sz="4" w:space="0" w:color="auto"/>
              <w:bottom w:val="single" w:sz="4" w:space="0" w:color="auto"/>
              <w:right w:val="single" w:sz="4" w:space="0" w:color="auto"/>
            </w:tcBorders>
            <w:noWrap/>
            <w:hideMark/>
          </w:tcPr>
          <w:p w14:paraId="2DDA8843" w14:textId="77777777" w:rsidR="004E6222" w:rsidRDefault="004E6222">
            <w:pPr>
              <w:spacing w:after="0" w:line="360" w:lineRule="auto"/>
              <w:jc w:val="center"/>
              <w:rPr>
                <w:rFonts w:cs="Times New Roman"/>
                <w:sz w:val="18"/>
                <w:szCs w:val="18"/>
              </w:rPr>
            </w:pPr>
            <w:r>
              <w:rPr>
                <w:rFonts w:cs="Times New Roman"/>
                <w:sz w:val="18"/>
                <w:szCs w:val="18"/>
              </w:rPr>
              <w:t>0.19-031</w:t>
            </w:r>
          </w:p>
        </w:tc>
      </w:tr>
    </w:tbl>
    <w:p w14:paraId="255C27DA" w14:textId="77777777" w:rsidR="004E6222" w:rsidRDefault="004E6222" w:rsidP="004E6222">
      <w:pPr>
        <w:spacing w:before="240" w:after="0" w:line="360" w:lineRule="auto"/>
        <w:rPr>
          <w:rFonts w:cs="Times New Roman"/>
          <w:b/>
          <w:bCs/>
          <w:szCs w:val="20"/>
        </w:rPr>
      </w:pPr>
    </w:p>
    <w:p w14:paraId="5B71A924" w14:textId="77777777" w:rsidR="004E6222" w:rsidRDefault="004E6222" w:rsidP="004E6222">
      <w:pPr>
        <w:spacing w:before="240" w:after="0" w:line="360" w:lineRule="auto"/>
        <w:rPr>
          <w:rFonts w:cs="Times New Roman"/>
          <w:b/>
          <w:bCs/>
          <w:szCs w:val="20"/>
        </w:rPr>
      </w:pPr>
      <w:r>
        <w:rPr>
          <w:rFonts w:cs="Times New Roman"/>
          <w:b/>
          <w:bCs/>
          <w:szCs w:val="20"/>
        </w:rPr>
        <w:t xml:space="preserve">Supplementary Table S1:  Electron Densities of known and Possible Supported Catalyst Components. </w:t>
      </w:r>
      <w:r>
        <w:rPr>
          <w:rFonts w:cs="Times New Roman"/>
          <w:szCs w:val="20"/>
        </w:rPr>
        <w:t xml:space="preserve">The electron density of likely catalyst components was calculated using tabulated molecular weight and mass densities (Pd, </w:t>
      </w:r>
      <w:proofErr w:type="spellStart"/>
      <w:r>
        <w:rPr>
          <w:rFonts w:cs="Times New Roman"/>
          <w:szCs w:val="20"/>
        </w:rPr>
        <w:t>PdO</w:t>
      </w:r>
      <w:proofErr w:type="spellEnd"/>
      <w:r>
        <w:rPr>
          <w:rFonts w:cs="Times New Roman"/>
          <w:szCs w:val="20"/>
        </w:rPr>
        <w:t>, gases) or extracted from the literature (SiO</w:t>
      </w:r>
      <w:r>
        <w:rPr>
          <w:rFonts w:cs="Times New Roman"/>
          <w:szCs w:val="20"/>
          <w:vertAlign w:val="subscript"/>
        </w:rPr>
        <w:t>2</w:t>
      </w:r>
      <w:r>
        <w:rPr>
          <w:rFonts w:cs="Times New Roman"/>
          <w:szCs w:val="20"/>
        </w:rPr>
        <w:t>, Coke).</w:t>
      </w:r>
      <w:r>
        <w:rPr>
          <w:rFonts w:cs="Times New Roman"/>
          <w:szCs w:val="20"/>
        </w:rPr>
        <w:fldChar w:fldCharType="begin" w:fldLock="1"/>
      </w:r>
      <w:r>
        <w:rPr>
          <w:rFonts w:cs="Times New Roman"/>
          <w:szCs w:val="20"/>
        </w:rPr>
        <w:instrText xml:space="preserve"> ADDIN ZOTERO_ITEM CSL_CITATION {"citationID":"s9dUrkod","properties":{"formattedCitation":"\\super 19,75\\nosupersub{}","plainCitation":"19,75","noteIndex":0},"citationItems":[{"id":11758,"uris":["http://www.mendeley.com/documents/?uuid=c7bae554-a382-436d-8dc5-814a734d224d","http://zotero.org/users/15799332/items/I8GVWR4P"],"itemData":{"id":11758,"type":"chapter","abstract":"Purpose: Pulmonary endarterectomy is treatment of choice for patients with chronic thromboembolic pulmonary hypertension (CTEPH). Right ventricular (RV) dysfunction remains the main cause of early postoperative mortality. We aimed to investigate mechanisms of RV response to effective CTEPH surgical treatment in an experimental model. Methods and Materials: CTEPH was induced in piglets by ligation of the left pulmonary artery followed by weekly injections under fluoroscopic control of n-butyl-2-cyanoacrylate to progressively occlude right lower lobe arteries for 5 weeks. Studies were performed 5 weeks later (CTEPH group, n=5) or 5 weeks after left lung reperfusion into the main pulmonary artery (Reperfusion group, n=5). Changes in pulmonary vascular resistances (PVR), RV myocardial performance index (RVMPI), RV stoke work (RVSW), RV end-diastolic tricuspid annulus diameter (RV base) and RV base to apex lenght (RV long) were recorded in both groups at 5 and 10 weeks using echocardiography and conductance catheterization. Cardiomyocytes size and beta-myosin heavy chain (beta-MHC) gene expression within RV myocardium were quantified at 10 weeks. Results: At 10 weeks, PVR (769±42 vs. 551±75 dynes.s.cm-5, p=0.034), RVMPI (0.61±0.07 vs. 0.26±0.02, p=0.012) and RVSW (2474±345 vs. 1745±210 ml.mmHg-1, p=0.011) were significantly lower in Reperfusion group when compared to CTEPH group. Similarly RV long and RV base were significantly lower in Reperfusion group at 10 weeks (44.5±2.1 vs. 56.4±2.9 mm, p=0.007 and 25.1±1.1 vs. 31.1±0.1 mm, p=0.007, respectively). Cardiomycytes size (5.8±0.4 vs. 15.5±1.6 +m, p=0.001) and beta-MHC expression (1.31±0.29 vs. 2.10±0.06, p=0.03) were lower in the Reperfusion group. Conclusions: For the first time we reproduced hemodynamic and RV functional benefits of pulmonary hypertension surgical treatment in a porcine CTEPH model. RV functional improvement after CTEPH surgical treatment results in significant changes in contractile protein isoform expression and cardiomyocytes diameter in RV myocardium.","container-title":"The MAK-Collection for Occupational Health and Safety","event-place":"Weinheim, Germany","ISBN":"3-527-60041-8","note":"DOI: 10.1002/3527600418.mb763186e0002","page":"158-179","publisher":"Wiley-VCH Verlag GmbH &amp; Co. KGaA","publisher-place":"Weinheim, Germany","title":"Silica, amorphous [MAK Value Documentation, 1991]","URL":"https://onlinelibrary.wiley.com/doi/10.1002/3527600418.mb763186e0002","author":[{"family":"Gooch","given":"Jan W."}],"issued":{"date-parts":[["2012",1,31]]}}},{"id":9503,"uris":["http://www.mendeley.com/documents/?uuid=8d43f57d-fc1c-4161-927f-97172af7733a","http://zotero.org/users/15799332/items/N5RV8M5R"],"itemData":{"id":9503,"type":"article-journal","abstract":"Since its commercial introduction three-quarters of a century ago, fluid catalytic cracking has been one of the most important conversion processes in the petroleum industry. In this process, porous composites composed of zeolite and clay crack the heavy fractions in crude oil into transportation fuel and petrochemical feedstocks. Yet, over time the catalytic activity of these composite particles decreases. Here, we report on ptychographic tomography, diffraction, and fluorescence tomography, as well as electron microscopy measurements, which elucidate the structural changes that lead to catalyst deactivation. In combination, these measurements reveal zeolite amorphization and distinct structural changes on the particle exterior as the driving forces behind catalyst deactivation. Amorphization of zeolites, in particular, close to the particle exterior, results in a reduction of catalytic capacity. A concretion of the outermost particle layer into a dense amorphous silica-alumina shell further reduces the mass transport to the active sites within the composite.","container-title":"Nature Communications","DOI":"10.1038/s41467-017-00789-w","ISSN":"20411723","issue":"1","note":"PMID: 28993649\npublisher: Springer US","title":"A three-dimensional view of structural changes caused by deactivation of fluid catalytic cracking catalysts","URL":"http://dx.doi.org/10.1038/s41467-017-00789-w","volume":"8","author":[{"family":"Ihli","given":"J."},{"family":"Jacob","given":"R. R."},{"family":"Holler","given":"M."},{"family":"Guizar-Sicairos","given":"M."},{"family":"Diaz","given":"A."},{"family":"Da Silva","given":"J. C."},{"family":"Ferreira Sanchez","given":"D."},{"family":"Krumeich","given":"F."},{"family":"Grolimund","given":"D."},{"family":"Taddei","given":"M."},{"family":"Cheng","given":"W. C."},{"family":"Shu","given":"Y."},{"family":"Menzel","given":"A."},{"family":"Van Bokhoven","given":"J. A."}],"issued":{"date-parts":[["2017"]]}}}],"schema":"https://github.com/citation-style-language/schema/raw/master/csl-citation.json"} </w:instrText>
      </w:r>
      <w:r>
        <w:rPr>
          <w:rFonts w:cs="Times New Roman"/>
          <w:szCs w:val="20"/>
        </w:rPr>
        <w:fldChar w:fldCharType="separate"/>
      </w:r>
      <w:r>
        <w:rPr>
          <w:rFonts w:cs="Times New Roman"/>
          <w:vertAlign w:val="superscript"/>
        </w:rPr>
        <w:t>19,75</w:t>
      </w:r>
      <w:r>
        <w:rPr>
          <w:rFonts w:cs="Times New Roman"/>
          <w:szCs w:val="20"/>
        </w:rPr>
        <w:fldChar w:fldCharType="end"/>
      </w:r>
      <w:r>
        <w:rPr>
          <w:rFonts w:cs="Times New Roman"/>
          <w:szCs w:val="20"/>
        </w:rPr>
        <w:t xml:space="preserve"> Temperature-dependent density variations were neglected, as the thermal expansion of relevant components (Pd, </w:t>
      </w:r>
      <w:proofErr w:type="spellStart"/>
      <w:r>
        <w:rPr>
          <w:rFonts w:cs="Times New Roman"/>
          <w:szCs w:val="20"/>
        </w:rPr>
        <w:t>PdO</w:t>
      </w:r>
      <w:proofErr w:type="spellEnd"/>
      <w:r>
        <w:rPr>
          <w:rFonts w:cs="Times New Roman"/>
          <w:szCs w:val="20"/>
        </w:rPr>
        <w:t xml:space="preserve">, </w:t>
      </w:r>
      <w:proofErr w:type="spellStart"/>
      <w:r>
        <w:rPr>
          <w:rFonts w:cs="Times New Roman"/>
          <w:szCs w:val="20"/>
        </w:rPr>
        <w:t>SiO</w:t>
      </w:r>
      <w:proofErr w:type="spellEnd"/>
      <w:r>
        <w:rPr>
          <w:rFonts w:cs="Times New Roman"/>
          <w:szCs w:val="20"/>
        </w:rPr>
        <w:t>₂) is estimated to affect electron density by less than the spatial resolution (~2% volume expansion across the full thermal range). Considering a sample diameter of 7 µm and assuming a solid body of silica we should be able to observe the pillar to expand by &lt;50 nm as the temperature is raised to 830ºC. We don’t observe such an expansion, likely due to the pillars nanoporous and the support`s amorphous character, i.e. most of the volume expansion will translate to increased strain levels and local displacements below the spatial resolution level.</w:t>
      </w:r>
    </w:p>
    <w:p w14:paraId="3272A6D7" w14:textId="77777777" w:rsidR="004E6222" w:rsidRDefault="004E6222" w:rsidP="004E6222">
      <w:pPr>
        <w:spacing w:before="240" w:after="0" w:line="360" w:lineRule="auto"/>
        <w:rPr>
          <w:rFonts w:cs="Times New Roman"/>
          <w:b/>
          <w:bCs/>
          <w:szCs w:val="20"/>
        </w:rPr>
      </w:pPr>
      <w:r>
        <w:rPr>
          <w:rFonts w:cs="Times New Roman"/>
          <w:szCs w:val="20"/>
        </w:rPr>
        <w:br w:type="page"/>
      </w:r>
    </w:p>
    <w:p w14:paraId="73775AFF" w14:textId="77777777" w:rsidR="004E6222" w:rsidRDefault="004E6222" w:rsidP="004E6222">
      <w:pPr>
        <w:spacing w:before="240" w:line="360" w:lineRule="auto"/>
        <w:rPr>
          <w:rFonts w:cs="Times New Roman"/>
          <w:szCs w:val="20"/>
        </w:rPr>
      </w:pPr>
      <w:r>
        <w:rPr>
          <w:rFonts w:cs="Times New Roman"/>
          <w:b/>
          <w:szCs w:val="20"/>
        </w:rPr>
        <w:lastRenderedPageBreak/>
        <w:t>Supporting Movies S1&amp;2: Volume Renderings of the Ptychographic Tomograms.</w:t>
      </w:r>
      <w:r>
        <w:rPr>
          <w:rFonts w:cs="Times New Roman"/>
          <w:szCs w:val="20"/>
        </w:rPr>
        <w:t xml:space="preserve"> Shown are animated volume renderings and cuts through the silica support as well as volume renderings that depict the location of voxels carrying palladium particles. Specifically, shown is the increase and decrease in palladium as inferred from local changes in electron density as a function of temperature and atmosphere. Changes in atmosphere at 300°C and 750°C and the subsequent acquisition of </w:t>
      </w:r>
      <w:proofErr w:type="gramStart"/>
      <w:r>
        <w:rPr>
          <w:rFonts w:cs="Times New Roman"/>
          <w:szCs w:val="20"/>
        </w:rPr>
        <w:t>another</w:t>
      </w:r>
      <w:proofErr w:type="gramEnd"/>
      <w:r>
        <w:rPr>
          <w:rFonts w:cs="Times New Roman"/>
          <w:szCs w:val="20"/>
        </w:rPr>
        <w:t xml:space="preserve"> tomograms at these temperatures are denoted (</w:t>
      </w:r>
      <w:proofErr w:type="spellStart"/>
      <w:r>
        <w:rPr>
          <w:rFonts w:cs="Times New Roman"/>
          <w:szCs w:val="20"/>
        </w:rPr>
        <w:t>i</w:t>
      </w:r>
      <w:proofErr w:type="spellEnd"/>
      <w:r>
        <w:rPr>
          <w:rFonts w:cs="Times New Roman"/>
          <w:szCs w:val="20"/>
        </w:rPr>
        <w:t xml:space="preserve"> &amp; ii) in the movie. The display range for changes in palladium carrying voxel was limited to ± 1 </w:t>
      </w:r>
      <w:r>
        <w:rPr>
          <w:rFonts w:eastAsia="Times New Roman" w:cs="Times New Roman"/>
          <w:color w:val="000000"/>
          <w:szCs w:val="20"/>
          <w:lang w:eastAsia="de-CH"/>
        </w:rPr>
        <w:t>n</w:t>
      </w:r>
      <w:r>
        <w:rPr>
          <w:rFonts w:eastAsia="Times New Roman" w:cs="Times New Roman"/>
          <w:color w:val="000000"/>
          <w:szCs w:val="20"/>
          <w:vertAlign w:val="subscript"/>
          <w:lang w:eastAsia="de-CH"/>
        </w:rPr>
        <w:t>e</w:t>
      </w:r>
      <w:r>
        <w:rPr>
          <w:rFonts w:cs="Times New Roman"/>
          <w:szCs w:val="20"/>
        </w:rPr>
        <w:t xml:space="preserve"> </w:t>
      </w:r>
      <w:r>
        <w:rPr>
          <w:rFonts w:eastAsia="Times New Roman" w:cs="Times New Roman"/>
          <w:color w:val="000000"/>
          <w:szCs w:val="20"/>
          <w:lang w:eastAsia="de-CH"/>
        </w:rPr>
        <w:t>Å</w:t>
      </w:r>
      <w:r>
        <w:rPr>
          <w:rFonts w:eastAsia="Times New Roman" w:cs="Times New Roman"/>
          <w:color w:val="000000"/>
          <w:szCs w:val="20"/>
          <w:vertAlign w:val="superscript"/>
          <w:lang w:eastAsia="de-CH"/>
        </w:rPr>
        <w:t xml:space="preserve">-3 </w:t>
      </w:r>
      <w:r>
        <w:rPr>
          <w:rFonts w:eastAsia="Times New Roman" w:cs="Times New Roman"/>
          <w:color w:val="000000"/>
          <w:szCs w:val="20"/>
          <w:lang w:eastAsia="de-CH"/>
        </w:rPr>
        <w:t xml:space="preserve">for ease of visualisation. The maximum observed changes, although very infrequent, were on the order of </w:t>
      </w:r>
      <w:r>
        <w:rPr>
          <w:rFonts w:cs="Times New Roman"/>
          <w:szCs w:val="20"/>
        </w:rPr>
        <w:t xml:space="preserve">± 2.1 </w:t>
      </w:r>
      <w:r>
        <w:rPr>
          <w:rFonts w:eastAsia="Times New Roman" w:cs="Times New Roman"/>
          <w:color w:val="000000"/>
          <w:szCs w:val="20"/>
          <w:lang w:eastAsia="de-CH"/>
        </w:rPr>
        <w:t>n</w:t>
      </w:r>
      <w:r>
        <w:rPr>
          <w:rFonts w:eastAsia="Times New Roman" w:cs="Times New Roman"/>
          <w:color w:val="000000"/>
          <w:szCs w:val="20"/>
          <w:vertAlign w:val="subscript"/>
          <w:lang w:eastAsia="de-CH"/>
        </w:rPr>
        <w:t>e</w:t>
      </w:r>
      <w:r>
        <w:rPr>
          <w:rFonts w:cs="Times New Roman"/>
          <w:szCs w:val="20"/>
        </w:rPr>
        <w:t xml:space="preserve"> </w:t>
      </w:r>
      <w:r>
        <w:rPr>
          <w:rFonts w:eastAsia="Times New Roman" w:cs="Times New Roman"/>
          <w:color w:val="000000"/>
          <w:szCs w:val="20"/>
          <w:lang w:eastAsia="de-CH"/>
        </w:rPr>
        <w:t>Å</w:t>
      </w:r>
      <w:r>
        <w:rPr>
          <w:rFonts w:eastAsia="Times New Roman" w:cs="Times New Roman"/>
          <w:color w:val="000000"/>
          <w:szCs w:val="20"/>
          <w:vertAlign w:val="superscript"/>
          <w:lang w:eastAsia="de-CH"/>
        </w:rPr>
        <w:t>-3</w:t>
      </w:r>
      <w:r>
        <w:rPr>
          <w:rFonts w:eastAsia="Times New Roman" w:cs="Times New Roman"/>
          <w:color w:val="000000"/>
          <w:szCs w:val="20"/>
          <w:lang w:eastAsia="de-CH"/>
        </w:rPr>
        <w:t xml:space="preserve"> (Table S1) </w:t>
      </w:r>
    </w:p>
    <w:p w14:paraId="44EAE11F" w14:textId="77777777" w:rsidR="004E6222" w:rsidRDefault="004E6222" w:rsidP="004E6222">
      <w:pPr>
        <w:spacing w:before="240" w:line="360" w:lineRule="auto"/>
        <w:rPr>
          <w:rFonts w:cs="Times New Roman"/>
          <w:szCs w:val="20"/>
        </w:rPr>
      </w:pPr>
      <w:r>
        <w:rPr>
          <w:rFonts w:cs="Times New Roman"/>
          <w:b/>
          <w:szCs w:val="20"/>
        </w:rPr>
        <w:t>Supporting Movie S3&amp;4: Stationary and Transient Palladium Particles.</w:t>
      </w:r>
      <w:r>
        <w:rPr>
          <w:rFonts w:cs="Times New Roman"/>
          <w:szCs w:val="20"/>
        </w:rPr>
        <w:t xml:space="preserve"> Provided is an animated volume rendering that shows the location of voxels that either carry stationary particle(s) (violet) or were temporarily occupied by a palladium particle (blue) over the course of the experiment.</w:t>
      </w:r>
    </w:p>
    <w:p w14:paraId="01CB3F1A" w14:textId="77777777" w:rsidR="004E6222" w:rsidRDefault="004E6222" w:rsidP="004E6222">
      <w:pPr>
        <w:spacing w:after="0" w:line="360" w:lineRule="auto"/>
        <w:rPr>
          <w:rFonts w:cs="Times New Roman"/>
          <w:szCs w:val="20"/>
        </w:rPr>
      </w:pPr>
    </w:p>
    <w:p w14:paraId="2BE38B41" w14:textId="77777777" w:rsidR="00767E38" w:rsidRDefault="00767E38"/>
    <w:sectPr w:rsidR="00767E3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E6222"/>
    <w:rsid w:val="001276B7"/>
    <w:rsid w:val="004E6222"/>
    <w:rsid w:val="00767E38"/>
    <w:rsid w:val="00866F7D"/>
    <w:rsid w:val="00EE5CC4"/>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9935FD"/>
  <w15:chartTrackingRefBased/>
  <w15:docId w15:val="{29E4A115-C8AA-4E41-BECB-0DAD2D90AE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E6222"/>
    <w:pPr>
      <w:spacing w:before="120" w:after="240" w:line="256" w:lineRule="auto"/>
      <w:jc w:val="both"/>
    </w:pPr>
    <w:rPr>
      <w:rFonts w:ascii="Times New Roman" w:eastAsiaTheme="minorEastAsia" w:hAnsi="Times New Roman"/>
      <w:kern w:val="0"/>
      <w:sz w:val="20"/>
      <w:szCs w:val="22"/>
      <w:lang w:val="en-GB" w:eastAsia="de-DE"/>
      <w14:ligatures w14:val="none"/>
    </w:rPr>
  </w:style>
  <w:style w:type="paragraph" w:styleId="Heading1">
    <w:name w:val="heading 1"/>
    <w:basedOn w:val="Normal"/>
    <w:next w:val="Normal"/>
    <w:link w:val="Heading1Char"/>
    <w:uiPriority w:val="9"/>
    <w:qFormat/>
    <w:rsid w:val="004E6222"/>
    <w:pPr>
      <w:keepNext/>
      <w:keepLines/>
      <w:spacing w:before="360" w:after="80" w:line="278" w:lineRule="auto"/>
      <w:jc w:val="left"/>
      <w:outlineLvl w:val="0"/>
    </w:pPr>
    <w:rPr>
      <w:rFonts w:asciiTheme="majorHAnsi" w:eastAsiaTheme="majorEastAsia" w:hAnsiTheme="majorHAnsi" w:cstheme="majorBidi"/>
      <w:color w:val="0F4761" w:themeColor="accent1" w:themeShade="BF"/>
      <w:kern w:val="2"/>
      <w:sz w:val="40"/>
      <w:szCs w:val="40"/>
      <w:lang w:val="en-IN" w:eastAsia="en-US"/>
      <w14:ligatures w14:val="standardContextual"/>
    </w:rPr>
  </w:style>
  <w:style w:type="paragraph" w:styleId="Heading2">
    <w:name w:val="heading 2"/>
    <w:basedOn w:val="Normal"/>
    <w:next w:val="Normal"/>
    <w:link w:val="Heading2Char"/>
    <w:uiPriority w:val="9"/>
    <w:semiHidden/>
    <w:unhideWhenUsed/>
    <w:qFormat/>
    <w:rsid w:val="004E6222"/>
    <w:pPr>
      <w:keepNext/>
      <w:keepLines/>
      <w:spacing w:before="160" w:after="80" w:line="278" w:lineRule="auto"/>
      <w:jc w:val="left"/>
      <w:outlineLvl w:val="1"/>
    </w:pPr>
    <w:rPr>
      <w:rFonts w:asciiTheme="majorHAnsi" w:eastAsiaTheme="majorEastAsia" w:hAnsiTheme="majorHAnsi" w:cstheme="majorBidi"/>
      <w:color w:val="0F4761" w:themeColor="accent1" w:themeShade="BF"/>
      <w:kern w:val="2"/>
      <w:sz w:val="32"/>
      <w:szCs w:val="32"/>
      <w:lang w:val="en-IN" w:eastAsia="en-US"/>
      <w14:ligatures w14:val="standardContextual"/>
    </w:rPr>
  </w:style>
  <w:style w:type="paragraph" w:styleId="Heading3">
    <w:name w:val="heading 3"/>
    <w:basedOn w:val="Normal"/>
    <w:next w:val="Normal"/>
    <w:link w:val="Heading3Char"/>
    <w:uiPriority w:val="9"/>
    <w:semiHidden/>
    <w:unhideWhenUsed/>
    <w:qFormat/>
    <w:rsid w:val="004E6222"/>
    <w:pPr>
      <w:keepNext/>
      <w:keepLines/>
      <w:spacing w:before="160" w:after="80" w:line="278" w:lineRule="auto"/>
      <w:jc w:val="left"/>
      <w:outlineLvl w:val="2"/>
    </w:pPr>
    <w:rPr>
      <w:rFonts w:asciiTheme="minorHAnsi" w:eastAsiaTheme="majorEastAsia" w:hAnsiTheme="minorHAnsi" w:cstheme="majorBidi"/>
      <w:color w:val="0F4761" w:themeColor="accent1" w:themeShade="BF"/>
      <w:kern w:val="2"/>
      <w:sz w:val="28"/>
      <w:szCs w:val="28"/>
      <w:lang w:val="en-IN" w:eastAsia="en-US"/>
      <w14:ligatures w14:val="standardContextual"/>
    </w:rPr>
  </w:style>
  <w:style w:type="paragraph" w:styleId="Heading4">
    <w:name w:val="heading 4"/>
    <w:basedOn w:val="Normal"/>
    <w:next w:val="Normal"/>
    <w:link w:val="Heading4Char"/>
    <w:uiPriority w:val="9"/>
    <w:semiHidden/>
    <w:unhideWhenUsed/>
    <w:qFormat/>
    <w:rsid w:val="004E6222"/>
    <w:pPr>
      <w:keepNext/>
      <w:keepLines/>
      <w:spacing w:before="80" w:after="40" w:line="278" w:lineRule="auto"/>
      <w:jc w:val="left"/>
      <w:outlineLvl w:val="3"/>
    </w:pPr>
    <w:rPr>
      <w:rFonts w:asciiTheme="minorHAnsi" w:eastAsiaTheme="majorEastAsia" w:hAnsiTheme="minorHAnsi" w:cstheme="majorBidi"/>
      <w:i/>
      <w:iCs/>
      <w:color w:val="0F4761" w:themeColor="accent1" w:themeShade="BF"/>
      <w:kern w:val="2"/>
      <w:sz w:val="24"/>
      <w:szCs w:val="24"/>
      <w:lang w:val="en-IN" w:eastAsia="en-US"/>
      <w14:ligatures w14:val="standardContextual"/>
    </w:rPr>
  </w:style>
  <w:style w:type="paragraph" w:styleId="Heading5">
    <w:name w:val="heading 5"/>
    <w:basedOn w:val="Normal"/>
    <w:next w:val="Normal"/>
    <w:link w:val="Heading5Char"/>
    <w:uiPriority w:val="9"/>
    <w:semiHidden/>
    <w:unhideWhenUsed/>
    <w:qFormat/>
    <w:rsid w:val="004E6222"/>
    <w:pPr>
      <w:keepNext/>
      <w:keepLines/>
      <w:spacing w:before="80" w:after="40" w:line="278" w:lineRule="auto"/>
      <w:jc w:val="left"/>
      <w:outlineLvl w:val="4"/>
    </w:pPr>
    <w:rPr>
      <w:rFonts w:asciiTheme="minorHAnsi" w:eastAsiaTheme="majorEastAsia" w:hAnsiTheme="minorHAnsi" w:cstheme="majorBidi"/>
      <w:color w:val="0F4761" w:themeColor="accent1" w:themeShade="BF"/>
      <w:kern w:val="2"/>
      <w:sz w:val="24"/>
      <w:szCs w:val="24"/>
      <w:lang w:val="en-IN" w:eastAsia="en-US"/>
      <w14:ligatures w14:val="standardContextual"/>
    </w:rPr>
  </w:style>
  <w:style w:type="paragraph" w:styleId="Heading6">
    <w:name w:val="heading 6"/>
    <w:basedOn w:val="Normal"/>
    <w:next w:val="Normal"/>
    <w:link w:val="Heading6Char"/>
    <w:uiPriority w:val="9"/>
    <w:semiHidden/>
    <w:unhideWhenUsed/>
    <w:qFormat/>
    <w:rsid w:val="004E6222"/>
    <w:pPr>
      <w:keepNext/>
      <w:keepLines/>
      <w:spacing w:before="40" w:after="0" w:line="278" w:lineRule="auto"/>
      <w:jc w:val="left"/>
      <w:outlineLvl w:val="5"/>
    </w:pPr>
    <w:rPr>
      <w:rFonts w:asciiTheme="minorHAnsi" w:eastAsiaTheme="majorEastAsia" w:hAnsiTheme="minorHAnsi" w:cstheme="majorBidi"/>
      <w:i/>
      <w:iCs/>
      <w:color w:val="595959" w:themeColor="text1" w:themeTint="A6"/>
      <w:kern w:val="2"/>
      <w:sz w:val="24"/>
      <w:szCs w:val="24"/>
      <w:lang w:val="en-IN" w:eastAsia="en-US"/>
      <w14:ligatures w14:val="standardContextual"/>
    </w:rPr>
  </w:style>
  <w:style w:type="paragraph" w:styleId="Heading7">
    <w:name w:val="heading 7"/>
    <w:basedOn w:val="Normal"/>
    <w:next w:val="Normal"/>
    <w:link w:val="Heading7Char"/>
    <w:uiPriority w:val="9"/>
    <w:semiHidden/>
    <w:unhideWhenUsed/>
    <w:qFormat/>
    <w:rsid w:val="004E6222"/>
    <w:pPr>
      <w:keepNext/>
      <w:keepLines/>
      <w:spacing w:before="40" w:after="0" w:line="278" w:lineRule="auto"/>
      <w:jc w:val="left"/>
      <w:outlineLvl w:val="6"/>
    </w:pPr>
    <w:rPr>
      <w:rFonts w:asciiTheme="minorHAnsi" w:eastAsiaTheme="majorEastAsia" w:hAnsiTheme="minorHAnsi" w:cstheme="majorBidi"/>
      <w:color w:val="595959" w:themeColor="text1" w:themeTint="A6"/>
      <w:kern w:val="2"/>
      <w:sz w:val="24"/>
      <w:szCs w:val="24"/>
      <w:lang w:val="en-IN" w:eastAsia="en-US"/>
      <w14:ligatures w14:val="standardContextual"/>
    </w:rPr>
  </w:style>
  <w:style w:type="paragraph" w:styleId="Heading8">
    <w:name w:val="heading 8"/>
    <w:basedOn w:val="Normal"/>
    <w:next w:val="Normal"/>
    <w:link w:val="Heading8Char"/>
    <w:uiPriority w:val="9"/>
    <w:semiHidden/>
    <w:unhideWhenUsed/>
    <w:qFormat/>
    <w:rsid w:val="004E6222"/>
    <w:pPr>
      <w:keepNext/>
      <w:keepLines/>
      <w:spacing w:before="0" w:after="0" w:line="278" w:lineRule="auto"/>
      <w:jc w:val="left"/>
      <w:outlineLvl w:val="7"/>
    </w:pPr>
    <w:rPr>
      <w:rFonts w:asciiTheme="minorHAnsi" w:eastAsiaTheme="majorEastAsia" w:hAnsiTheme="minorHAnsi" w:cstheme="majorBidi"/>
      <w:i/>
      <w:iCs/>
      <w:color w:val="272727" w:themeColor="text1" w:themeTint="D8"/>
      <w:kern w:val="2"/>
      <w:sz w:val="24"/>
      <w:szCs w:val="24"/>
      <w:lang w:val="en-IN" w:eastAsia="en-US"/>
      <w14:ligatures w14:val="standardContextual"/>
    </w:rPr>
  </w:style>
  <w:style w:type="paragraph" w:styleId="Heading9">
    <w:name w:val="heading 9"/>
    <w:basedOn w:val="Normal"/>
    <w:next w:val="Normal"/>
    <w:link w:val="Heading9Char"/>
    <w:uiPriority w:val="9"/>
    <w:semiHidden/>
    <w:unhideWhenUsed/>
    <w:qFormat/>
    <w:rsid w:val="004E6222"/>
    <w:pPr>
      <w:keepNext/>
      <w:keepLines/>
      <w:spacing w:before="0" w:after="0" w:line="278" w:lineRule="auto"/>
      <w:jc w:val="left"/>
      <w:outlineLvl w:val="8"/>
    </w:pPr>
    <w:rPr>
      <w:rFonts w:asciiTheme="minorHAnsi" w:eastAsiaTheme="majorEastAsia" w:hAnsiTheme="minorHAnsi" w:cstheme="majorBidi"/>
      <w:color w:val="272727" w:themeColor="text1" w:themeTint="D8"/>
      <w:kern w:val="2"/>
      <w:sz w:val="24"/>
      <w:szCs w:val="24"/>
      <w:lang w:val="en-IN" w:eastAsia="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E622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E622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E622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E622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E622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E622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E622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E622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E6222"/>
    <w:rPr>
      <w:rFonts w:eastAsiaTheme="majorEastAsia" w:cstheme="majorBidi"/>
      <w:color w:val="272727" w:themeColor="text1" w:themeTint="D8"/>
    </w:rPr>
  </w:style>
  <w:style w:type="paragraph" w:styleId="Title">
    <w:name w:val="Title"/>
    <w:basedOn w:val="Normal"/>
    <w:next w:val="Normal"/>
    <w:link w:val="TitleChar"/>
    <w:uiPriority w:val="10"/>
    <w:qFormat/>
    <w:rsid w:val="004E6222"/>
    <w:pPr>
      <w:spacing w:before="0" w:after="80" w:line="240" w:lineRule="auto"/>
      <w:contextualSpacing/>
      <w:jc w:val="left"/>
    </w:pPr>
    <w:rPr>
      <w:rFonts w:asciiTheme="majorHAnsi" w:eastAsiaTheme="majorEastAsia" w:hAnsiTheme="majorHAnsi" w:cstheme="majorBidi"/>
      <w:spacing w:val="-10"/>
      <w:kern w:val="28"/>
      <w:sz w:val="56"/>
      <w:szCs w:val="56"/>
      <w:lang w:val="en-IN" w:eastAsia="en-US"/>
      <w14:ligatures w14:val="standardContextual"/>
    </w:rPr>
  </w:style>
  <w:style w:type="character" w:customStyle="1" w:styleId="TitleChar">
    <w:name w:val="Title Char"/>
    <w:basedOn w:val="DefaultParagraphFont"/>
    <w:link w:val="Title"/>
    <w:uiPriority w:val="10"/>
    <w:rsid w:val="004E622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E6222"/>
    <w:pPr>
      <w:numPr>
        <w:ilvl w:val="1"/>
      </w:numPr>
      <w:spacing w:before="0" w:after="160" w:line="278" w:lineRule="auto"/>
      <w:jc w:val="left"/>
    </w:pPr>
    <w:rPr>
      <w:rFonts w:asciiTheme="minorHAnsi" w:eastAsiaTheme="majorEastAsia" w:hAnsiTheme="minorHAnsi" w:cstheme="majorBidi"/>
      <w:color w:val="595959" w:themeColor="text1" w:themeTint="A6"/>
      <w:spacing w:val="15"/>
      <w:kern w:val="2"/>
      <w:sz w:val="28"/>
      <w:szCs w:val="28"/>
      <w:lang w:val="en-IN" w:eastAsia="en-US"/>
      <w14:ligatures w14:val="standardContextual"/>
    </w:rPr>
  </w:style>
  <w:style w:type="character" w:customStyle="1" w:styleId="SubtitleChar">
    <w:name w:val="Subtitle Char"/>
    <w:basedOn w:val="DefaultParagraphFont"/>
    <w:link w:val="Subtitle"/>
    <w:uiPriority w:val="11"/>
    <w:rsid w:val="004E622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E6222"/>
    <w:pPr>
      <w:spacing w:before="160" w:after="160" w:line="278" w:lineRule="auto"/>
      <w:jc w:val="center"/>
    </w:pPr>
    <w:rPr>
      <w:rFonts w:asciiTheme="minorHAnsi" w:eastAsiaTheme="minorHAnsi" w:hAnsiTheme="minorHAnsi"/>
      <w:i/>
      <w:iCs/>
      <w:color w:val="404040" w:themeColor="text1" w:themeTint="BF"/>
      <w:kern w:val="2"/>
      <w:sz w:val="24"/>
      <w:szCs w:val="24"/>
      <w:lang w:val="en-IN" w:eastAsia="en-US"/>
      <w14:ligatures w14:val="standardContextual"/>
    </w:rPr>
  </w:style>
  <w:style w:type="character" w:customStyle="1" w:styleId="QuoteChar">
    <w:name w:val="Quote Char"/>
    <w:basedOn w:val="DefaultParagraphFont"/>
    <w:link w:val="Quote"/>
    <w:uiPriority w:val="29"/>
    <w:rsid w:val="004E6222"/>
    <w:rPr>
      <w:i/>
      <w:iCs/>
      <w:color w:val="404040" w:themeColor="text1" w:themeTint="BF"/>
    </w:rPr>
  </w:style>
  <w:style w:type="paragraph" w:styleId="ListParagraph">
    <w:name w:val="List Paragraph"/>
    <w:basedOn w:val="Normal"/>
    <w:uiPriority w:val="34"/>
    <w:qFormat/>
    <w:rsid w:val="004E6222"/>
    <w:pPr>
      <w:spacing w:before="0" w:after="160" w:line="278" w:lineRule="auto"/>
      <w:ind w:left="720"/>
      <w:contextualSpacing/>
      <w:jc w:val="left"/>
    </w:pPr>
    <w:rPr>
      <w:rFonts w:asciiTheme="minorHAnsi" w:eastAsiaTheme="minorHAnsi" w:hAnsiTheme="minorHAnsi"/>
      <w:kern w:val="2"/>
      <w:sz w:val="24"/>
      <w:szCs w:val="24"/>
      <w:lang w:val="en-IN" w:eastAsia="en-US"/>
      <w14:ligatures w14:val="standardContextual"/>
    </w:rPr>
  </w:style>
  <w:style w:type="character" w:styleId="IntenseEmphasis">
    <w:name w:val="Intense Emphasis"/>
    <w:basedOn w:val="DefaultParagraphFont"/>
    <w:uiPriority w:val="21"/>
    <w:qFormat/>
    <w:rsid w:val="004E6222"/>
    <w:rPr>
      <w:i/>
      <w:iCs/>
      <w:color w:val="0F4761" w:themeColor="accent1" w:themeShade="BF"/>
    </w:rPr>
  </w:style>
  <w:style w:type="paragraph" w:styleId="IntenseQuote">
    <w:name w:val="Intense Quote"/>
    <w:basedOn w:val="Normal"/>
    <w:next w:val="Normal"/>
    <w:link w:val="IntenseQuoteChar"/>
    <w:uiPriority w:val="30"/>
    <w:qFormat/>
    <w:rsid w:val="004E6222"/>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eastAsiaTheme="minorHAnsi" w:hAnsiTheme="minorHAnsi"/>
      <w:i/>
      <w:iCs/>
      <w:color w:val="0F4761" w:themeColor="accent1" w:themeShade="BF"/>
      <w:kern w:val="2"/>
      <w:sz w:val="24"/>
      <w:szCs w:val="24"/>
      <w:lang w:val="en-IN" w:eastAsia="en-US"/>
      <w14:ligatures w14:val="standardContextual"/>
    </w:rPr>
  </w:style>
  <w:style w:type="character" w:customStyle="1" w:styleId="IntenseQuoteChar">
    <w:name w:val="Intense Quote Char"/>
    <w:basedOn w:val="DefaultParagraphFont"/>
    <w:link w:val="IntenseQuote"/>
    <w:uiPriority w:val="30"/>
    <w:rsid w:val="004E6222"/>
    <w:rPr>
      <w:i/>
      <w:iCs/>
      <w:color w:val="0F4761" w:themeColor="accent1" w:themeShade="BF"/>
    </w:rPr>
  </w:style>
  <w:style w:type="character" w:styleId="IntenseReference">
    <w:name w:val="Intense Reference"/>
    <w:basedOn w:val="DefaultParagraphFont"/>
    <w:uiPriority w:val="32"/>
    <w:qFormat/>
    <w:rsid w:val="004E6222"/>
    <w:rPr>
      <w:b/>
      <w:bCs/>
      <w:smallCaps/>
      <w:color w:val="0F4761" w:themeColor="accent1" w:themeShade="BF"/>
      <w:spacing w:val="5"/>
    </w:rPr>
  </w:style>
  <w:style w:type="paragraph" w:styleId="List">
    <w:name w:val="List"/>
    <w:basedOn w:val="Normal"/>
    <w:uiPriority w:val="99"/>
    <w:semiHidden/>
    <w:unhideWhenUsed/>
    <w:rsid w:val="004E6222"/>
    <w:pPr>
      <w:spacing w:after="160"/>
      <w:ind w:left="283" w:hanging="283"/>
      <w:contextualSpacing/>
      <w:jc w:val="left"/>
    </w:pPr>
    <w:rPr>
      <w:rFonts w:asciiTheme="minorHAnsi" w:hAnsiTheme="minorHAnsi"/>
      <w:sz w:val="22"/>
      <w:lang w:eastAsia="zh-CN"/>
    </w:rPr>
  </w:style>
  <w:style w:type="paragraph" w:styleId="BodyText">
    <w:name w:val="Body Text"/>
    <w:basedOn w:val="Normal"/>
    <w:link w:val="BodyTextChar"/>
    <w:uiPriority w:val="99"/>
    <w:semiHidden/>
    <w:unhideWhenUsed/>
    <w:rsid w:val="004E6222"/>
    <w:pPr>
      <w:spacing w:after="120"/>
      <w:jc w:val="left"/>
    </w:pPr>
    <w:rPr>
      <w:rFonts w:asciiTheme="minorHAnsi" w:hAnsiTheme="minorHAnsi"/>
      <w:sz w:val="22"/>
      <w:lang w:eastAsia="zh-CN"/>
    </w:rPr>
  </w:style>
  <w:style w:type="character" w:customStyle="1" w:styleId="BodyTextChar">
    <w:name w:val="Body Text Char"/>
    <w:basedOn w:val="DefaultParagraphFont"/>
    <w:link w:val="BodyText"/>
    <w:uiPriority w:val="99"/>
    <w:semiHidden/>
    <w:rsid w:val="004E6222"/>
    <w:rPr>
      <w:rFonts w:eastAsiaTheme="minorEastAsia"/>
      <w:kern w:val="0"/>
      <w:sz w:val="22"/>
      <w:szCs w:val="22"/>
      <w:lang w:val="en-GB" w:eastAsia="zh-CN"/>
      <w14:ligatures w14:val="none"/>
    </w:rPr>
  </w:style>
  <w:style w:type="table" w:styleId="TableGrid">
    <w:name w:val="Table Grid"/>
    <w:basedOn w:val="TableNormal"/>
    <w:uiPriority w:val="39"/>
    <w:rsid w:val="004E6222"/>
    <w:pPr>
      <w:spacing w:after="0" w:line="240" w:lineRule="auto"/>
    </w:pPr>
    <w:rPr>
      <w:kern w:val="0"/>
      <w:sz w:val="22"/>
      <w:szCs w:val="22"/>
      <w:lang w:val="de-CH"/>
      <w14:ligatures w14:val="none"/>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basedOn w:val="DefaultParagraphFont"/>
    <w:uiPriority w:val="22"/>
    <w:qFormat/>
    <w:rsid w:val="004E6222"/>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426454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emf"/><Relationship Id="rId13" Type="http://schemas.openxmlformats.org/officeDocument/2006/relationships/image" Target="media/image10.png"/><Relationship Id="rId1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image" Target="media/image9.png"/><Relationship Id="rId17"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image" Target="media/image13.png"/><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8.png"/><Relationship Id="rId5" Type="http://schemas.openxmlformats.org/officeDocument/2006/relationships/image" Target="media/image2.png"/><Relationship Id="rId15" Type="http://schemas.openxmlformats.org/officeDocument/2006/relationships/image" Target="media/image12.png"/><Relationship Id="rId10" Type="http://schemas.openxmlformats.org/officeDocument/2006/relationships/image" Target="media/image7.png"/><Relationship Id="rId4" Type="http://schemas.openxmlformats.org/officeDocument/2006/relationships/image" Target="media/image1.png"/><Relationship Id="rId9" Type="http://schemas.openxmlformats.org/officeDocument/2006/relationships/image" Target="media/image6.emf"/><Relationship Id="rId14" Type="http://schemas.openxmlformats.org/officeDocument/2006/relationships/image" Target="media/image1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7</TotalTime>
  <Pages>17</Pages>
  <Words>1927</Words>
  <Characters>10796</Characters>
  <Application>Microsoft Office Word</Application>
  <DocSecurity>0</DocSecurity>
  <Lines>170</Lines>
  <Paragraphs>38</Paragraphs>
  <ScaleCrop>false</ScaleCrop>
  <Company/>
  <LinksUpToDate>false</LinksUpToDate>
  <CharactersWithSpaces>12698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Bhushan Tandale</dc:creator>
  <cp:keywords/>
  <dc:description/>
  <cp:lastModifiedBy>Bhushan Tandale</cp:lastModifiedBy>
  <cp:revision>1</cp:revision>
  <dcterms:created xsi:type="dcterms:W3CDTF">2025-11-05T08:21:00Z</dcterms:created>
  <dcterms:modified xsi:type="dcterms:W3CDTF">2025-11-05T08:28:00Z</dcterms:modified>
</cp:coreProperties>
</file>