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59ACD0">
      <w:pPr>
        <w:jc w:val="center"/>
        <w:rPr>
          <w:rFonts w:ascii="Times New Roman" w:hAnsi="Times New Roman" w:cs="Times New Roman"/>
          <w:b/>
          <w:bCs/>
          <w:sz w:val="28"/>
          <w:szCs w:val="28"/>
        </w:rPr>
      </w:pPr>
      <w:r>
        <w:rPr>
          <w:rFonts w:ascii="Times New Roman" w:hAnsi="Times New Roman" w:cs="Times New Roman"/>
          <w:b/>
          <w:bCs/>
          <w:sz w:val="28"/>
          <w:szCs w:val="28"/>
        </w:rPr>
        <w:t>Supplementary Information</w:t>
      </w:r>
    </w:p>
    <w:p w14:paraId="68AFDF93">
      <w:pPr>
        <w:rPr>
          <w:rFonts w:ascii="Times New Roman" w:hAnsi="Times New Roman" w:cs="Times New Roman"/>
        </w:rPr>
      </w:pPr>
    </w:p>
    <w:p w14:paraId="10034323">
      <w:pPr>
        <w:jc w:val="center"/>
        <w:rPr>
          <w:rFonts w:ascii="Times New Roman" w:hAnsi="Times New Roman" w:cs="Times New Roman"/>
          <w:b/>
          <w:bCs/>
        </w:rPr>
      </w:pPr>
      <w:r>
        <w:rPr>
          <w:rFonts w:ascii="Times New Roman" w:hAnsi="Times New Roman" w:cs="Times New Roman"/>
          <w:b/>
          <w:bCs/>
        </w:rPr>
        <w:t>Urbanization Reduces Hospital Accessibility Inequality in China</w:t>
      </w:r>
    </w:p>
    <w:p w14:paraId="24EAC30B">
      <w:pPr>
        <w:rPr>
          <w:rFonts w:ascii="Times New Roman" w:hAnsi="Times New Roman" w:cs="Times New Roman"/>
        </w:rPr>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4"/>
        <w:gridCol w:w="829"/>
        <w:gridCol w:w="807"/>
        <w:gridCol w:w="1756"/>
        <w:gridCol w:w="1778"/>
        <w:gridCol w:w="1878"/>
      </w:tblGrid>
      <w:tr w14:paraId="7A1CD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94" w:type="dxa"/>
          </w:tcPr>
          <w:p w14:paraId="0794E43C">
            <w:pPr>
              <w:spacing w:after="0" w:line="240" w:lineRule="auto"/>
              <w:jc w:val="both"/>
              <w:rPr>
                <w:rFonts w:ascii="Times New Roman" w:hAnsi="Times New Roman" w:cs="Times New Roman"/>
                <w:kern w:val="0"/>
                <w:sz w:val="22"/>
                <w:szCs w:val="22"/>
                <w14:ligatures w14:val="none"/>
              </w:rPr>
            </w:pPr>
            <w:bookmarkStart w:id="0" w:name="_GoBack"/>
            <w:bookmarkEnd w:id="0"/>
          </w:p>
        </w:tc>
        <w:tc>
          <w:tcPr>
            <w:tcW w:w="829" w:type="dxa"/>
          </w:tcPr>
          <w:p w14:paraId="7604747C">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b/>
                <w:kern w:val="0"/>
                <w:sz w:val="22"/>
                <w:szCs w:val="22"/>
                <w14:ligatures w14:val="none"/>
              </w:rPr>
              <w:t>Gini_pop</w:t>
            </w:r>
          </w:p>
        </w:tc>
        <w:tc>
          <w:tcPr>
            <w:tcW w:w="807" w:type="dxa"/>
          </w:tcPr>
          <w:p w14:paraId="23F5BD13">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b/>
                <w:kern w:val="0"/>
                <w:sz w:val="22"/>
                <w:szCs w:val="22"/>
                <w14:ligatures w14:val="none"/>
              </w:rPr>
              <w:t>Gini</w:t>
            </w:r>
          </w:p>
        </w:tc>
        <w:tc>
          <w:tcPr>
            <w:tcW w:w="1756" w:type="dxa"/>
          </w:tcPr>
          <w:p w14:paraId="2563377A">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b/>
                <w:kern w:val="0"/>
                <w:sz w:val="22"/>
                <w:szCs w:val="22"/>
                <w14:ligatures w14:val="none"/>
              </w:rPr>
              <w:t>gdp_pc_usd_2020</w:t>
            </w:r>
          </w:p>
        </w:tc>
        <w:tc>
          <w:tcPr>
            <w:tcW w:w="1778" w:type="dxa"/>
          </w:tcPr>
          <w:p w14:paraId="6A541849">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b/>
                <w:kern w:val="0"/>
                <w:sz w:val="22"/>
                <w:szCs w:val="22"/>
                <w14:ligatures w14:val="none"/>
              </w:rPr>
              <w:t>age65_share_2020</w:t>
            </w:r>
          </w:p>
        </w:tc>
        <w:tc>
          <w:tcPr>
            <w:tcW w:w="1878" w:type="dxa"/>
          </w:tcPr>
          <w:p w14:paraId="3734A7F9">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b/>
                <w:kern w:val="0"/>
                <w:sz w:val="22"/>
                <w:szCs w:val="22"/>
                <w14:ligatures w14:val="none"/>
              </w:rPr>
              <w:t>urbanization_rate_2020</w:t>
            </w:r>
          </w:p>
        </w:tc>
      </w:tr>
      <w:tr w14:paraId="66E1A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94" w:type="dxa"/>
          </w:tcPr>
          <w:p w14:paraId="3F047839">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Gini_pop</w:t>
            </w:r>
          </w:p>
        </w:tc>
        <w:tc>
          <w:tcPr>
            <w:tcW w:w="829" w:type="dxa"/>
          </w:tcPr>
          <w:p w14:paraId="2984ED43">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1.0</w:t>
            </w:r>
          </w:p>
        </w:tc>
        <w:tc>
          <w:tcPr>
            <w:tcW w:w="807" w:type="dxa"/>
          </w:tcPr>
          <w:p w14:paraId="6B8EF2E9">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0.872</w:t>
            </w:r>
          </w:p>
        </w:tc>
        <w:tc>
          <w:tcPr>
            <w:tcW w:w="1756" w:type="dxa"/>
          </w:tcPr>
          <w:p w14:paraId="6609D119">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-0.591</w:t>
            </w:r>
          </w:p>
        </w:tc>
        <w:tc>
          <w:tcPr>
            <w:tcW w:w="1778" w:type="dxa"/>
          </w:tcPr>
          <w:p w14:paraId="21A7A10C">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-0.404</w:t>
            </w:r>
          </w:p>
        </w:tc>
        <w:tc>
          <w:tcPr>
            <w:tcW w:w="1878" w:type="dxa"/>
          </w:tcPr>
          <w:p w14:paraId="36DA1197">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-0.701</w:t>
            </w:r>
          </w:p>
        </w:tc>
      </w:tr>
      <w:tr w14:paraId="0E02D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94" w:type="dxa"/>
          </w:tcPr>
          <w:p w14:paraId="7A80A29C">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Gini</w:t>
            </w:r>
          </w:p>
        </w:tc>
        <w:tc>
          <w:tcPr>
            <w:tcW w:w="829" w:type="dxa"/>
          </w:tcPr>
          <w:p w14:paraId="33EB23F2">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0.872</w:t>
            </w:r>
          </w:p>
        </w:tc>
        <w:tc>
          <w:tcPr>
            <w:tcW w:w="807" w:type="dxa"/>
          </w:tcPr>
          <w:p w14:paraId="5ECEDCB2">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1.0</w:t>
            </w:r>
          </w:p>
        </w:tc>
        <w:tc>
          <w:tcPr>
            <w:tcW w:w="1756" w:type="dxa"/>
          </w:tcPr>
          <w:p w14:paraId="40F57414">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-0.466</w:t>
            </w:r>
          </w:p>
        </w:tc>
        <w:tc>
          <w:tcPr>
            <w:tcW w:w="1778" w:type="dxa"/>
          </w:tcPr>
          <w:p w14:paraId="2372EDD2">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-0.53</w:t>
            </w:r>
          </w:p>
        </w:tc>
        <w:tc>
          <w:tcPr>
            <w:tcW w:w="1878" w:type="dxa"/>
          </w:tcPr>
          <w:p w14:paraId="0B1A60DE">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-0.568</w:t>
            </w:r>
          </w:p>
        </w:tc>
      </w:tr>
      <w:tr w14:paraId="67CE0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94" w:type="dxa"/>
          </w:tcPr>
          <w:p w14:paraId="1D9A5BC4">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gdp_pc_usd_2020</w:t>
            </w:r>
          </w:p>
        </w:tc>
        <w:tc>
          <w:tcPr>
            <w:tcW w:w="829" w:type="dxa"/>
          </w:tcPr>
          <w:p w14:paraId="45BF2F77">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-0.591</w:t>
            </w:r>
          </w:p>
        </w:tc>
        <w:tc>
          <w:tcPr>
            <w:tcW w:w="807" w:type="dxa"/>
          </w:tcPr>
          <w:p w14:paraId="528CCA16">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-0.466</w:t>
            </w:r>
          </w:p>
        </w:tc>
        <w:tc>
          <w:tcPr>
            <w:tcW w:w="1756" w:type="dxa"/>
          </w:tcPr>
          <w:p w14:paraId="7E31905F">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1.0</w:t>
            </w:r>
          </w:p>
        </w:tc>
        <w:tc>
          <w:tcPr>
            <w:tcW w:w="1778" w:type="dxa"/>
          </w:tcPr>
          <w:p w14:paraId="4E7C794F">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0.225</w:t>
            </w:r>
          </w:p>
        </w:tc>
        <w:tc>
          <w:tcPr>
            <w:tcW w:w="1878" w:type="dxa"/>
          </w:tcPr>
          <w:p w14:paraId="18469BA7">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0.817</w:t>
            </w:r>
          </w:p>
        </w:tc>
      </w:tr>
      <w:tr w14:paraId="013BB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94" w:type="dxa"/>
          </w:tcPr>
          <w:p w14:paraId="652ACEA8">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age65_share_2020</w:t>
            </w:r>
          </w:p>
        </w:tc>
        <w:tc>
          <w:tcPr>
            <w:tcW w:w="829" w:type="dxa"/>
          </w:tcPr>
          <w:p w14:paraId="3646EC88">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-0.404</w:t>
            </w:r>
          </w:p>
        </w:tc>
        <w:tc>
          <w:tcPr>
            <w:tcW w:w="807" w:type="dxa"/>
          </w:tcPr>
          <w:p w14:paraId="59ECEDA7">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-0.53</w:t>
            </w:r>
          </w:p>
        </w:tc>
        <w:tc>
          <w:tcPr>
            <w:tcW w:w="1756" w:type="dxa"/>
          </w:tcPr>
          <w:p w14:paraId="71660E1C">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0.225</w:t>
            </w:r>
          </w:p>
        </w:tc>
        <w:tc>
          <w:tcPr>
            <w:tcW w:w="1778" w:type="dxa"/>
          </w:tcPr>
          <w:p w14:paraId="73383E55">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1.0</w:t>
            </w:r>
          </w:p>
        </w:tc>
        <w:tc>
          <w:tcPr>
            <w:tcW w:w="1878" w:type="dxa"/>
          </w:tcPr>
          <w:p w14:paraId="4FBC2DF3">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0.438</w:t>
            </w:r>
          </w:p>
        </w:tc>
      </w:tr>
      <w:tr w14:paraId="3432E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94" w:type="dxa"/>
          </w:tcPr>
          <w:p w14:paraId="6A48F410">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urbanization_rate_2020</w:t>
            </w:r>
          </w:p>
        </w:tc>
        <w:tc>
          <w:tcPr>
            <w:tcW w:w="829" w:type="dxa"/>
          </w:tcPr>
          <w:p w14:paraId="0BC803BA">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-0.701</w:t>
            </w:r>
          </w:p>
        </w:tc>
        <w:tc>
          <w:tcPr>
            <w:tcW w:w="807" w:type="dxa"/>
          </w:tcPr>
          <w:p w14:paraId="1343A375">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-0.568</w:t>
            </w:r>
          </w:p>
        </w:tc>
        <w:tc>
          <w:tcPr>
            <w:tcW w:w="1756" w:type="dxa"/>
          </w:tcPr>
          <w:p w14:paraId="24E26B6A">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0.817</w:t>
            </w:r>
          </w:p>
        </w:tc>
        <w:tc>
          <w:tcPr>
            <w:tcW w:w="1778" w:type="dxa"/>
          </w:tcPr>
          <w:p w14:paraId="1D3F85EB">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0.438</w:t>
            </w:r>
          </w:p>
        </w:tc>
        <w:tc>
          <w:tcPr>
            <w:tcW w:w="1878" w:type="dxa"/>
          </w:tcPr>
          <w:p w14:paraId="29015BFE">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1.0</w:t>
            </w:r>
          </w:p>
        </w:tc>
      </w:tr>
    </w:tbl>
    <w:p w14:paraId="1A337EF0">
      <w:pPr>
        <w:jc w:val="both"/>
        <w:rPr>
          <w:rFonts w:ascii="Times New Roman" w:hAnsi="Times New Roman" w:cs="Times New Roman"/>
          <w:sz w:val="22"/>
          <w:szCs w:val="22"/>
        </w:rPr>
      </w:pPr>
      <w:r>
        <w:rPr>
          <w:rFonts w:ascii="Times New Roman" w:hAnsi="Times New Roman" w:cs="Times New Roman"/>
          <w:b/>
          <w:bCs/>
          <w:sz w:val="22"/>
          <w:szCs w:val="22"/>
        </w:rPr>
        <w:t>Table S1.</w:t>
      </w:r>
      <w:r>
        <w:rPr>
          <w:rFonts w:ascii="Times New Roman" w:hAnsi="Times New Roman" w:cs="Times New Roman"/>
          <w:sz w:val="22"/>
          <w:szCs w:val="22"/>
        </w:rPr>
        <w:t xml:space="preserve"> Pearson Correlation Matrix of Key Variables (2020)</w:t>
      </w:r>
    </w:p>
    <w:p w14:paraId="426A195D">
      <w:pPr>
        <w:jc w:val="both"/>
        <w:rPr>
          <w:rFonts w:ascii="Times New Roman" w:hAnsi="Times New Roman" w:cs="Times New Roman"/>
          <w:sz w:val="22"/>
          <w:szCs w:val="22"/>
        </w:rPr>
      </w:pPr>
      <w:r>
        <w:rPr>
          <w:rFonts w:ascii="Times New Roman" w:hAnsi="Times New Roman" w:cs="Times New Roman"/>
          <w:sz w:val="22"/>
          <w:szCs w:val="22"/>
        </w:rPr>
        <w:t>Legend: This table presents the Pearson correlation coefficients between all pairs of variables. The values quantify the strength and direction of linear relationships. The strong negative correlation (-0.701) between urbanization rate and Gini_pop provides initial, substantive evidence for the core relationship investigated. The high positive correlation (0.817) between GDP per capita and urbanization indicates significant multicollinearity, which helps explain the attenuated independent effect of GDP in the multivariate model.</w:t>
      </w:r>
    </w:p>
    <w:p w14:paraId="6B08E409">
      <w:pPr>
        <w:jc w:val="both"/>
        <w:rPr>
          <w:rFonts w:ascii="Times New Roman" w:hAnsi="Times New Roman" w:cs="Times New Roman"/>
          <w:sz w:val="22"/>
          <w:szCs w:val="22"/>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25"/>
        <w:gridCol w:w="2480"/>
        <w:gridCol w:w="3737"/>
      </w:tblGrid>
      <w:tr w14:paraId="73153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5" w:type="dxa"/>
          </w:tcPr>
          <w:p w14:paraId="20B255D4">
            <w:pPr>
              <w:spacing w:after="0" w:line="240" w:lineRule="auto"/>
              <w:jc w:val="both"/>
              <w:rPr>
                <w:rFonts w:ascii="Times New Roman" w:hAnsi="Times New Roman" w:cs="Times New Roman"/>
                <w:kern w:val="0"/>
                <w:sz w:val="22"/>
                <w:szCs w:val="22"/>
                <w14:ligatures w14:val="none"/>
              </w:rPr>
            </w:pPr>
          </w:p>
        </w:tc>
        <w:tc>
          <w:tcPr>
            <w:tcW w:w="2480" w:type="dxa"/>
          </w:tcPr>
          <w:p w14:paraId="74936327">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Statistic</w:t>
            </w:r>
          </w:p>
        </w:tc>
        <w:tc>
          <w:tcPr>
            <w:tcW w:w="3737" w:type="dxa"/>
          </w:tcPr>
          <w:p w14:paraId="554FD7C3">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Urbanization coefficient (LOO)</w:t>
            </w:r>
          </w:p>
        </w:tc>
      </w:tr>
      <w:tr w14:paraId="1605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5" w:type="dxa"/>
          </w:tcPr>
          <w:p w14:paraId="0F49B518">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w:t>
            </w:r>
          </w:p>
        </w:tc>
        <w:tc>
          <w:tcPr>
            <w:tcW w:w="2480" w:type="dxa"/>
          </w:tcPr>
          <w:p w14:paraId="19B50135">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Mean</w:t>
            </w:r>
          </w:p>
        </w:tc>
        <w:tc>
          <w:tcPr>
            <w:tcW w:w="3737" w:type="dxa"/>
          </w:tcPr>
          <w:p w14:paraId="4FFC1D87">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-0.00724</w:t>
            </w:r>
          </w:p>
        </w:tc>
      </w:tr>
      <w:tr w14:paraId="0F3EB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5" w:type="dxa"/>
          </w:tcPr>
          <w:p w14:paraId="71896D22">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1</w:t>
            </w:r>
          </w:p>
        </w:tc>
        <w:tc>
          <w:tcPr>
            <w:tcW w:w="2480" w:type="dxa"/>
          </w:tcPr>
          <w:p w14:paraId="402C977B">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SD</w:t>
            </w:r>
          </w:p>
        </w:tc>
        <w:tc>
          <w:tcPr>
            <w:tcW w:w="3737" w:type="dxa"/>
          </w:tcPr>
          <w:p w14:paraId="09BC1357">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0.00091</w:t>
            </w:r>
          </w:p>
        </w:tc>
      </w:tr>
      <w:tr w14:paraId="1F6AC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5" w:type="dxa"/>
          </w:tcPr>
          <w:p w14:paraId="745706B3">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2</w:t>
            </w:r>
          </w:p>
        </w:tc>
        <w:tc>
          <w:tcPr>
            <w:tcW w:w="2480" w:type="dxa"/>
          </w:tcPr>
          <w:p w14:paraId="49A8F16B">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Min</w:t>
            </w:r>
          </w:p>
        </w:tc>
        <w:tc>
          <w:tcPr>
            <w:tcW w:w="3737" w:type="dxa"/>
          </w:tcPr>
          <w:p w14:paraId="71428164">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-0.01105</w:t>
            </w:r>
          </w:p>
        </w:tc>
      </w:tr>
      <w:tr w14:paraId="6A795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5" w:type="dxa"/>
          </w:tcPr>
          <w:p w14:paraId="5F2B3F1E">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3</w:t>
            </w:r>
          </w:p>
        </w:tc>
        <w:tc>
          <w:tcPr>
            <w:tcW w:w="2480" w:type="dxa"/>
          </w:tcPr>
          <w:p w14:paraId="192149C0">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Max</w:t>
            </w:r>
          </w:p>
        </w:tc>
        <w:tc>
          <w:tcPr>
            <w:tcW w:w="3737" w:type="dxa"/>
          </w:tcPr>
          <w:p w14:paraId="2D171B26">
            <w:pPr>
              <w:spacing w:after="0" w:line="240" w:lineRule="auto"/>
              <w:jc w:val="both"/>
              <w:rPr>
                <w:rFonts w:ascii="Times New Roman" w:hAnsi="Times New Roman" w:cs="Times New Roman"/>
                <w:kern w:val="0"/>
                <w:sz w:val="22"/>
                <w:szCs w:val="22"/>
                <w14:ligatures w14:val="none"/>
              </w:rPr>
            </w:pPr>
            <w:r>
              <w:rPr>
                <w:rFonts w:ascii="Times New Roman" w:hAnsi="Times New Roman" w:cs="Times New Roman"/>
                <w:kern w:val="0"/>
                <w:sz w:val="22"/>
                <w:szCs w:val="22"/>
                <w14:ligatures w14:val="none"/>
              </w:rPr>
              <w:t>-0.00482</w:t>
            </w:r>
          </w:p>
        </w:tc>
      </w:tr>
    </w:tbl>
    <w:p w14:paraId="14D7AD72">
      <w:pPr>
        <w:jc w:val="both"/>
        <w:rPr>
          <w:rFonts w:ascii="Times New Roman" w:hAnsi="Times New Roman" w:cs="Times New Roman"/>
          <w:sz w:val="22"/>
          <w:szCs w:val="22"/>
        </w:rPr>
      </w:pPr>
      <w:r>
        <w:rPr>
          <w:rFonts w:ascii="Times New Roman" w:hAnsi="Times New Roman" w:cs="Times New Roman"/>
          <w:b/>
          <w:bCs/>
          <w:sz w:val="22"/>
          <w:szCs w:val="22"/>
        </w:rPr>
        <w:t>Table S2.</w:t>
      </w:r>
      <w:r>
        <w:rPr>
          <w:rFonts w:ascii="Times New Roman" w:hAnsi="Times New Roman" w:cs="Times New Roman"/>
          <w:sz w:val="22"/>
          <w:szCs w:val="22"/>
        </w:rPr>
        <w:t xml:space="preserve"> Leave-One-Out (LOO) Robustness Check for the Urbanization Coefficient</w:t>
      </w:r>
    </w:p>
    <w:p w14:paraId="3125A916">
      <w:pPr>
        <w:jc w:val="both"/>
        <w:rPr>
          <w:rFonts w:ascii="Times New Roman" w:hAnsi="Times New Roman" w:cs="Times New Roman"/>
          <w:sz w:val="22"/>
          <w:szCs w:val="22"/>
        </w:rPr>
      </w:pPr>
      <w:r>
        <w:rPr>
          <w:rFonts w:ascii="Times New Roman" w:hAnsi="Times New Roman" w:cs="Times New Roman"/>
          <w:sz w:val="22"/>
          <w:szCs w:val="22"/>
        </w:rPr>
        <w:t>Legend: This table summarizes the leave-one-out sensitivity analysis. The statistics (mean, SD, min, max) describe the distribution of the urbanization coefficient when each province is iteratively excluded. The stability of the mean coefficient around -0.00724, with a small standard deviation, means that the estimated negative association is robust and not unduly influenced by any single data point, lending credibility to the finding despite its lack of conventional statistical significance.</w:t>
      </w:r>
    </w:p>
    <w:p w14:paraId="4C04A435">
      <w:pPr>
        <w:jc w:val="both"/>
        <w:rPr>
          <w:rFonts w:ascii="Times New Roman" w:hAnsi="Times New Roman" w:cs="Times New Roman"/>
          <w:sz w:val="22"/>
          <w:szCs w:val="22"/>
        </w:rPr>
      </w:pPr>
    </w:p>
    <w:p w14:paraId="691C7100">
      <w:pPr>
        <w:jc w:val="center"/>
        <w:rPr>
          <w:rFonts w:ascii="Times New Roman" w:hAnsi="Times New Roman" w:cs="Times New Roman"/>
          <w:sz w:val="22"/>
          <w:szCs w:val="22"/>
        </w:rPr>
      </w:pPr>
      <w:r>
        <w:rPr>
          <w:rFonts w:ascii="Times New Roman" w:hAnsi="Times New Roman" w:cs="Times New Roman"/>
          <w:sz w:val="22"/>
          <w:szCs w:val="22"/>
        </w:rPr>
        <w:drawing>
          <wp:inline distT="0" distB="0" distL="114300" distR="114300">
            <wp:extent cx="5029200" cy="3017520"/>
            <wp:effectExtent l="0" t="0" r="0" b="0"/>
            <wp:docPr id="8" name="Picture 8" descr="A blue graph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lue graph with black text&#10;&#10;AI-generated content may be incorrect."/>
                    <pic:cNvPicPr>
                      <a:picLocks noChangeAspect="1"/>
                    </pic:cNvPicPr>
                  </pic:nvPicPr>
                  <pic:blipFill>
                    <a:blip r:embed="rId6"/>
                    <a:stretch>
                      <a:fillRect/>
                    </a:stretch>
                  </pic:blipFill>
                  <pic:spPr>
                    <a:xfrm>
                      <a:off x="0" y="0"/>
                      <a:ext cx="5029200" cy="3017520"/>
                    </a:xfrm>
                    <a:prstGeom prst="rect">
                      <a:avLst/>
                    </a:prstGeom>
                  </pic:spPr>
                </pic:pic>
              </a:graphicData>
            </a:graphic>
          </wp:inline>
        </w:drawing>
      </w:r>
    </w:p>
    <w:p w14:paraId="13675C1B">
      <w:pPr>
        <w:jc w:val="both"/>
        <w:rPr>
          <w:rFonts w:ascii="Times New Roman" w:hAnsi="Times New Roman" w:cs="Times New Roman"/>
          <w:sz w:val="22"/>
          <w:szCs w:val="22"/>
        </w:rPr>
      </w:pPr>
      <w:r>
        <w:rPr>
          <w:rFonts w:ascii="Times New Roman" w:hAnsi="Times New Roman" w:cs="Times New Roman"/>
          <w:b/>
          <w:bCs/>
          <w:sz w:val="22"/>
          <w:szCs w:val="22"/>
        </w:rPr>
        <w:t>Figure S1.</w:t>
      </w:r>
      <w:r>
        <w:rPr>
          <w:rFonts w:ascii="Times New Roman" w:hAnsi="Times New Roman" w:cs="Times New Roman"/>
          <w:sz w:val="22"/>
          <w:szCs w:val="22"/>
        </w:rPr>
        <w:t xml:space="preserve"> Distribution of the Population-Weighted Hospital Accessibility Gini Index (Gini_pop) Across Provinces, 2020</w:t>
      </w:r>
    </w:p>
    <w:p w14:paraId="7F45267C">
      <w:pPr>
        <w:jc w:val="both"/>
        <w:rPr>
          <w:rFonts w:ascii="Times New Roman" w:hAnsi="Times New Roman" w:cs="Times New Roman"/>
          <w:sz w:val="22"/>
          <w:szCs w:val="22"/>
        </w:rPr>
      </w:pPr>
      <w:r>
        <w:rPr>
          <w:rFonts w:ascii="Times New Roman" w:hAnsi="Times New Roman" w:cs="Times New Roman"/>
          <w:sz w:val="22"/>
          <w:szCs w:val="22"/>
        </w:rPr>
        <w:t>Legend: This histogram visualizes the distribution of the dependent variable. The position of each bar along the x-axis represents a range of inequality values, while its height shows the number of provinces within that range. The spread of values across a wide spectrum (from ~0.1 to ~0.76) means that provinces experience fundamentally different levels of spatial equity, graphically justifying the need for an analysis of underlying determinants like urbanization.</w:t>
      </w:r>
    </w:p>
    <w:p w14:paraId="6F00F942">
      <w:pPr>
        <w:jc w:val="both"/>
        <w:rPr>
          <w:rFonts w:ascii="Times New Roman" w:hAnsi="Times New Roman" w:cs="Times New Roman"/>
          <w:sz w:val="22"/>
          <w:szCs w:val="22"/>
        </w:rPr>
      </w:pPr>
    </w:p>
    <w:p w14:paraId="0327EE7C">
      <w:pPr>
        <w:jc w:val="both"/>
        <w:rPr>
          <w:rFonts w:ascii="Times New Roman" w:hAnsi="Times New Roman" w:cs="Times New Roman"/>
          <w:sz w:val="22"/>
          <w:szCs w:val="22"/>
        </w:rPr>
      </w:pPr>
    </w:p>
    <w:p w14:paraId="2DF4CA96">
      <w:pPr>
        <w:jc w:val="center"/>
        <w:rPr>
          <w:rFonts w:ascii="Times New Roman" w:hAnsi="Times New Roman" w:cs="Times New Roman"/>
          <w:sz w:val="22"/>
          <w:szCs w:val="22"/>
        </w:rPr>
      </w:pPr>
      <w:r>
        <w:rPr>
          <w:rFonts w:ascii="Times New Roman" w:hAnsi="Times New Roman" w:cs="Times New Roman"/>
          <w:sz w:val="22"/>
          <w:szCs w:val="22"/>
        </w:rPr>
        <w:drawing>
          <wp:inline distT="0" distB="0" distL="114300" distR="114300">
            <wp:extent cx="5029200" cy="3017520"/>
            <wp:effectExtent l="0" t="0" r="0" b="0"/>
            <wp:docPr id="11" name="Picture 11" descr="A graph with a red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graph with a red line&#10;&#10;AI-generated content may be incorrect."/>
                    <pic:cNvPicPr>
                      <a:picLocks noChangeAspect="1"/>
                    </pic:cNvPicPr>
                  </pic:nvPicPr>
                  <pic:blipFill>
                    <a:blip r:embed="rId7"/>
                    <a:stretch>
                      <a:fillRect/>
                    </a:stretch>
                  </pic:blipFill>
                  <pic:spPr>
                    <a:xfrm>
                      <a:off x="0" y="0"/>
                      <a:ext cx="5029200" cy="3017520"/>
                    </a:xfrm>
                    <a:prstGeom prst="rect">
                      <a:avLst/>
                    </a:prstGeom>
                  </pic:spPr>
                </pic:pic>
              </a:graphicData>
            </a:graphic>
          </wp:inline>
        </w:drawing>
      </w:r>
    </w:p>
    <w:p w14:paraId="1EB64301">
      <w:pPr>
        <w:jc w:val="both"/>
        <w:rPr>
          <w:rFonts w:ascii="Times New Roman" w:hAnsi="Times New Roman" w:cs="Times New Roman"/>
          <w:sz w:val="22"/>
          <w:szCs w:val="22"/>
        </w:rPr>
      </w:pPr>
      <w:r>
        <w:rPr>
          <w:rFonts w:ascii="Times New Roman" w:hAnsi="Times New Roman" w:cs="Times New Roman"/>
          <w:b/>
          <w:bCs/>
          <w:sz w:val="22"/>
          <w:szCs w:val="22"/>
        </w:rPr>
        <w:t>Figure S2.</w:t>
      </w:r>
      <w:r>
        <w:rPr>
          <w:rFonts w:ascii="Times New Roman" w:hAnsi="Times New Roman" w:cs="Times New Roman"/>
          <w:sz w:val="22"/>
          <w:szCs w:val="22"/>
        </w:rPr>
        <w:t xml:space="preserve"> Normal Q-Q Plot of Regression Residuals</w:t>
      </w:r>
    </w:p>
    <w:p w14:paraId="513540D6">
      <w:pPr>
        <w:jc w:val="both"/>
        <w:rPr>
          <w:rFonts w:ascii="Times New Roman" w:hAnsi="Times New Roman" w:cs="Times New Roman"/>
          <w:sz w:val="22"/>
          <w:szCs w:val="22"/>
        </w:rPr>
      </w:pPr>
      <w:r>
        <w:rPr>
          <w:rFonts w:ascii="Times New Roman" w:hAnsi="Times New Roman" w:cs="Times New Roman"/>
          <w:sz w:val="22"/>
          <w:szCs w:val="22"/>
        </w:rPr>
        <w:t>Legend: This Q-Q plot assesses the normality of the regression residuals. The position of each point compares the quantile of the actual residual distribution to the quantile of a theoretical normal distribution. The close alignment of points to the dashed 45-degree line means that the residuals' distribution does not substantially deviate from normality. This validates the use of statistical inference based on OLS assumptions for interpreting the regression results.</w:t>
      </w:r>
    </w:p>
    <w:p w14:paraId="230CB789">
      <w:pPr>
        <w:jc w:val="both"/>
        <w:rPr>
          <w:rFonts w:ascii="Times New Roman" w:hAnsi="Times New Roman" w:cs="Times New Roman"/>
          <w:sz w:val="22"/>
          <w:szCs w:val="22"/>
        </w:rPr>
      </w:pPr>
    </w:p>
    <w:p w14:paraId="48C277A7">
      <w:pPr>
        <w:jc w:val="both"/>
        <w:rPr>
          <w:rFonts w:ascii="Times New Roman" w:hAnsi="Times New Roman" w:cs="Times New Roman"/>
        </w:rPr>
      </w:pP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ptos">
    <w:altName w:val="ksdb"/>
    <w:panose1 w:val="00000000000000000000"/>
    <w:charset w:val="00"/>
    <w:family w:val="swiss"/>
    <w:pitch w:val="default"/>
    <w:sig w:usb0="00000000" w:usb1="00000000" w:usb2="00000000" w:usb3="00000000" w:csb0="0000019F" w:csb1="00000000"/>
  </w:font>
  <w:font w:name="ksdb">
    <w:panose1 w:val="02000500000000000000"/>
    <w:charset w:val="00"/>
    <w:family w:val="auto"/>
    <w:pitch w:val="default"/>
    <w:sig w:usb0="00000001"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Cordia New">
    <w:altName w:val="Yu Gothic UI Light"/>
    <w:panose1 w:val="020B0304020202020204"/>
    <w:charset w:val="00"/>
    <w:family w:val="swiss"/>
    <w:pitch w:val="default"/>
    <w:sig w:usb0="00000000" w:usb1="00000000" w:usb2="00000000" w:usb3="00000000" w:csb0="00010001" w:csb1="00000000"/>
  </w:font>
  <w:font w:name="Yu Gothic UI Light">
    <w:panose1 w:val="020B0300000000000000"/>
    <w:charset w:val="80"/>
    <w:family w:val="auto"/>
    <w:pitch w:val="default"/>
    <w:sig w:usb0="E00002FF" w:usb1="2AC7FDFF" w:usb2="00000016" w:usb3="00000000" w:csb0="2002009F" w:csb1="00000000"/>
  </w:font>
  <w:font w:name="Aptos Display">
    <w:altName w:val="ksdb"/>
    <w:panose1 w:val="00000000000000000000"/>
    <w:charset w:val="00"/>
    <w:family w:val="swiss"/>
    <w:pitch w:val="default"/>
    <w:sig w:usb0="00000000" w:usb1="00000000" w:usb2="00000000" w:usb3="00000000" w:csb0="0000019F" w:csb1="00000000"/>
  </w:font>
  <w:font w:name="等线 Light">
    <w:panose1 w:val="02010600030101010101"/>
    <w:charset w:val="86"/>
    <w:family w:val="auto"/>
    <w:pitch w:val="default"/>
    <w:sig w:usb0="A00002BF" w:usb1="38CF7CFA" w:usb2="00000016" w:usb3="00000000" w:csb0="0004000F" w:csb1="00000000"/>
  </w:font>
  <w:font w:name="Angsana New">
    <w:altName w:val="Times New Roman"/>
    <w:panose1 w:val="02020603050405020304"/>
    <w:charset w:val="00"/>
    <w:family w:val="roman"/>
    <w:pitch w:val="default"/>
    <w:sig w:usb0="00000000" w:usb1="00000000" w:usb2="00000000" w:usb3="00000000" w:csb0="0001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applyBreakingRules/>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334"/>
    <w:rsid w:val="00044D64"/>
    <w:rsid w:val="00146571"/>
    <w:rsid w:val="00365870"/>
    <w:rsid w:val="003A6054"/>
    <w:rsid w:val="005A7AFA"/>
    <w:rsid w:val="006D2E88"/>
    <w:rsid w:val="00924AA8"/>
    <w:rsid w:val="00AD22A6"/>
    <w:rsid w:val="00AE240D"/>
    <w:rsid w:val="00C15379"/>
    <w:rsid w:val="00CA4B6E"/>
    <w:rsid w:val="00DD5364"/>
    <w:rsid w:val="00EC77B1"/>
    <w:rsid w:val="00F44334"/>
    <w:rsid w:val="2BA00573"/>
    <w:rsid w:val="2EE56DEF"/>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qFormat="1"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8" w:lineRule="auto"/>
    </w:pPr>
    <w:rPr>
      <w:rFonts w:asciiTheme="minorHAnsi" w:hAnsiTheme="minorHAnsi" w:eastAsiaTheme="minorEastAsia" w:cstheme="minorBidi"/>
      <w:kern w:val="2"/>
      <w:sz w:val="24"/>
      <w:szCs w:val="30"/>
      <w:lang w:val="en-US" w:eastAsia="zh-CN" w:bidi="th-TH"/>
      <w14:ligatures w14:val="standardContextual"/>
    </w:rPr>
  </w:style>
  <w:style w:type="paragraph" w:styleId="2">
    <w:name w:val="heading 1"/>
    <w:basedOn w:val="1"/>
    <w:next w:val="1"/>
    <w:link w:val="19"/>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50"/>
    </w:rPr>
  </w:style>
  <w:style w:type="paragraph" w:styleId="3">
    <w:name w:val="heading 2"/>
    <w:basedOn w:val="1"/>
    <w:next w:val="1"/>
    <w:link w:val="20"/>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40"/>
    </w:rPr>
  </w:style>
  <w:style w:type="paragraph" w:styleId="4">
    <w:name w:val="heading 3"/>
    <w:basedOn w:val="1"/>
    <w:next w:val="1"/>
    <w:link w:val="21"/>
    <w:semiHidden/>
    <w:unhideWhenUsed/>
    <w:qFormat/>
    <w:uiPriority w:val="9"/>
    <w:pPr>
      <w:keepNext/>
      <w:keepLines/>
      <w:spacing w:before="160" w:after="80"/>
      <w:outlineLvl w:val="2"/>
    </w:pPr>
    <w:rPr>
      <w:rFonts w:eastAsiaTheme="majorEastAsia" w:cstheme="majorBidi"/>
      <w:color w:val="104862" w:themeColor="accent1" w:themeShade="BF"/>
      <w:sz w:val="28"/>
      <w:szCs w:val="35"/>
    </w:rPr>
  </w:style>
  <w:style w:type="paragraph" w:styleId="5">
    <w:name w:val="heading 4"/>
    <w:basedOn w:val="1"/>
    <w:next w:val="1"/>
    <w:link w:val="22"/>
    <w:semiHidden/>
    <w:unhideWhenUsed/>
    <w:qFormat/>
    <w:uiPriority w:val="9"/>
    <w:pPr>
      <w:keepNext/>
      <w:keepLines/>
      <w:spacing w:before="80" w:after="40"/>
      <w:outlineLvl w:val="3"/>
    </w:pPr>
    <w:rPr>
      <w:rFonts w:eastAsiaTheme="majorEastAsia" w:cstheme="majorBidi"/>
      <w:i/>
      <w:iCs/>
      <w:color w:val="104862" w:themeColor="accent1" w:themeShade="BF"/>
    </w:rPr>
  </w:style>
  <w:style w:type="paragraph" w:styleId="6">
    <w:name w:val="heading 5"/>
    <w:basedOn w:val="1"/>
    <w:next w:val="1"/>
    <w:link w:val="23"/>
    <w:semiHidden/>
    <w:unhideWhenUsed/>
    <w:qFormat/>
    <w:uiPriority w:val="9"/>
    <w:pPr>
      <w:keepNext/>
      <w:keepLines/>
      <w:spacing w:before="80" w:after="40"/>
      <w:outlineLvl w:val="4"/>
    </w:pPr>
    <w:rPr>
      <w:rFonts w:eastAsiaTheme="majorEastAsia" w:cstheme="majorBidi"/>
      <w:color w:val="104862" w:themeColor="accent1" w:themeShade="BF"/>
    </w:rPr>
  </w:style>
  <w:style w:type="paragraph" w:styleId="7">
    <w:name w:val="heading 6"/>
    <w:basedOn w:val="1"/>
    <w:next w:val="1"/>
    <w:link w:val="24"/>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5"/>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6"/>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7"/>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11">
    <w:name w:val="Subtitle"/>
    <w:basedOn w:val="1"/>
    <w:next w:val="1"/>
    <w:link w:val="29"/>
    <w:qFormat/>
    <w:uiPriority w:val="11"/>
    <w:rPr>
      <w:rFonts w:eastAsiaTheme="majorEastAsia" w:cstheme="majorBidi"/>
      <w:color w:val="595959" w:themeColor="text1" w:themeTint="A6"/>
      <w:spacing w:val="15"/>
      <w:sz w:val="28"/>
      <w:szCs w:val="35"/>
      <w14:textFill>
        <w14:solidFill>
          <w14:schemeClr w14:val="tx1">
            <w14:lumMod w14:val="65000"/>
            <w14:lumOff w14:val="35000"/>
          </w14:schemeClr>
        </w14:solidFill>
      </w14:textFill>
    </w:rPr>
  </w:style>
  <w:style w:type="paragraph" w:styleId="12">
    <w:name w:val="Title"/>
    <w:basedOn w:val="1"/>
    <w:next w:val="1"/>
    <w:link w:val="28"/>
    <w:qFormat/>
    <w:uiPriority w:val="10"/>
    <w:pPr>
      <w:spacing w:after="80" w:line="240" w:lineRule="auto"/>
      <w:contextualSpacing/>
    </w:pPr>
    <w:rPr>
      <w:rFonts w:asciiTheme="majorHAnsi" w:hAnsiTheme="majorHAnsi" w:eastAsiaTheme="majorEastAsia" w:cstheme="majorBidi"/>
      <w:spacing w:val="-10"/>
      <w:kern w:val="28"/>
      <w:sz w:val="56"/>
      <w:szCs w:val="71"/>
    </w:rPr>
  </w:style>
  <w:style w:type="table" w:styleId="14">
    <w:name w:val="Table Grid"/>
    <w:basedOn w:val="13"/>
    <w:qFormat/>
    <w:uiPriority w:val="59"/>
    <w:pPr>
      <w:spacing w:after="0" w:line="240" w:lineRule="auto"/>
    </w:pPr>
    <w:rPr>
      <w:kern w:val="0"/>
      <w:sz w:val="20"/>
      <w:szCs w:val="2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rPr>
  </w:style>
  <w:style w:type="character" w:styleId="17">
    <w:name w:val="Hyperlink"/>
    <w:basedOn w:val="15"/>
    <w:unhideWhenUsed/>
    <w:qFormat/>
    <w:uiPriority w:val="99"/>
    <w:rPr>
      <w:color w:val="467886" w:themeColor="hyperlink"/>
      <w:u w:val="single"/>
      <w14:textFill>
        <w14:solidFill>
          <w14:schemeClr w14:val="hlink"/>
        </w14:solidFill>
      </w14:textFill>
    </w:rPr>
  </w:style>
  <w:style w:type="character" w:styleId="18">
    <w:name w:val="HTML Code"/>
    <w:basedOn w:val="15"/>
    <w:semiHidden/>
    <w:unhideWhenUsed/>
    <w:qFormat/>
    <w:uiPriority w:val="99"/>
    <w:rPr>
      <w:rFonts w:ascii="Courier New" w:hAnsi="Courier New"/>
      <w:sz w:val="20"/>
    </w:rPr>
  </w:style>
  <w:style w:type="character" w:customStyle="1" w:styleId="19">
    <w:name w:val="Heading 1 Char"/>
    <w:basedOn w:val="15"/>
    <w:link w:val="2"/>
    <w:qFormat/>
    <w:uiPriority w:val="9"/>
    <w:rPr>
      <w:rFonts w:asciiTheme="majorHAnsi" w:hAnsiTheme="majorHAnsi" w:eastAsiaTheme="majorEastAsia" w:cstheme="majorBidi"/>
      <w:color w:val="104862" w:themeColor="accent1" w:themeShade="BF"/>
      <w:sz w:val="40"/>
      <w:szCs w:val="50"/>
    </w:rPr>
  </w:style>
  <w:style w:type="character" w:customStyle="1" w:styleId="20">
    <w:name w:val="Heading 2 Char"/>
    <w:basedOn w:val="15"/>
    <w:link w:val="3"/>
    <w:semiHidden/>
    <w:qFormat/>
    <w:uiPriority w:val="9"/>
    <w:rPr>
      <w:rFonts w:asciiTheme="majorHAnsi" w:hAnsiTheme="majorHAnsi" w:eastAsiaTheme="majorEastAsia" w:cstheme="majorBidi"/>
      <w:color w:val="104862" w:themeColor="accent1" w:themeShade="BF"/>
      <w:sz w:val="32"/>
      <w:szCs w:val="40"/>
    </w:rPr>
  </w:style>
  <w:style w:type="character" w:customStyle="1" w:styleId="21">
    <w:name w:val="Heading 3 Char"/>
    <w:basedOn w:val="15"/>
    <w:link w:val="4"/>
    <w:semiHidden/>
    <w:qFormat/>
    <w:uiPriority w:val="9"/>
    <w:rPr>
      <w:rFonts w:eastAsiaTheme="majorEastAsia" w:cstheme="majorBidi"/>
      <w:color w:val="104862" w:themeColor="accent1" w:themeShade="BF"/>
      <w:sz w:val="28"/>
      <w:szCs w:val="35"/>
    </w:rPr>
  </w:style>
  <w:style w:type="character" w:customStyle="1" w:styleId="22">
    <w:name w:val="Heading 4 Char"/>
    <w:basedOn w:val="15"/>
    <w:link w:val="5"/>
    <w:semiHidden/>
    <w:qFormat/>
    <w:uiPriority w:val="9"/>
    <w:rPr>
      <w:rFonts w:eastAsiaTheme="majorEastAsia" w:cstheme="majorBidi"/>
      <w:i/>
      <w:iCs/>
      <w:color w:val="104862" w:themeColor="accent1" w:themeShade="BF"/>
    </w:rPr>
  </w:style>
  <w:style w:type="character" w:customStyle="1" w:styleId="23">
    <w:name w:val="Heading 5 Char"/>
    <w:basedOn w:val="15"/>
    <w:link w:val="6"/>
    <w:semiHidden/>
    <w:qFormat/>
    <w:uiPriority w:val="9"/>
    <w:rPr>
      <w:rFonts w:eastAsiaTheme="majorEastAsia" w:cstheme="majorBidi"/>
      <w:color w:val="104862" w:themeColor="accent1" w:themeShade="BF"/>
    </w:rPr>
  </w:style>
  <w:style w:type="character" w:customStyle="1" w:styleId="24">
    <w:name w:val="Heading 6 Char"/>
    <w:basedOn w:val="15"/>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5">
    <w:name w:val="Heading 7 Char"/>
    <w:basedOn w:val="15"/>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Heading 8 Char"/>
    <w:basedOn w:val="15"/>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7">
    <w:name w:val="Heading 9 Char"/>
    <w:basedOn w:val="15"/>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8">
    <w:name w:val="Title Char"/>
    <w:basedOn w:val="15"/>
    <w:link w:val="12"/>
    <w:qFormat/>
    <w:uiPriority w:val="10"/>
    <w:rPr>
      <w:rFonts w:asciiTheme="majorHAnsi" w:hAnsiTheme="majorHAnsi" w:eastAsiaTheme="majorEastAsia" w:cstheme="majorBidi"/>
      <w:spacing w:val="-10"/>
      <w:kern w:val="28"/>
      <w:sz w:val="56"/>
      <w:szCs w:val="71"/>
    </w:rPr>
  </w:style>
  <w:style w:type="character" w:customStyle="1" w:styleId="29">
    <w:name w:val="Subtitle Char"/>
    <w:basedOn w:val="15"/>
    <w:link w:val="11"/>
    <w:qFormat/>
    <w:uiPriority w:val="11"/>
    <w:rPr>
      <w:rFonts w:eastAsiaTheme="majorEastAsia" w:cstheme="majorBidi"/>
      <w:color w:val="595959" w:themeColor="text1" w:themeTint="A6"/>
      <w:spacing w:val="15"/>
      <w:sz w:val="28"/>
      <w:szCs w:val="35"/>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1">
    <w:name w:val="Quote Char"/>
    <w:basedOn w:val="15"/>
    <w:link w:val="30"/>
    <w:qFormat/>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34"/>
    <w:pPr>
      <w:ind w:left="720"/>
      <w:contextualSpacing/>
    </w:pPr>
  </w:style>
  <w:style w:type="character" w:customStyle="1" w:styleId="33">
    <w:name w:val="Intense Emphasis"/>
    <w:basedOn w:val="15"/>
    <w:qFormat/>
    <w:uiPriority w:val="21"/>
    <w:rPr>
      <w:i/>
      <w:iCs/>
      <w:color w:val="104862" w:themeColor="accent1" w:themeShade="BF"/>
    </w:rPr>
  </w:style>
  <w:style w:type="paragraph" w:styleId="34">
    <w:name w:val="Intense Quote"/>
    <w:basedOn w:val="1"/>
    <w:next w:val="1"/>
    <w:link w:val="35"/>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5">
    <w:name w:val="Intense Quote Char"/>
    <w:basedOn w:val="15"/>
    <w:link w:val="34"/>
    <w:qFormat/>
    <w:uiPriority w:val="30"/>
    <w:rPr>
      <w:i/>
      <w:iCs/>
      <w:color w:val="104862" w:themeColor="accent1" w:themeShade="BF"/>
    </w:rPr>
  </w:style>
  <w:style w:type="character" w:customStyle="1" w:styleId="36">
    <w:name w:val="Intense Reference"/>
    <w:basedOn w:val="15"/>
    <w:qFormat/>
    <w:uiPriority w:val="32"/>
    <w:rPr>
      <w:b/>
      <w:bCs/>
      <w:smallCaps/>
      <w:color w:val="104862" w:themeColor="accent1" w:themeShade="BF"/>
      <w:spacing w:val="5"/>
    </w:rPr>
  </w:style>
  <w:style w:type="character" w:customStyle="1" w:styleId="37">
    <w:name w:val="Unresolved Mention"/>
    <w:basedOn w:val="1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403</Words>
  <Characters>2601</Characters>
  <Lines>26</Lines>
  <Paragraphs>22</Paragraphs>
  <TotalTime>61</TotalTime>
  <ScaleCrop>false</ScaleCrop>
  <LinksUpToDate>false</LinksUpToDate>
  <CharactersWithSpaces>2941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2025-09-26T10:44:00Z</dcterms:created>
  <dc:creator>Cason -</dc:creator>
  <cp:lastModifiedBy>阿栋</cp:lastModifiedBy>
  <dcterms:modified xsi:type="dcterms:W3CDTF">2025-10-21T13:30:12Z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eyJoZGlkIjoiZDQ0YmNhNzAyYmU2ZWI1ODRkMGY1MGMyZmM0YTllMmYiLCJ1c2VySWQiOiIyNjI5MjM0ODUifQ==</vt:lpwstr>
  </property>
  <property fmtid="{D5CDD505-2E9C-101B-9397-08002B2CF9AE}" pid="3" name="KSOProductBuildVer">
    <vt:lpwstr>2052-12.1.0.23125</vt:lpwstr>
  </property>
  <property fmtid="{D5CDD505-2E9C-101B-9397-08002B2CF9AE}" pid="4" name="ICV">
    <vt:lpwstr>4944363736DD4F5F92095D18E33FFD2C_12</vt:lpwstr>
  </property>
</Properties>
</file>