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30492" w14:textId="77777777" w:rsidR="004274FC" w:rsidRPr="009A5090" w:rsidRDefault="004274FC" w:rsidP="004274FC">
      <w:pPr>
        <w:pStyle w:val="paragraph"/>
        <w:spacing w:before="0" w:beforeAutospacing="0" w:after="0" w:afterAutospacing="0" w:line="360" w:lineRule="auto"/>
        <w:ind w:left="2295" w:hanging="2295"/>
        <w:jc w:val="center"/>
        <w:textAlignment w:val="baseline"/>
        <w:rPr>
          <w:rStyle w:val="eop"/>
          <w:rFonts w:ascii="Times New Roman" w:eastAsia="HYSinMyeongJo-Medium" w:hAnsi="Times New Roman" w:cs="Times New Roman"/>
          <w:color w:val="000000"/>
          <w:sz w:val="32"/>
          <w:szCs w:val="32"/>
        </w:rPr>
      </w:pPr>
      <w:bookmarkStart w:id="0" w:name="_Hlk200120455"/>
      <w:r w:rsidRPr="009A5090">
        <w:rPr>
          <w:rStyle w:val="normaltextrun"/>
          <w:rFonts w:ascii="Times New Roman" w:eastAsia="HYSinMyeongJo-Medium" w:hAnsi="Times New Roman" w:cs="Times New Roman"/>
          <w:b/>
          <w:bCs/>
          <w:color w:val="000000"/>
          <w:sz w:val="32"/>
          <w:szCs w:val="32"/>
        </w:rPr>
        <w:t>Appendix</w:t>
      </w:r>
      <w:r w:rsidRPr="009A5090">
        <w:rPr>
          <w:rStyle w:val="eop"/>
          <w:rFonts w:ascii="Times New Roman" w:eastAsia="HYSinMyeongJo-Medium" w:hAnsi="Times New Roman" w:cs="Times New Roman"/>
          <w:color w:val="000000"/>
          <w:sz w:val="32"/>
          <w:szCs w:val="32"/>
        </w:rPr>
        <w:t> </w:t>
      </w:r>
    </w:p>
    <w:p w14:paraId="0D634104" w14:textId="77777777" w:rsidR="004274FC" w:rsidRPr="009A5090" w:rsidRDefault="004274FC" w:rsidP="004274FC">
      <w:pPr>
        <w:pStyle w:val="paragraph"/>
        <w:spacing w:before="0" w:beforeAutospacing="0" w:after="0" w:afterAutospacing="0" w:line="360" w:lineRule="auto"/>
        <w:ind w:left="2295" w:hanging="2295"/>
        <w:jc w:val="center"/>
        <w:textAlignment w:val="baseline"/>
        <w:rPr>
          <w:rStyle w:val="eop"/>
          <w:rFonts w:ascii="Times New Roman" w:eastAsia="HYSinMyeongJo-Medium" w:hAnsi="Times New Roman" w:cs="Times New Roman"/>
          <w:color w:val="000000"/>
          <w:sz w:val="32"/>
          <w:szCs w:val="32"/>
        </w:rPr>
      </w:pPr>
    </w:p>
    <w:p w14:paraId="33C1E030" w14:textId="77777777" w:rsidR="004274FC" w:rsidRPr="009A5090" w:rsidRDefault="004274FC" w:rsidP="004274FC">
      <w:pPr>
        <w:spacing w:line="360" w:lineRule="auto"/>
        <w:ind w:left="2308" w:hanging="2308"/>
        <w:textAlignment w:val="baseline"/>
        <w:rPr>
          <w:rFonts w:ascii="Times New Roman" w:eastAsia="HYSinMyeongJo-Medium" w:hAnsi="Times New Roman" w:cs="Times New Roman"/>
          <w:color w:val="000000"/>
          <w:kern w:val="0"/>
          <w:szCs w:val="20"/>
        </w:rPr>
      </w:pPr>
      <w:r w:rsidRPr="009A5090">
        <w:rPr>
          <w:rFonts w:ascii="Times New Roman" w:eastAsia="HYSinMyeongJo-Medium" w:hAnsi="Times New Roman" w:cs="Times New Roman"/>
          <w:b/>
          <w:bCs/>
          <w:color w:val="000000"/>
          <w:kern w:val="0"/>
          <w:sz w:val="28"/>
          <w:szCs w:val="28"/>
        </w:rPr>
        <w:t>&lt;Appendix 1&gt; Phase-specific aerobic exercise intensity adjustment protocol</w:t>
      </w:r>
    </w:p>
    <w:tbl>
      <w:tblPr>
        <w:tblpPr w:leftFromText="142" w:rightFromText="142" w:vertAnchor="text" w:horzAnchor="margin" w:tblpY="135"/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62"/>
        <w:gridCol w:w="984"/>
        <w:gridCol w:w="985"/>
        <w:gridCol w:w="987"/>
        <w:gridCol w:w="985"/>
        <w:gridCol w:w="987"/>
        <w:gridCol w:w="1336"/>
        <w:gridCol w:w="1178"/>
      </w:tblGrid>
      <w:tr w:rsidR="004274FC" w14:paraId="5ED4C7D3" w14:textId="77777777" w:rsidTr="007C2B0D"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bookmarkEnd w:id="0"/>
          <w:p w14:paraId="2FC271F2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Phase</w:t>
            </w:r>
          </w:p>
        </w:tc>
        <w:tc>
          <w:tcPr>
            <w:tcW w:w="581" w:type="pct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9A28F4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1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w</w:t>
            </w:r>
          </w:p>
        </w:tc>
        <w:tc>
          <w:tcPr>
            <w:tcW w:w="581" w:type="pct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2202E4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2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>–</w:t>
            </w: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3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w</w:t>
            </w: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D5AE09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4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>–</w:t>
            </w: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7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w</w:t>
            </w:r>
          </w:p>
        </w:tc>
        <w:tc>
          <w:tcPr>
            <w:tcW w:w="581" w:type="pct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825481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8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>–</w:t>
            </w: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11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w</w:t>
            </w: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F0AC68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12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>–</w:t>
            </w: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15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w</w:t>
            </w:r>
          </w:p>
        </w:tc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12FFEC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15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w~</w:t>
            </w:r>
          </w:p>
        </w:tc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F10189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Chemotherapy</w:t>
            </w:r>
          </w:p>
        </w:tc>
      </w:tr>
      <w:tr w:rsidR="004274FC" w14:paraId="391F50A7" w14:textId="77777777" w:rsidTr="007C2B0D">
        <w:tc>
          <w:tcPr>
            <w:tcW w:w="627" w:type="pct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02C870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THR EF</w:t>
            </w:r>
          </w:p>
        </w:tc>
        <w:tc>
          <w:tcPr>
            <w:tcW w:w="581" w:type="pct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D041EA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0.58</w:t>
            </w:r>
          </w:p>
        </w:tc>
        <w:tc>
          <w:tcPr>
            <w:tcW w:w="581" w:type="pct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7D5D96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0.62</w:t>
            </w:r>
          </w:p>
        </w:tc>
        <w:tc>
          <w:tcPr>
            <w:tcW w:w="582" w:type="pct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7C2A72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0.64</w:t>
            </w:r>
          </w:p>
        </w:tc>
        <w:tc>
          <w:tcPr>
            <w:tcW w:w="581" w:type="pct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7520EB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0.68</w:t>
            </w:r>
          </w:p>
        </w:tc>
        <w:tc>
          <w:tcPr>
            <w:tcW w:w="582" w:type="pct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7CB87A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0.70</w:t>
            </w:r>
          </w:p>
        </w:tc>
        <w:tc>
          <w:tcPr>
            <w:tcW w:w="787" w:type="pct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BE09BF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0.74† ~</w:t>
            </w:r>
          </w:p>
          <w:p w14:paraId="6F88ADAA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RPE 13~15‡</w:t>
            </w:r>
          </w:p>
        </w:tc>
        <w:tc>
          <w:tcPr>
            <w:tcW w:w="679" w:type="pct"/>
            <w:tcBorders>
              <w:top w:val="single" w:sz="4" w:space="0" w:color="auto"/>
            </w:tcBorders>
            <w:vAlign w:val="center"/>
          </w:tcPr>
          <w:p w14:paraId="697B4552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0.60</w:t>
            </w:r>
          </w:p>
        </w:tc>
      </w:tr>
      <w:tr w:rsidR="004274FC" w14:paraId="59CCA5FB" w14:textId="77777777" w:rsidTr="007C2B0D">
        <w:tc>
          <w:tcPr>
            <w:tcW w:w="627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65E5CC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Duration</w:t>
            </w:r>
          </w:p>
        </w:tc>
        <w:tc>
          <w:tcPr>
            <w:tcW w:w="581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2D6F64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10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m</w:t>
            </w:r>
          </w:p>
        </w:tc>
        <w:tc>
          <w:tcPr>
            <w:tcW w:w="581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173695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12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m</w:t>
            </w:r>
          </w:p>
        </w:tc>
        <w:tc>
          <w:tcPr>
            <w:tcW w:w="58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95BC9B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15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m</w:t>
            </w:r>
          </w:p>
        </w:tc>
        <w:tc>
          <w:tcPr>
            <w:tcW w:w="581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717548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20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m</w:t>
            </w:r>
          </w:p>
        </w:tc>
        <w:tc>
          <w:tcPr>
            <w:tcW w:w="582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ACFF14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25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m</w:t>
            </w:r>
          </w:p>
        </w:tc>
        <w:tc>
          <w:tcPr>
            <w:tcW w:w="787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C29DBF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30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m</w:t>
            </w:r>
          </w:p>
        </w:tc>
        <w:tc>
          <w:tcPr>
            <w:tcW w:w="679" w:type="pct"/>
            <w:vAlign w:val="center"/>
          </w:tcPr>
          <w:p w14:paraId="762A8F69" w14:textId="77777777" w:rsidR="004274FC" w:rsidRPr="009A5090" w:rsidRDefault="004274FC" w:rsidP="007C2B0D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15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m~20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r w:rsidRPr="009A5090">
              <w:rPr>
                <w:rFonts w:ascii="Times New Roman" w:hAnsi="Times New Roman" w:cs="Times New Roman"/>
                <w:szCs w:val="20"/>
                <w:lang w:val="en-GB"/>
              </w:rPr>
              <w:t>m</w:t>
            </w:r>
          </w:p>
        </w:tc>
      </w:tr>
    </w:tbl>
    <w:p w14:paraId="1B086B52" w14:textId="77777777" w:rsidR="004274FC" w:rsidRPr="009A5090" w:rsidRDefault="004274FC" w:rsidP="004274FC">
      <w:pPr>
        <w:widowControl/>
        <w:wordWrap/>
        <w:autoSpaceDE/>
        <w:autoSpaceDN/>
        <w:spacing w:line="360" w:lineRule="auto"/>
        <w:jc w:val="left"/>
        <w:rPr>
          <w:rFonts w:ascii="Times New Roman" w:eastAsia="Times New Roman" w:hAnsi="Times New Roman" w:cs="Times New Roman"/>
          <w:sz w:val="22"/>
          <w:lang w:val="en-GB"/>
        </w:rPr>
      </w:pPr>
      <w:r w:rsidRPr="009A5090">
        <w:rPr>
          <w:rFonts w:ascii="Times New Roman" w:eastAsia="Times New Roman" w:hAnsi="Times New Roman" w:cs="Times New Roman"/>
          <w:sz w:val="22"/>
          <w:lang w:val="en-GB"/>
        </w:rPr>
        <w:t>THR EF, target heart rate equation factor; RPE, rate of perceived exertion</w:t>
      </w:r>
    </w:p>
    <w:p w14:paraId="2D09FA2A" w14:textId="77777777" w:rsidR="004274FC" w:rsidRPr="009A5090" w:rsidRDefault="004274FC" w:rsidP="004274FC">
      <w:pPr>
        <w:widowControl/>
        <w:wordWrap/>
        <w:autoSpaceDE/>
        <w:autoSpaceDN/>
        <w:spacing w:line="360" w:lineRule="auto"/>
        <w:jc w:val="left"/>
        <w:rPr>
          <w:rFonts w:ascii="Times New Roman" w:eastAsia="Times New Roman" w:hAnsi="Times New Roman" w:cs="Times New Roman"/>
          <w:sz w:val="22"/>
          <w:lang w:val="en-GB"/>
        </w:rPr>
      </w:pPr>
      <w:r w:rsidRPr="009A5090">
        <w:rPr>
          <w:rFonts w:ascii="Times New Roman" w:eastAsia="Times New Roman" w:hAnsi="Times New Roman" w:cs="Times New Roman"/>
          <w:sz w:val="22"/>
          <w:lang w:val="en-GB"/>
        </w:rPr>
        <w:t>†If the patient has comorbid hypertension, the starting THR EF is 0.72, and the upper limit is set at 0.76.</w:t>
      </w:r>
    </w:p>
    <w:p w14:paraId="72CEDAC5" w14:textId="77777777" w:rsidR="004274FC" w:rsidRPr="009A5090" w:rsidRDefault="004274FC" w:rsidP="004274FC">
      <w:pPr>
        <w:widowControl/>
        <w:wordWrap/>
        <w:autoSpaceDE/>
        <w:autoSpaceDN/>
        <w:spacing w:line="360" w:lineRule="auto"/>
        <w:jc w:val="left"/>
        <w:rPr>
          <w:rFonts w:ascii="Times New Roman" w:hAnsi="Times New Roman" w:cs="Times New Roman"/>
          <w:sz w:val="22"/>
          <w:lang w:val="en-GB"/>
        </w:rPr>
      </w:pPr>
      <w:r w:rsidRPr="009A5090">
        <w:rPr>
          <w:rFonts w:ascii="Times New Roman" w:eastAsia="Times New Roman" w:hAnsi="Times New Roman" w:cs="Times New Roman"/>
          <w:sz w:val="22"/>
          <w:lang w:val="en-GB"/>
        </w:rPr>
        <w:t>Starting from a THR EF of 0.74, the exercise duration increased by 5 min, or the THR EF increases by 0.2 with each step. If the RPE reached 17 or higher, the exercise level was decreased in one step. If the RPE was 9 or 11 for two or more consecutive sessions, the exercise intensity was increased by one step.</w:t>
      </w:r>
    </w:p>
    <w:p w14:paraId="04ABBCA5" w14:textId="77777777" w:rsidR="004274FC" w:rsidRPr="009A5090" w:rsidRDefault="004274FC" w:rsidP="004274FC">
      <w:pPr>
        <w:widowControl/>
        <w:wordWrap/>
        <w:autoSpaceDE/>
        <w:autoSpaceDN/>
        <w:spacing w:line="360" w:lineRule="auto"/>
        <w:jc w:val="left"/>
        <w:rPr>
          <w:rFonts w:ascii="Times New Roman" w:hAnsi="Times New Roman" w:cs="Times New Roman"/>
          <w:sz w:val="22"/>
          <w:lang w:val="en-GB"/>
        </w:rPr>
      </w:pPr>
    </w:p>
    <w:p w14:paraId="4B70A9D5" w14:textId="77777777" w:rsidR="004274FC" w:rsidRPr="009A5090" w:rsidRDefault="004274FC" w:rsidP="004274FC">
      <w:pPr>
        <w:widowControl/>
        <w:wordWrap/>
        <w:autoSpaceDE/>
        <w:autoSpaceDN/>
        <w:spacing w:line="360" w:lineRule="auto"/>
        <w:jc w:val="left"/>
        <w:rPr>
          <w:rFonts w:ascii="Times New Roman" w:hAnsi="Times New Roman" w:cs="Times New Roman"/>
          <w:sz w:val="22"/>
          <w:lang w:val="en-GB"/>
        </w:rPr>
      </w:pPr>
    </w:p>
    <w:p w14:paraId="3C302A71" w14:textId="77777777" w:rsidR="004274FC" w:rsidRPr="009A5090" w:rsidRDefault="004274FC" w:rsidP="004274FC">
      <w:pPr>
        <w:widowControl/>
        <w:wordWrap/>
        <w:autoSpaceDE/>
        <w:autoSpaceDN/>
        <w:spacing w:line="360" w:lineRule="auto"/>
        <w:jc w:val="left"/>
        <w:rPr>
          <w:rFonts w:ascii="Times New Roman" w:hAnsi="Times New Roman" w:cs="Times New Roman"/>
          <w:sz w:val="22"/>
          <w:lang w:val="en-GB"/>
        </w:rPr>
      </w:pPr>
      <w:r w:rsidRPr="009A5090">
        <w:rPr>
          <w:rFonts w:ascii="Times New Roman" w:hAnsi="Times New Roman" w:cs="Times New Roman"/>
          <w:sz w:val="22"/>
          <w:lang w:val="en-GB"/>
        </w:rPr>
        <w:br w:type="page"/>
      </w:r>
    </w:p>
    <w:p w14:paraId="1ED917A1" w14:textId="77777777" w:rsidR="004274FC" w:rsidRPr="009A5090" w:rsidRDefault="004274FC" w:rsidP="004274FC">
      <w:pPr>
        <w:widowControl/>
        <w:wordWrap/>
        <w:autoSpaceDE/>
        <w:autoSpaceDN/>
        <w:spacing w:line="360" w:lineRule="auto"/>
        <w:jc w:val="left"/>
        <w:rPr>
          <w:rFonts w:ascii="Times New Roman" w:hAnsi="Times New Roman" w:cs="Times New Roman"/>
          <w:sz w:val="22"/>
          <w:lang w:val="en-GB"/>
        </w:rPr>
        <w:sectPr w:rsidR="004274FC" w:rsidRPr="009A5090" w:rsidSect="004274FC">
          <w:footerReference w:type="default" r:id="rId4"/>
          <w:pgSz w:w="11906" w:h="16838"/>
          <w:pgMar w:top="2155" w:right="1701" w:bottom="2155" w:left="1701" w:header="851" w:footer="851" w:gutter="0"/>
          <w:cols w:space="425"/>
          <w:docGrid w:linePitch="272"/>
        </w:sectPr>
      </w:pPr>
    </w:p>
    <w:p w14:paraId="096C4885" w14:textId="77777777" w:rsidR="004274FC" w:rsidRPr="009A5090" w:rsidRDefault="004274FC" w:rsidP="004274FC">
      <w:pPr>
        <w:spacing w:line="360" w:lineRule="auto"/>
        <w:textAlignment w:val="baseline"/>
        <w:rPr>
          <w:rFonts w:ascii="Times New Roman" w:eastAsia="HYSinMyeongJo-Medium" w:hAnsi="Times New Roman" w:cs="Times New Roman"/>
          <w:color w:val="000000"/>
          <w:kern w:val="0"/>
          <w:sz w:val="28"/>
          <w:szCs w:val="28"/>
        </w:rPr>
      </w:pPr>
      <w:r w:rsidRPr="009A5090">
        <w:rPr>
          <w:rFonts w:ascii="Times New Roman" w:eastAsia="HYSinMyeongJo-Medium" w:hAnsi="Times New Roman" w:cs="Times New Roman"/>
          <w:b/>
          <w:bCs/>
          <w:color w:val="000000"/>
          <w:kern w:val="0"/>
          <w:sz w:val="28"/>
          <w:szCs w:val="28"/>
        </w:rPr>
        <w:lastRenderedPageBreak/>
        <w:t>&lt;Appendix 2&gt; Phase-specific nutritional guideline protocol</w:t>
      </w:r>
    </w:p>
    <w:tbl>
      <w:tblPr>
        <w:tblStyle w:val="TableGrid"/>
        <w:tblpPr w:leftFromText="142" w:rightFromText="142" w:vertAnchor="page" w:horzAnchor="margin" w:tblpY="2536"/>
        <w:tblW w:w="12469" w:type="dxa"/>
        <w:tblLook w:val="04A0" w:firstRow="1" w:lastRow="0" w:firstColumn="1" w:lastColumn="0" w:noHBand="0" w:noVBand="1"/>
      </w:tblPr>
      <w:tblGrid>
        <w:gridCol w:w="562"/>
        <w:gridCol w:w="2410"/>
        <w:gridCol w:w="2977"/>
        <w:gridCol w:w="2410"/>
        <w:gridCol w:w="4110"/>
      </w:tblGrid>
      <w:tr w:rsidR="004274FC" w14:paraId="2F2AE82E" w14:textId="77777777" w:rsidTr="007C2B0D">
        <w:tc>
          <w:tcPr>
            <w:tcW w:w="562" w:type="dxa"/>
            <w:vAlign w:val="center"/>
          </w:tcPr>
          <w:p w14:paraId="1A26BF4E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5387" w:type="dxa"/>
            <w:gridSpan w:val="2"/>
            <w:vAlign w:val="center"/>
          </w:tcPr>
          <w:p w14:paraId="5B85D486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 xml:space="preserve">Recovery and </w:t>
            </w:r>
            <w:r>
              <w:rPr>
                <w:rFonts w:ascii="Times New Roman" w:eastAsia="Times New Roman" w:hAnsi="Times New Roman" w:cs="Times New Roman"/>
                <w:szCs w:val="20"/>
                <w:lang w:val="en-GB"/>
              </w:rPr>
              <w:t>a</w:t>
            </w: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 xml:space="preserve">daptation </w:t>
            </w:r>
            <w:r>
              <w:rPr>
                <w:rFonts w:ascii="Times New Roman" w:eastAsia="Times New Roman" w:hAnsi="Times New Roman" w:cs="Times New Roman"/>
                <w:szCs w:val="20"/>
                <w:lang w:val="en-GB"/>
              </w:rPr>
              <w:t>p</w:t>
            </w: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hase (</w:t>
            </w:r>
            <w:r>
              <w:rPr>
                <w:rFonts w:ascii="Times New Roman" w:eastAsia="Times New Roman" w:hAnsi="Times New Roman" w:cs="Times New Roman"/>
                <w:szCs w:val="20"/>
                <w:lang w:val="en-GB"/>
              </w:rPr>
              <w:t>w</w:t>
            </w: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eeks 1–12)</w:t>
            </w:r>
          </w:p>
        </w:tc>
        <w:tc>
          <w:tcPr>
            <w:tcW w:w="6520" w:type="dxa"/>
            <w:gridSpan w:val="2"/>
            <w:vAlign w:val="center"/>
          </w:tcPr>
          <w:p w14:paraId="3836F392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 xml:space="preserve">Maintenance </w:t>
            </w:r>
            <w:r>
              <w:rPr>
                <w:rFonts w:ascii="Times New Roman" w:eastAsia="Times New Roman" w:hAnsi="Times New Roman" w:cs="Times New Roman"/>
                <w:szCs w:val="20"/>
                <w:lang w:val="en-GB"/>
              </w:rPr>
              <w:t>p</w:t>
            </w: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hase (</w:t>
            </w:r>
            <w:r>
              <w:rPr>
                <w:rFonts w:ascii="Times New Roman" w:eastAsia="Times New Roman" w:hAnsi="Times New Roman" w:cs="Times New Roman"/>
                <w:szCs w:val="20"/>
                <w:lang w:val="en-GB"/>
              </w:rPr>
              <w:t>w</w:t>
            </w: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eek 13 onward)</w:t>
            </w:r>
          </w:p>
        </w:tc>
      </w:tr>
      <w:tr w:rsidR="004274FC" w14:paraId="236DE646" w14:textId="77777777" w:rsidTr="007C2B0D">
        <w:tc>
          <w:tcPr>
            <w:tcW w:w="562" w:type="dxa"/>
            <w:vAlign w:val="center"/>
          </w:tcPr>
          <w:p w14:paraId="1C19F2C5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Age</w:t>
            </w:r>
          </w:p>
        </w:tc>
        <w:tc>
          <w:tcPr>
            <w:tcW w:w="2410" w:type="dxa"/>
            <w:vAlign w:val="center"/>
          </w:tcPr>
          <w:p w14:paraId="2A83430A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 xml:space="preserve">Recommended </w:t>
            </w:r>
            <w:r>
              <w:rPr>
                <w:rFonts w:ascii="Times New Roman" w:eastAsia="Times New Roman" w:hAnsi="Times New Roman" w:cs="Times New Roman"/>
                <w:szCs w:val="20"/>
                <w:lang w:val="en-GB"/>
              </w:rPr>
              <w:t>c</w:t>
            </w: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 xml:space="preserve">alorie </w:t>
            </w:r>
            <w:r>
              <w:rPr>
                <w:rFonts w:ascii="Times New Roman" w:eastAsia="Times New Roman" w:hAnsi="Times New Roman" w:cs="Times New Roman"/>
                <w:szCs w:val="20"/>
                <w:lang w:val="en-GB"/>
              </w:rPr>
              <w:t>i</w:t>
            </w: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ntake (kcal/day)</w:t>
            </w:r>
          </w:p>
        </w:tc>
        <w:tc>
          <w:tcPr>
            <w:tcW w:w="2977" w:type="dxa"/>
            <w:vAlign w:val="center"/>
          </w:tcPr>
          <w:p w14:paraId="08AF9773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 xml:space="preserve">Key </w:t>
            </w:r>
            <w:r>
              <w:rPr>
                <w:rFonts w:ascii="Times New Roman" w:eastAsia="Times New Roman" w:hAnsi="Times New Roman" w:cs="Times New Roman"/>
                <w:szCs w:val="20"/>
                <w:lang w:val="en-GB"/>
              </w:rPr>
              <w:t>n</w:t>
            </w: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utrient</w:t>
            </w:r>
          </w:p>
          <w:p w14:paraId="5351CED3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Recommended intake</w:t>
            </w:r>
          </w:p>
        </w:tc>
        <w:tc>
          <w:tcPr>
            <w:tcW w:w="2410" w:type="dxa"/>
            <w:vAlign w:val="center"/>
          </w:tcPr>
          <w:p w14:paraId="04784966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 xml:space="preserve">Recommended </w:t>
            </w:r>
            <w:r>
              <w:rPr>
                <w:rFonts w:ascii="Times New Roman" w:eastAsia="Times New Roman" w:hAnsi="Times New Roman" w:cs="Times New Roman"/>
                <w:szCs w:val="20"/>
                <w:lang w:val="en-GB"/>
              </w:rPr>
              <w:t>c</w:t>
            </w: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 xml:space="preserve">alorie </w:t>
            </w:r>
            <w:r>
              <w:rPr>
                <w:rFonts w:ascii="Times New Roman" w:eastAsia="Times New Roman" w:hAnsi="Times New Roman" w:cs="Times New Roman"/>
                <w:szCs w:val="20"/>
                <w:lang w:val="en-GB"/>
              </w:rPr>
              <w:t>i</w:t>
            </w: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ntake (kcal/day)</w:t>
            </w:r>
          </w:p>
        </w:tc>
        <w:tc>
          <w:tcPr>
            <w:tcW w:w="4110" w:type="dxa"/>
            <w:vAlign w:val="center"/>
          </w:tcPr>
          <w:p w14:paraId="15A4923E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 xml:space="preserve">Key </w:t>
            </w:r>
            <w:r>
              <w:rPr>
                <w:rFonts w:ascii="Times New Roman" w:eastAsia="Times New Roman" w:hAnsi="Times New Roman" w:cs="Times New Roman"/>
                <w:szCs w:val="20"/>
                <w:lang w:val="en-GB"/>
              </w:rPr>
              <w:t>n</w:t>
            </w: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utrient</w:t>
            </w:r>
          </w:p>
          <w:p w14:paraId="658B133D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Recommended intake</w:t>
            </w:r>
          </w:p>
        </w:tc>
      </w:tr>
      <w:tr w:rsidR="004274FC" w14:paraId="0525E56E" w14:textId="77777777" w:rsidTr="007C2B0D">
        <w:tc>
          <w:tcPr>
            <w:tcW w:w="562" w:type="dxa"/>
            <w:vAlign w:val="center"/>
          </w:tcPr>
          <w:p w14:paraId="4A27E079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&lt;65</w:t>
            </w:r>
          </w:p>
        </w:tc>
        <w:tc>
          <w:tcPr>
            <w:tcW w:w="2410" w:type="dxa"/>
            <w:vAlign w:val="center"/>
          </w:tcPr>
          <w:p w14:paraId="76DB6203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Ideal body weight (kg) ×</w:t>
            </w:r>
          </w:p>
          <w:p w14:paraId="594C080C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activity factor (26–35 kcal)</w:t>
            </w:r>
          </w:p>
        </w:tc>
        <w:tc>
          <w:tcPr>
            <w:tcW w:w="2977" w:type="dxa"/>
            <w:vMerge w:val="restart"/>
            <w:vAlign w:val="center"/>
          </w:tcPr>
          <w:p w14:paraId="54DD910B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Protein: Ideal body weight × 1.2 g</w:t>
            </w:r>
          </w:p>
          <w:p w14:paraId="53124749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Fat: 20% of total calorie intake</w:t>
            </w:r>
          </w:p>
        </w:tc>
        <w:tc>
          <w:tcPr>
            <w:tcW w:w="2410" w:type="dxa"/>
            <w:vAlign w:val="center"/>
          </w:tcPr>
          <w:p w14:paraId="7F4591C2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Ideal body weight (kg) ×</w:t>
            </w:r>
          </w:p>
          <w:p w14:paraId="2AF5C24E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activity factor (26–35 kcal)</w:t>
            </w:r>
          </w:p>
        </w:tc>
        <w:tc>
          <w:tcPr>
            <w:tcW w:w="4110" w:type="dxa"/>
            <w:vMerge w:val="restart"/>
            <w:vAlign w:val="center"/>
          </w:tcPr>
          <w:p w14:paraId="312BE382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Set based on existing chronic conditions:</w:t>
            </w:r>
          </w:p>
          <w:p w14:paraId="7BC3BC67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• Diabetes: focus on carbohydrates and fat</w:t>
            </w:r>
          </w:p>
          <w:p w14:paraId="1F1FB4E1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• Hypertension: limit sodium and fat</w:t>
            </w:r>
          </w:p>
          <w:p w14:paraId="1E6AE026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• Dyslipidemia: control fat and cholesterol</w:t>
            </w:r>
          </w:p>
        </w:tc>
      </w:tr>
      <w:tr w:rsidR="004274FC" w14:paraId="2AF5AE0D" w14:textId="77777777" w:rsidTr="007C2B0D">
        <w:trPr>
          <w:trHeight w:val="1493"/>
        </w:trPr>
        <w:tc>
          <w:tcPr>
            <w:tcW w:w="562" w:type="dxa"/>
            <w:vAlign w:val="center"/>
          </w:tcPr>
          <w:p w14:paraId="19DF555A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≥65</w:t>
            </w:r>
          </w:p>
        </w:tc>
        <w:tc>
          <w:tcPr>
            <w:tcW w:w="2410" w:type="dxa"/>
            <w:vAlign w:val="center"/>
          </w:tcPr>
          <w:p w14:paraId="27DA0D80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Ideal body weight (kg) ×</w:t>
            </w:r>
          </w:p>
          <w:p w14:paraId="7344BCFE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activity factor (26–30 kcal)</w:t>
            </w:r>
          </w:p>
        </w:tc>
        <w:tc>
          <w:tcPr>
            <w:tcW w:w="2977" w:type="dxa"/>
            <w:vMerge/>
            <w:vAlign w:val="center"/>
          </w:tcPr>
          <w:p w14:paraId="2F133FC8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410" w:type="dxa"/>
            <w:vAlign w:val="center"/>
          </w:tcPr>
          <w:p w14:paraId="10829787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Ideal body weight (kg) ×</w:t>
            </w:r>
          </w:p>
          <w:p w14:paraId="7CFBCE89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  <w:r w:rsidRPr="009A5090">
              <w:rPr>
                <w:rFonts w:ascii="Times New Roman" w:eastAsia="Times New Roman" w:hAnsi="Times New Roman" w:cs="Times New Roman"/>
                <w:szCs w:val="20"/>
                <w:lang w:val="en-GB"/>
              </w:rPr>
              <w:t>activity factor (26–30 kcal)</w:t>
            </w:r>
          </w:p>
        </w:tc>
        <w:tc>
          <w:tcPr>
            <w:tcW w:w="4110" w:type="dxa"/>
            <w:vMerge/>
            <w:vAlign w:val="center"/>
          </w:tcPr>
          <w:p w14:paraId="632F5C52" w14:textId="77777777" w:rsidR="004274FC" w:rsidRPr="009A5090" w:rsidRDefault="004274FC" w:rsidP="007C2B0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Times New Roman" w:hAnsi="Times New Roman" w:cs="Times New Roman"/>
                <w:szCs w:val="20"/>
                <w:lang w:val="en-GB"/>
              </w:rPr>
            </w:pPr>
          </w:p>
        </w:tc>
      </w:tr>
    </w:tbl>
    <w:p w14:paraId="2E22F0A8" w14:textId="77777777" w:rsidR="004274FC" w:rsidRPr="009A5090" w:rsidRDefault="004274FC" w:rsidP="004274FC">
      <w:pPr>
        <w:pStyle w:val="a"/>
        <w:spacing w:line="360" w:lineRule="auto"/>
        <w:rPr>
          <w:rFonts w:ascii="Times New Roman" w:eastAsia="HYSinMyeongJo-Medium" w:hAnsi="Times New Roman" w:cs="Times New Roman"/>
          <w:b/>
          <w:bCs/>
          <w:sz w:val="28"/>
          <w:szCs w:val="28"/>
        </w:rPr>
        <w:sectPr w:rsidR="004274FC" w:rsidRPr="009A5090" w:rsidSect="004274FC">
          <w:pgSz w:w="16838" w:h="11906" w:orient="landscape" w:code="9"/>
          <w:pgMar w:top="1701" w:right="2155" w:bottom="1701" w:left="2155" w:header="851" w:footer="851" w:gutter="0"/>
          <w:cols w:space="425"/>
          <w:docGrid w:linePitch="360"/>
        </w:sectPr>
      </w:pPr>
    </w:p>
    <w:p w14:paraId="0D771EE6" w14:textId="77777777" w:rsidR="004274FC" w:rsidRDefault="004274FC" w:rsidP="004274FC"/>
    <w:p w14:paraId="31E80E61" w14:textId="77777777" w:rsidR="00DE6AE2" w:rsidRDefault="00DE6AE2"/>
    <w:sectPr w:rsidR="00DE6AE2" w:rsidSect="004274FC">
      <w:pgSz w:w="11906" w:h="16838" w:code="9"/>
      <w:pgMar w:top="2155" w:right="1701" w:bottom="2155" w:left="1701" w:header="851" w:footer="851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HYSinMyeongJo-Medium">
    <w:altName w:val="Batang"/>
    <w:charset w:val="81"/>
    <w:family w:val="roman"/>
    <w:pitch w:val="variable"/>
    <w:sig w:usb0="900002A7" w:usb1="29D77CF9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lang w:val="en-GB"/>
      </w:rPr>
      <w:id w:val="1614012527"/>
      <w:docPartObj>
        <w:docPartGallery w:val="Page Numbers (Bottom of Page)"/>
        <w:docPartUnique/>
      </w:docPartObj>
    </w:sdtPr>
    <w:sdtContent>
      <w:p w14:paraId="2DE90412" w14:textId="77777777" w:rsidR="004274FC" w:rsidRPr="00E05BCD" w:rsidRDefault="004274FC">
        <w:pPr>
          <w:pStyle w:val="Footer"/>
          <w:jc w:val="center"/>
          <w:rPr>
            <w:lang w:val="en-GB"/>
          </w:rPr>
        </w:pPr>
        <w:r w:rsidRPr="00E05BCD">
          <w:rPr>
            <w:lang w:val="en-GB"/>
          </w:rPr>
          <w:fldChar w:fldCharType="begin"/>
        </w:r>
        <w:r w:rsidRPr="00E05BCD">
          <w:rPr>
            <w:lang w:val="en-GB"/>
          </w:rPr>
          <w:instrText xml:space="preserve"> PAGE   \* MERGEFORMAT </w:instrText>
        </w:r>
        <w:r w:rsidRPr="00E05BCD">
          <w:rPr>
            <w:lang w:val="en-GB"/>
          </w:rPr>
          <w:fldChar w:fldCharType="separate"/>
        </w:r>
        <w:r>
          <w:rPr>
            <w:noProof/>
            <w:lang w:val="en-GB"/>
          </w:rPr>
          <w:t>58</w:t>
        </w:r>
        <w:r w:rsidRPr="00E05BCD">
          <w:rPr>
            <w:lang w:val="en-GB"/>
          </w:rPr>
          <w:fldChar w:fldCharType="end"/>
        </w:r>
      </w:p>
    </w:sdtContent>
  </w:sdt>
  <w:p w14:paraId="5F4DE7F3" w14:textId="77777777" w:rsidR="004274FC" w:rsidRPr="00E05BCD" w:rsidRDefault="004274FC">
    <w:pPr>
      <w:pStyle w:val="Footer"/>
      <w:rPr>
        <w:lang w:val="en-GB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4FC"/>
    <w:rsid w:val="00195413"/>
    <w:rsid w:val="003D0186"/>
    <w:rsid w:val="004274FC"/>
    <w:rsid w:val="007278E4"/>
    <w:rsid w:val="008D3946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E42CC"/>
  <w15:chartTrackingRefBased/>
  <w15:docId w15:val="{4289DFE7-E622-4BA6-A705-06ECC3A63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74FC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74FC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74FC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74FC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74FC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74FC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74FC"/>
    <w:pPr>
      <w:keepNext/>
      <w:keepLines/>
      <w:widowControl/>
      <w:wordWrap/>
      <w:autoSpaceDE/>
      <w:autoSpaceDN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74FC"/>
    <w:pPr>
      <w:keepNext/>
      <w:keepLines/>
      <w:widowControl/>
      <w:wordWrap/>
      <w:autoSpaceDE/>
      <w:autoSpaceDN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74FC"/>
    <w:pPr>
      <w:keepNext/>
      <w:keepLines/>
      <w:widowControl/>
      <w:wordWrap/>
      <w:autoSpaceDE/>
      <w:autoSpaceDN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74FC"/>
    <w:pPr>
      <w:keepNext/>
      <w:keepLines/>
      <w:widowControl/>
      <w:wordWrap/>
      <w:autoSpaceDE/>
      <w:autoSpaceDN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74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74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74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74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74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74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74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74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74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74FC"/>
    <w:pPr>
      <w:widowControl/>
      <w:wordWrap/>
      <w:autoSpaceDE/>
      <w:autoSpaceDN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274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74FC"/>
    <w:pPr>
      <w:widowControl/>
      <w:numPr>
        <w:ilvl w:val="1"/>
      </w:numPr>
      <w:wordWrap/>
      <w:autoSpaceDE/>
      <w:autoSpaceDN/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274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74FC"/>
    <w:pPr>
      <w:widowControl/>
      <w:wordWrap/>
      <w:autoSpaceDE/>
      <w:autoSpaceDN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274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74FC"/>
    <w:pPr>
      <w:widowControl/>
      <w:wordWrap/>
      <w:autoSpaceDE/>
      <w:autoSpaceDN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274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74F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74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74FC"/>
    <w:rPr>
      <w:b/>
      <w:bCs/>
      <w:smallCaps/>
      <w:color w:val="0F4761" w:themeColor="accent1" w:themeShade="BF"/>
      <w:spacing w:val="5"/>
    </w:rPr>
  </w:style>
  <w:style w:type="paragraph" w:customStyle="1" w:styleId="a">
    <w:name w:val="바탕글"/>
    <w:basedOn w:val="Normal"/>
    <w:rsid w:val="004274FC"/>
    <w:pPr>
      <w:widowControl/>
      <w:wordWrap/>
      <w:autoSpaceDE/>
      <w:autoSpaceDN/>
      <w:snapToGrid w:val="0"/>
      <w:spacing w:line="384" w:lineRule="auto"/>
    </w:pPr>
    <w:rPr>
      <w:rFonts w:ascii="Batang" w:eastAsia="Batang" w:hAnsi="Batang" w:cs="Gulim"/>
      <w:color w:val="000000"/>
      <w:kern w:val="0"/>
      <w:szCs w:val="20"/>
    </w:rPr>
  </w:style>
  <w:style w:type="paragraph" w:styleId="Footer">
    <w:name w:val="footer"/>
    <w:basedOn w:val="Normal"/>
    <w:link w:val="FooterChar"/>
    <w:uiPriority w:val="99"/>
    <w:unhideWhenUsed/>
    <w:rsid w:val="004274FC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4274FC"/>
    <w:rPr>
      <w:rFonts w:eastAsiaTheme="minorEastAsia"/>
      <w:sz w:val="20"/>
      <w:szCs w:val="22"/>
      <w:lang w:eastAsia="ko-KR"/>
      <w14:ligatures w14:val="none"/>
    </w:rPr>
  </w:style>
  <w:style w:type="table" w:styleId="TableGrid">
    <w:name w:val="Table Grid"/>
    <w:basedOn w:val="TableNormal"/>
    <w:uiPriority w:val="59"/>
    <w:rsid w:val="004274FC"/>
    <w:pPr>
      <w:spacing w:after="0" w:line="240" w:lineRule="auto"/>
    </w:pPr>
    <w:rPr>
      <w:rFonts w:eastAsiaTheme="minorEastAsia"/>
      <w:sz w:val="22"/>
      <w:szCs w:val="22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4274FC"/>
    <w:pPr>
      <w:widowControl/>
      <w:wordWrap/>
      <w:autoSpaceDE/>
      <w:autoSpaceDN/>
      <w:spacing w:before="100" w:beforeAutospacing="1" w:after="100" w:afterAutospacing="1"/>
      <w:jc w:val="left"/>
    </w:pPr>
    <w:rPr>
      <w:rFonts w:ascii="Gulim" w:eastAsia="Gulim" w:hAnsi="Gulim" w:cs="Gulim"/>
      <w:kern w:val="0"/>
      <w:sz w:val="24"/>
      <w:szCs w:val="24"/>
    </w:rPr>
  </w:style>
  <w:style w:type="character" w:customStyle="1" w:styleId="normaltextrun">
    <w:name w:val="normaltextrun"/>
    <w:basedOn w:val="DefaultParagraphFont"/>
    <w:rsid w:val="004274FC"/>
  </w:style>
  <w:style w:type="character" w:customStyle="1" w:styleId="eop">
    <w:name w:val="eop"/>
    <w:basedOn w:val="DefaultParagraphFont"/>
    <w:rsid w:val="004274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229</Words>
  <Characters>1269</Characters>
  <Application>Microsoft Office Word</Application>
  <DocSecurity>0</DocSecurity>
  <Lines>50</Lines>
  <Paragraphs>28</Paragraphs>
  <ScaleCrop>false</ScaleCrop>
  <Company>Springer Nature</Company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2025-11-10T16:01:00Z</dcterms:created>
  <dcterms:modified xsi:type="dcterms:W3CDTF">2025-11-10T16:01:00Z</dcterms:modified>
</cp:coreProperties>
</file>