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FBA" w:rsidRPr="00983BB8" w:rsidRDefault="008E5587">
      <w:pPr>
        <w:rPr>
          <w:b/>
          <w:sz w:val="24"/>
        </w:rPr>
      </w:pPr>
      <w:r w:rsidRPr="00983BB8">
        <w:rPr>
          <w:rFonts w:ascii="Times New Roman" w:hAnsi="Times New Roman" w:cs="Times New Roman"/>
          <w:b/>
          <w:spacing w:val="2"/>
          <w:sz w:val="24"/>
        </w:rPr>
        <w:t>Supplementary Materials (Tables)</w:t>
      </w:r>
      <w:r w:rsidR="00983BB8" w:rsidRPr="00983BB8">
        <w:rPr>
          <w:rFonts w:ascii="Times New Roman" w:hAnsi="Times New Roman" w:cs="Times New Roman"/>
          <w:b/>
          <w:spacing w:val="2"/>
          <w:sz w:val="24"/>
        </w:rPr>
        <w:t>:</w:t>
      </w:r>
    </w:p>
    <w:p w:rsidR="00720A0C" w:rsidRPr="0008258C" w:rsidRDefault="00720A0C" w:rsidP="00720A0C">
      <w:pPr>
        <w:pStyle w:val="MDPI31text"/>
      </w:pPr>
      <w:r w:rsidRPr="0008258C">
        <w:rPr>
          <w:noProof/>
          <w:lang w:eastAsia="zh-CN" w:bidi="ar-SA"/>
        </w:rPr>
        <w:drawing>
          <wp:inline distT="0" distB="0" distL="0" distR="0" wp14:anchorId="411A45BB" wp14:editId="27F1E65C">
            <wp:extent cx="5274027" cy="1932972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rcRect l="2792" t="11933" b="40565"/>
                    <a:stretch>
                      <a:fillRect/>
                    </a:stretch>
                  </pic:blipFill>
                  <pic:spPr>
                    <a:xfrm>
                      <a:off x="0" y="0"/>
                      <a:ext cx="5281086" cy="19355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0C" w:rsidRPr="0008258C" w:rsidRDefault="00720A0C" w:rsidP="00720A0C">
      <w:pPr>
        <w:pStyle w:val="MDPI51figurecaption"/>
        <w:rPr>
          <w:color w:val="auto"/>
        </w:rPr>
      </w:pPr>
      <w:r w:rsidRPr="0008258C">
        <w:rPr>
          <w:b/>
          <w:bCs/>
          <w:color w:val="auto"/>
        </w:rPr>
        <w:t xml:space="preserve">Fig. </w:t>
      </w:r>
      <w:r w:rsidRPr="0008258C">
        <w:rPr>
          <w:rFonts w:hint="eastAsia"/>
          <w:b/>
          <w:bCs/>
          <w:color w:val="auto"/>
        </w:rPr>
        <w:t>S</w:t>
      </w:r>
      <w:r w:rsidRPr="0008258C">
        <w:rPr>
          <w:b/>
          <w:bCs/>
          <w:color w:val="auto"/>
        </w:rPr>
        <w:t>1</w:t>
      </w:r>
      <w:r w:rsidRPr="0008258C">
        <w:rPr>
          <w:color w:val="auto"/>
        </w:rPr>
        <w:t xml:space="preserve"> </w:t>
      </w:r>
      <w:r w:rsidRPr="0008258C">
        <w:rPr>
          <w:rFonts w:hint="eastAsia"/>
          <w:color w:val="auto"/>
        </w:rPr>
        <w:t xml:space="preserve">This is a diagram of the growth status of the three strains used in this experiment in a flat solid petri dish, from left to right </w:t>
      </w:r>
      <w:r w:rsidRPr="0008258C">
        <w:rPr>
          <w:i/>
          <w:iCs/>
          <w:color w:val="auto"/>
        </w:rPr>
        <w:t>Pisolithus orientalis</w:t>
      </w:r>
      <w:r w:rsidRPr="0008258C">
        <w:rPr>
          <w:color w:val="auto"/>
        </w:rPr>
        <w:t xml:space="preserve"> (Po), </w:t>
      </w:r>
      <w:r w:rsidRPr="0008258C">
        <w:rPr>
          <w:i/>
          <w:iCs/>
          <w:color w:val="auto"/>
        </w:rPr>
        <w:t>Scleroderma citrinum</w:t>
      </w:r>
      <w:r w:rsidRPr="0008258C">
        <w:rPr>
          <w:color w:val="auto"/>
        </w:rPr>
        <w:t xml:space="preserve"> (Sc), </w:t>
      </w:r>
      <w:r w:rsidRPr="0008258C">
        <w:rPr>
          <w:i/>
          <w:iCs/>
          <w:color w:val="auto"/>
        </w:rPr>
        <w:t>Suillus luteus</w:t>
      </w:r>
      <w:r w:rsidRPr="0008258C">
        <w:rPr>
          <w:color w:val="auto"/>
        </w:rPr>
        <w:t xml:space="preserve"> (Sl)</w:t>
      </w:r>
      <w:r w:rsidRPr="0008258C">
        <w:rPr>
          <w:rFonts w:hint="eastAsia"/>
          <w:color w:val="auto"/>
        </w:rPr>
        <w:t>.</w:t>
      </w:r>
    </w:p>
    <w:p w:rsidR="00720A0C" w:rsidRDefault="00720A0C"/>
    <w:p w:rsidR="00720A0C" w:rsidRDefault="00720A0C"/>
    <w:p w:rsidR="00720A0C" w:rsidRPr="0008258C" w:rsidRDefault="00720A0C" w:rsidP="00720A0C">
      <w:r w:rsidRPr="0008258C">
        <w:rPr>
          <w:noProof/>
        </w:rPr>
        <w:drawing>
          <wp:inline distT="0" distB="0" distL="0" distR="0" wp14:anchorId="4970C9C3" wp14:editId="06F90F97">
            <wp:extent cx="5365260" cy="2424896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相关性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194" cy="242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A0C" w:rsidRDefault="00720A0C" w:rsidP="00720A0C">
      <w:pPr>
        <w:pStyle w:val="MDPI51figurecaption"/>
        <w:rPr>
          <w:color w:val="auto"/>
          <w:lang w:eastAsia="zh-CN"/>
        </w:rPr>
      </w:pPr>
      <w:r w:rsidRPr="0008258C">
        <w:rPr>
          <w:rFonts w:hint="eastAsia"/>
          <w:b/>
          <w:bCs/>
          <w:color w:val="auto"/>
        </w:rPr>
        <w:t xml:space="preserve">Fig. </w:t>
      </w:r>
      <w:r>
        <w:rPr>
          <w:b/>
          <w:bCs/>
          <w:color w:val="auto"/>
        </w:rPr>
        <w:t>S2</w:t>
      </w:r>
      <w:r w:rsidRPr="0008258C">
        <w:rPr>
          <w:color w:val="auto"/>
        </w:rPr>
        <w:t xml:space="preserve"> </w:t>
      </w:r>
      <w:r w:rsidRPr="0008258C">
        <w:rPr>
          <w:rFonts w:hint="eastAsia"/>
          <w:color w:val="auto"/>
        </w:rPr>
        <w:t xml:space="preserve">Correlation </w:t>
      </w:r>
      <w:r w:rsidRPr="00056E50">
        <w:rPr>
          <w:snapToGrid w:val="0"/>
          <w:color w:val="auto"/>
          <w:szCs w:val="18"/>
        </w:rPr>
        <w:t>heatmaps</w:t>
      </w:r>
      <w:r w:rsidRPr="0008258C">
        <w:rPr>
          <w:rFonts w:hint="eastAsia"/>
          <w:color w:val="auto"/>
        </w:rPr>
        <w:t xml:space="preserve"> of growth factors of donor (</w:t>
      </w:r>
      <w:r w:rsidRPr="0008258C">
        <w:rPr>
          <w:rFonts w:hint="eastAsia"/>
          <w:color w:val="auto"/>
          <w:lang w:eastAsia="zh-CN"/>
        </w:rPr>
        <w:t>A</w:t>
      </w:r>
      <w:r w:rsidRPr="0008258C">
        <w:rPr>
          <w:rFonts w:hint="eastAsia"/>
          <w:color w:val="auto"/>
        </w:rPr>
        <w:t>) and receiver (</w:t>
      </w:r>
      <w:r w:rsidRPr="0008258C">
        <w:rPr>
          <w:rFonts w:hint="eastAsia"/>
          <w:color w:val="auto"/>
          <w:lang w:eastAsia="zh-CN"/>
        </w:rPr>
        <w:t>B</w:t>
      </w:r>
      <w:r w:rsidRPr="0008258C">
        <w:rPr>
          <w:rFonts w:hint="eastAsia"/>
          <w:color w:val="auto"/>
        </w:rPr>
        <w:t>) plants</w:t>
      </w:r>
      <w:r w:rsidRPr="0008258C">
        <w:rPr>
          <w:rFonts w:hint="eastAsia"/>
          <w:color w:val="auto"/>
          <w:lang w:eastAsia="zh-CN"/>
        </w:rPr>
        <w:t>, D: D</w:t>
      </w:r>
      <w:r w:rsidRPr="0008258C">
        <w:rPr>
          <w:color w:val="auto"/>
        </w:rPr>
        <w:t>onor plant</w:t>
      </w:r>
      <w:r w:rsidRPr="0008258C">
        <w:rPr>
          <w:rFonts w:hint="eastAsia"/>
          <w:color w:val="auto"/>
          <w:lang w:eastAsia="zh-CN"/>
        </w:rPr>
        <w:t>; r: Root; s: Stem; l: Leaf; TN: Total N</w:t>
      </w:r>
      <w:r w:rsidRPr="0008258C">
        <w:rPr>
          <w:color w:val="auto"/>
        </w:rPr>
        <w:t>itrogen</w:t>
      </w:r>
      <w:r w:rsidRPr="0008258C">
        <w:rPr>
          <w:rFonts w:hint="eastAsia"/>
          <w:color w:val="auto"/>
          <w:lang w:eastAsia="zh-CN"/>
        </w:rPr>
        <w:t xml:space="preserve">; TP: Total phosphorus; TK: Total potassium; biomass: Biomass; ECM Infiltration: </w:t>
      </w:r>
      <w:r w:rsidRPr="0008258C">
        <w:rPr>
          <w:color w:val="auto"/>
        </w:rPr>
        <w:t>ectomycorrhizal</w:t>
      </w:r>
      <w:r w:rsidRPr="0008258C">
        <w:rPr>
          <w:rFonts w:hint="eastAsia"/>
          <w:color w:val="auto"/>
          <w:lang w:eastAsia="zh-CN"/>
        </w:rPr>
        <w:t xml:space="preserve"> colonization ratio; N</w:t>
      </w:r>
      <w:bookmarkStart w:id="0" w:name="_GoBack"/>
      <w:r w:rsidRPr="00B075F4">
        <w:rPr>
          <w:rFonts w:hint="eastAsia"/>
          <w:color w:val="auto"/>
          <w:lang w:eastAsia="zh-CN"/>
        </w:rPr>
        <w:t xml:space="preserve"> </w:t>
      </w:r>
      <w:r w:rsidRPr="00B075F4">
        <w:rPr>
          <w:color w:val="auto"/>
        </w:rPr>
        <w:t>acquired</w:t>
      </w:r>
      <w:r w:rsidRPr="00B075F4">
        <w:rPr>
          <w:rFonts w:hint="eastAsia"/>
          <w:color w:val="auto"/>
          <w:lang w:eastAsia="zh-CN"/>
        </w:rPr>
        <w:t>: N</w:t>
      </w:r>
      <w:r w:rsidRPr="00B075F4">
        <w:rPr>
          <w:color w:val="auto"/>
        </w:rPr>
        <w:t>itrogen</w:t>
      </w:r>
      <w:r w:rsidRPr="00B075F4">
        <w:rPr>
          <w:rFonts w:hint="eastAsia"/>
          <w:color w:val="auto"/>
          <w:lang w:eastAsia="zh-CN"/>
        </w:rPr>
        <w:t xml:space="preserve"> absorption; Distribution: </w:t>
      </w:r>
      <w:r w:rsidRPr="00B075F4">
        <w:rPr>
          <w:color w:val="auto"/>
          <w:vertAlign w:val="superscript"/>
          <w:lang w:eastAsia="zh-CN"/>
        </w:rPr>
        <w:t>15</w:t>
      </w:r>
      <w:r w:rsidRPr="00B075F4">
        <w:rPr>
          <w:color w:val="auto"/>
          <w:lang w:eastAsia="zh-CN"/>
        </w:rPr>
        <w:t>N allocation [%]</w:t>
      </w:r>
      <w:r w:rsidRPr="00B075F4">
        <w:rPr>
          <w:rFonts w:hint="eastAsia"/>
          <w:color w:val="auto"/>
          <w:lang w:eastAsia="zh-CN"/>
        </w:rPr>
        <w:t xml:space="preserve">; </w:t>
      </w:r>
      <w:r w:rsidRPr="00B075F4">
        <w:rPr>
          <w:color w:val="auto"/>
          <w:vertAlign w:val="superscript"/>
          <w:lang w:eastAsia="zh-CN"/>
        </w:rPr>
        <w:t>15</w:t>
      </w:r>
      <w:r w:rsidRPr="00B075F4">
        <w:rPr>
          <w:rFonts w:hint="eastAsia"/>
          <w:color w:val="auto"/>
          <w:lang w:eastAsia="zh-CN"/>
        </w:rPr>
        <w:t xml:space="preserve">N </w:t>
      </w:r>
      <w:r w:rsidRPr="00B075F4">
        <w:rPr>
          <w:color w:val="auto"/>
        </w:rPr>
        <w:t>acquired</w:t>
      </w:r>
      <w:r w:rsidRPr="00B075F4">
        <w:rPr>
          <w:rFonts w:hint="eastAsia"/>
          <w:color w:val="auto"/>
          <w:lang w:eastAsia="zh-CN"/>
        </w:rPr>
        <w:t xml:space="preserve">: </w:t>
      </w:r>
      <w:bookmarkEnd w:id="0"/>
      <w:r w:rsidRPr="0008258C">
        <w:rPr>
          <w:rFonts w:hint="eastAsia"/>
          <w:color w:val="auto"/>
          <w:vertAlign w:val="superscript"/>
          <w:lang w:eastAsia="zh-CN"/>
        </w:rPr>
        <w:t>15</w:t>
      </w:r>
      <w:r w:rsidRPr="0008258C">
        <w:rPr>
          <w:rFonts w:hint="eastAsia"/>
          <w:color w:val="auto"/>
          <w:lang w:eastAsia="zh-CN"/>
        </w:rPr>
        <w:t xml:space="preserve">N absorption; Use: </w:t>
      </w:r>
      <w:r w:rsidRPr="0008258C">
        <w:rPr>
          <w:color w:val="auto"/>
        </w:rPr>
        <w:t>The</w:t>
      </w:r>
      <w:r w:rsidRPr="0008258C">
        <w:rPr>
          <w:rFonts w:hint="eastAsia"/>
          <w:color w:val="auto"/>
          <w:lang w:eastAsia="zh-CN"/>
        </w:rPr>
        <w:t xml:space="preserve"> </w:t>
      </w:r>
      <w:r w:rsidRPr="0008258C">
        <w:rPr>
          <w:color w:val="auto"/>
          <w:vertAlign w:val="superscript"/>
        </w:rPr>
        <w:t>15</w:t>
      </w:r>
      <w:r w:rsidRPr="0008258C">
        <w:rPr>
          <w:color w:val="auto"/>
        </w:rPr>
        <w:t>N use</w:t>
      </w:r>
      <w:r w:rsidRPr="0008258C">
        <w:rPr>
          <w:rFonts w:hint="eastAsia"/>
          <w:color w:val="auto"/>
          <w:lang w:eastAsia="zh-CN"/>
        </w:rPr>
        <w:t xml:space="preserve"> </w:t>
      </w:r>
      <w:r w:rsidRPr="0008258C">
        <w:rPr>
          <w:color w:val="auto"/>
        </w:rPr>
        <w:t>ratio</w:t>
      </w:r>
      <w:r w:rsidRPr="0008258C">
        <w:rPr>
          <w:rFonts w:hint="eastAsia"/>
          <w:color w:val="auto"/>
          <w:lang w:eastAsia="zh-CN"/>
        </w:rPr>
        <w:t>; Transmiss</w:t>
      </w:r>
      <w:r w:rsidRPr="0008258C">
        <w:rPr>
          <w:color w:val="auto"/>
          <w:lang w:eastAsia="zh-CN"/>
        </w:rPr>
        <w:t>i</w:t>
      </w:r>
      <w:r w:rsidRPr="0008258C">
        <w:rPr>
          <w:rFonts w:hint="eastAsia"/>
          <w:color w:val="auto"/>
          <w:lang w:eastAsia="zh-CN"/>
        </w:rPr>
        <w:t xml:space="preserve">bility: </w:t>
      </w:r>
      <w:r w:rsidRPr="0008258C">
        <w:rPr>
          <w:color w:val="auto"/>
        </w:rPr>
        <w:t xml:space="preserve">The </w:t>
      </w:r>
      <w:r w:rsidRPr="0008258C">
        <w:rPr>
          <w:color w:val="auto"/>
          <w:vertAlign w:val="superscript"/>
        </w:rPr>
        <w:t>15</w:t>
      </w:r>
      <w:r w:rsidRPr="0008258C">
        <w:rPr>
          <w:color w:val="auto"/>
        </w:rPr>
        <w:t>N transfer ratio</w:t>
      </w:r>
      <w:r w:rsidRPr="0008258C">
        <w:rPr>
          <w:rFonts w:hint="eastAsia"/>
          <w:color w:val="auto"/>
          <w:lang w:eastAsia="zh-CN"/>
        </w:rPr>
        <w:t>;</w:t>
      </w:r>
      <w:r w:rsidRPr="0008258C">
        <w:rPr>
          <w:color w:val="auto"/>
        </w:rPr>
        <w:t xml:space="preserve"> *: </w:t>
      </w:r>
      <w:r w:rsidRPr="0008258C">
        <w:rPr>
          <w:i/>
          <w:iCs/>
          <w:color w:val="auto"/>
        </w:rPr>
        <w:t>P</w:t>
      </w:r>
      <w:r w:rsidRPr="0008258C">
        <w:rPr>
          <w:color w:val="auto"/>
        </w:rPr>
        <w:t xml:space="preserve"> &lt; 0.05</w:t>
      </w:r>
      <w:r w:rsidRPr="0008258C">
        <w:rPr>
          <w:rFonts w:hint="eastAsia"/>
          <w:color w:val="auto"/>
          <w:lang w:eastAsia="zh-CN"/>
        </w:rPr>
        <w:t>,</w:t>
      </w:r>
      <w:r w:rsidRPr="0008258C">
        <w:rPr>
          <w:color w:val="auto"/>
        </w:rPr>
        <w:t xml:space="preserve"> **: </w:t>
      </w:r>
      <w:r w:rsidRPr="0008258C">
        <w:rPr>
          <w:i/>
          <w:iCs/>
          <w:color w:val="auto"/>
        </w:rPr>
        <w:t>P</w:t>
      </w:r>
      <w:r w:rsidRPr="0008258C">
        <w:rPr>
          <w:color w:val="auto"/>
        </w:rPr>
        <w:t xml:space="preserve"> &lt; 0.01</w:t>
      </w:r>
      <w:r w:rsidRPr="0008258C">
        <w:rPr>
          <w:rFonts w:hint="eastAsia"/>
          <w:color w:val="auto"/>
          <w:lang w:eastAsia="zh-CN"/>
        </w:rPr>
        <w:t>.</w:t>
      </w:r>
    </w:p>
    <w:p w:rsidR="00720A0C" w:rsidRDefault="00720A0C" w:rsidP="00720A0C">
      <w:pPr>
        <w:pStyle w:val="MDPI51figurecaption"/>
        <w:rPr>
          <w:color w:val="auto"/>
          <w:lang w:eastAsia="zh-CN"/>
        </w:rPr>
      </w:pPr>
    </w:p>
    <w:p w:rsidR="00720A0C" w:rsidRDefault="00720A0C" w:rsidP="00720A0C">
      <w:pPr>
        <w:pStyle w:val="MDPI51figurecaption"/>
        <w:rPr>
          <w:color w:val="auto"/>
          <w:lang w:eastAsia="zh-CN"/>
        </w:rPr>
      </w:pPr>
    </w:p>
    <w:p w:rsidR="00720A0C" w:rsidRPr="00720A0C" w:rsidRDefault="00720A0C" w:rsidP="00720A0C">
      <w:pPr>
        <w:pStyle w:val="MDPI51figurecaption"/>
        <w:rPr>
          <w:color w:val="auto"/>
          <w:lang w:eastAsia="zh-CN"/>
        </w:rPr>
      </w:pPr>
    </w:p>
    <w:p w:rsidR="00720A0C" w:rsidRPr="003C3F39" w:rsidRDefault="00720A0C" w:rsidP="00720A0C">
      <w:pPr>
        <w:rPr>
          <w:rFonts w:ascii="Times New Roman" w:hAnsi="Times New Roman" w:cs="Times New Roman"/>
          <w:color w:val="222222"/>
          <w:spacing w:val="2"/>
        </w:rPr>
      </w:pPr>
      <w:r w:rsidRPr="003C3F3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7501E8" wp14:editId="3AD6D9DA">
            <wp:extent cx="5074920" cy="2083443"/>
            <wp:effectExtent l="0" t="0" r="0" b="0"/>
            <wp:docPr id="46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8"/>
                    <a:srcRect l="4693" t="9860" r="4727" b="9897"/>
                    <a:stretch>
                      <a:fillRect/>
                    </a:stretch>
                  </pic:blipFill>
                  <pic:spPr>
                    <a:xfrm>
                      <a:off x="0" y="0"/>
                      <a:ext cx="5084486" cy="2087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0C" w:rsidRPr="00720A0C" w:rsidRDefault="00720A0C" w:rsidP="00720A0C">
      <w:pPr>
        <w:spacing w:afterLines="25" w:after="78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720A0C">
        <w:rPr>
          <w:rFonts w:ascii="Times New Roman" w:hAnsi="Times New Roman" w:cs="Times New Roman"/>
          <w:color w:val="000000" w:themeColor="text1"/>
          <w:sz w:val="18"/>
          <w:szCs w:val="18"/>
        </w:rPr>
        <w:t>Fig.S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3</w:t>
      </w:r>
      <w:r w:rsidRPr="00720A0C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Effect of ectomycorrhizal fungi on the height of </w:t>
      </w:r>
      <w:r w:rsidRPr="00720A0C">
        <w:rPr>
          <w:rFonts w:ascii="Times New Roman" w:eastAsia="黑体" w:hAnsi="Times New Roman" w:cs="Times New Roman"/>
          <w:color w:val="000000" w:themeColor="text1"/>
          <w:sz w:val="18"/>
          <w:szCs w:val="18"/>
        </w:rPr>
        <w:t>donor and receiver</w:t>
      </w:r>
      <w:r w:rsidRPr="00720A0C">
        <w:rPr>
          <w:rFonts w:ascii="Times New Roman" w:eastAsia="黑体" w:hAnsi="Times New Roman" w:cs="Times New Roman"/>
          <w:i/>
          <w:iCs/>
          <w:color w:val="000000" w:themeColor="text1"/>
          <w:sz w:val="18"/>
          <w:szCs w:val="18"/>
        </w:rPr>
        <w:t xml:space="preserve"> P. massoniana </w:t>
      </w:r>
      <w:r w:rsidRPr="00720A0C">
        <w:rPr>
          <w:rFonts w:ascii="Times New Roman" w:eastAsia="黑体" w:hAnsi="Times New Roman" w:cs="Times New Roman"/>
          <w:color w:val="000000" w:themeColor="text1"/>
          <w:sz w:val="18"/>
          <w:szCs w:val="18"/>
        </w:rPr>
        <w:t>seedlings</w:t>
      </w:r>
      <w:r w:rsidRPr="00720A0C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under different nitrogen levels</w:t>
      </w:r>
    </w:p>
    <w:p w:rsidR="00720A0C" w:rsidRPr="00720A0C" w:rsidRDefault="00720A0C" w:rsidP="00720A0C">
      <w:pPr>
        <w:pStyle w:val="MDPI31text"/>
        <w:spacing w:line="240" w:lineRule="auto"/>
        <w:rPr>
          <w:sz w:val="18"/>
          <w:szCs w:val="18"/>
          <w:lang w:eastAsia="zh-CN"/>
        </w:rPr>
      </w:pPr>
      <w:r w:rsidRPr="00720A0C">
        <w:rPr>
          <w:sz w:val="18"/>
          <w:szCs w:val="18"/>
        </w:rPr>
        <w:t>Note: N0</w:t>
      </w:r>
      <w:r w:rsidRPr="00720A0C">
        <w:rPr>
          <w:sz w:val="18"/>
          <w:szCs w:val="18"/>
        </w:rPr>
        <w:t>、</w:t>
      </w:r>
      <w:r w:rsidRPr="00720A0C">
        <w:rPr>
          <w:sz w:val="18"/>
          <w:szCs w:val="18"/>
        </w:rPr>
        <w:t>N2</w:t>
      </w:r>
      <w:r w:rsidRPr="00720A0C">
        <w:rPr>
          <w:sz w:val="18"/>
          <w:szCs w:val="18"/>
        </w:rPr>
        <w:t>、</w:t>
      </w:r>
      <w:r w:rsidRPr="00720A0C">
        <w:rPr>
          <w:sz w:val="18"/>
          <w:szCs w:val="18"/>
        </w:rPr>
        <w:t>N4</w:t>
      </w:r>
      <w:r w:rsidRPr="00720A0C">
        <w:rPr>
          <w:sz w:val="18"/>
          <w:szCs w:val="18"/>
        </w:rPr>
        <w:t>、</w:t>
      </w:r>
      <w:r w:rsidRPr="00720A0C">
        <w:rPr>
          <w:sz w:val="18"/>
          <w:szCs w:val="18"/>
        </w:rPr>
        <w:t>N6 were 0</w:t>
      </w:r>
      <w:r w:rsidRPr="00720A0C">
        <w:rPr>
          <w:sz w:val="18"/>
          <w:szCs w:val="18"/>
        </w:rPr>
        <w:t>、</w:t>
      </w:r>
      <w:r w:rsidRPr="00720A0C">
        <w:rPr>
          <w:sz w:val="18"/>
          <w:szCs w:val="18"/>
        </w:rPr>
        <w:t>2</w:t>
      </w:r>
      <w:r w:rsidRPr="00720A0C">
        <w:rPr>
          <w:sz w:val="18"/>
          <w:szCs w:val="18"/>
        </w:rPr>
        <w:t>、</w:t>
      </w:r>
      <w:r w:rsidRPr="00720A0C">
        <w:rPr>
          <w:sz w:val="18"/>
          <w:szCs w:val="18"/>
        </w:rPr>
        <w:t>4</w:t>
      </w:r>
      <w:r w:rsidRPr="00720A0C">
        <w:rPr>
          <w:sz w:val="18"/>
          <w:szCs w:val="18"/>
        </w:rPr>
        <w:t>、</w:t>
      </w:r>
      <w:r w:rsidRPr="00720A0C">
        <w:rPr>
          <w:sz w:val="18"/>
          <w:szCs w:val="18"/>
        </w:rPr>
        <w:t>6 g/L, respectively, nitrogen levels treatment; NE was not inoculated, Sm was inoculated; Different lowercase letters indicate significant differences among nitrogen treatments within each inoculation status, whereas different capital letters indicate significant differences between inoculation statuses within each nitrogen treatment (</w:t>
      </w:r>
      <w:r w:rsidRPr="00720A0C">
        <w:rPr>
          <w:i/>
          <w:sz w:val="18"/>
          <w:szCs w:val="18"/>
        </w:rPr>
        <w:t>P</w:t>
      </w:r>
      <w:r w:rsidRPr="00720A0C">
        <w:rPr>
          <w:sz w:val="18"/>
          <w:szCs w:val="18"/>
        </w:rPr>
        <w:t xml:space="preserve"> &lt; 0.05).</w:t>
      </w:r>
    </w:p>
    <w:p w:rsidR="00720A0C" w:rsidRPr="001529CA" w:rsidRDefault="00720A0C">
      <w:pPr>
        <w:rPr>
          <w:rFonts w:ascii="Times New Roman" w:eastAsia="宋体" w:hAnsi="Times New Roman" w:cs="Times New Roman" w:hint="eastAsia"/>
          <w:b/>
          <w:bCs/>
          <w:kern w:val="0"/>
          <w:sz w:val="18"/>
          <w:szCs w:val="18"/>
          <w14:ligatures w14:val="none"/>
        </w:rPr>
      </w:pPr>
    </w:p>
    <w:sectPr w:rsidR="00720A0C" w:rsidRPr="001529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A0C" w:rsidRDefault="00720A0C" w:rsidP="00720A0C">
      <w:pPr>
        <w:spacing w:after="0" w:line="240" w:lineRule="auto"/>
      </w:pPr>
      <w:r>
        <w:separator/>
      </w:r>
    </w:p>
  </w:endnote>
  <w:endnote w:type="continuationSeparator" w:id="0">
    <w:p w:rsidR="00720A0C" w:rsidRDefault="00720A0C" w:rsidP="00720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A0C" w:rsidRDefault="00720A0C" w:rsidP="00720A0C">
      <w:pPr>
        <w:spacing w:after="0" w:line="240" w:lineRule="auto"/>
      </w:pPr>
      <w:r>
        <w:separator/>
      </w:r>
    </w:p>
  </w:footnote>
  <w:footnote w:type="continuationSeparator" w:id="0">
    <w:p w:rsidR="00720A0C" w:rsidRDefault="00720A0C" w:rsidP="00720A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45C"/>
    <w:rsid w:val="001529CA"/>
    <w:rsid w:val="00504FBA"/>
    <w:rsid w:val="00720A0C"/>
    <w:rsid w:val="008E5587"/>
    <w:rsid w:val="00983BB8"/>
    <w:rsid w:val="009F745C"/>
    <w:rsid w:val="00A106D4"/>
    <w:rsid w:val="00B075F4"/>
    <w:rsid w:val="00BD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7B189A"/>
  <w15:chartTrackingRefBased/>
  <w15:docId w15:val="{4D62EC4E-4B2B-42F7-AFD2-F1889BCB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A0C"/>
    <w:pPr>
      <w:widowControl w:val="0"/>
      <w:spacing w:after="160" w:line="278" w:lineRule="auto"/>
    </w:pPr>
    <w:rPr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0A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sz w:val="18"/>
      <w:szCs w:val="18"/>
      <w14:ligatures w14:val="none"/>
    </w:rPr>
  </w:style>
  <w:style w:type="character" w:customStyle="1" w:styleId="a4">
    <w:name w:val="页眉 字符"/>
    <w:basedOn w:val="a0"/>
    <w:link w:val="a3"/>
    <w:uiPriority w:val="99"/>
    <w:rsid w:val="00720A0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20A0C"/>
    <w:pPr>
      <w:tabs>
        <w:tab w:val="center" w:pos="4153"/>
        <w:tab w:val="right" w:pos="8306"/>
      </w:tabs>
      <w:snapToGrid w:val="0"/>
      <w:spacing w:after="0" w:line="240" w:lineRule="auto"/>
    </w:pPr>
    <w:rPr>
      <w:sz w:val="18"/>
      <w:szCs w:val="18"/>
      <w14:ligatures w14:val="none"/>
    </w:rPr>
  </w:style>
  <w:style w:type="character" w:customStyle="1" w:styleId="a6">
    <w:name w:val="页脚 字符"/>
    <w:basedOn w:val="a0"/>
    <w:link w:val="a5"/>
    <w:uiPriority w:val="99"/>
    <w:rsid w:val="00720A0C"/>
    <w:rPr>
      <w:sz w:val="18"/>
      <w:szCs w:val="18"/>
    </w:rPr>
  </w:style>
  <w:style w:type="paragraph" w:customStyle="1" w:styleId="MDPI31text">
    <w:name w:val="MDPI_3.1_text"/>
    <w:autoRedefine/>
    <w:qFormat/>
    <w:rsid w:val="00720A0C"/>
    <w:pPr>
      <w:adjustRightInd w:val="0"/>
      <w:snapToGrid w:val="0"/>
      <w:spacing w:line="228" w:lineRule="auto"/>
      <w:jc w:val="both"/>
    </w:pPr>
    <w:rPr>
      <w:rFonts w:ascii="Times New Roman" w:eastAsia="宋体" w:hAnsi="Times New Roman" w:cs="Times New Roman"/>
      <w:bCs/>
      <w:snapToGrid w:val="0"/>
      <w:kern w:val="0"/>
      <w:sz w:val="20"/>
      <w:szCs w:val="20"/>
      <w:lang w:eastAsia="de-DE" w:bidi="en-US"/>
    </w:rPr>
  </w:style>
  <w:style w:type="paragraph" w:customStyle="1" w:styleId="MDPI51figurecaption">
    <w:name w:val="MDPI_5.1_figure_caption"/>
    <w:autoRedefine/>
    <w:qFormat/>
    <w:rsid w:val="00720A0C"/>
    <w:pPr>
      <w:adjustRightInd w:val="0"/>
      <w:snapToGrid w:val="0"/>
      <w:spacing w:before="120" w:after="240" w:line="228" w:lineRule="auto"/>
      <w:jc w:val="both"/>
    </w:pPr>
    <w:rPr>
      <w:rFonts w:ascii="Times New Roman" w:eastAsia="宋体" w:hAnsi="Times New Roman" w:cs="Times New Roman"/>
      <w:color w:val="000000"/>
      <w:kern w:val="0"/>
      <w:sz w:val="18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WangYi</dc:creator>
  <cp:keywords/>
  <dc:description/>
  <cp:lastModifiedBy>WangYi</cp:lastModifiedBy>
  <cp:revision>7</cp:revision>
  <dcterms:created xsi:type="dcterms:W3CDTF">2025-08-29T08:52:00Z</dcterms:created>
  <dcterms:modified xsi:type="dcterms:W3CDTF">2025-10-17T08:14:00Z</dcterms:modified>
</cp:coreProperties>
</file>