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7426" w14:textId="578710CC" w:rsidR="00CD1BD5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376E42">
        <w:rPr>
          <w:rFonts w:asciiTheme="majorBidi" w:hAnsiTheme="majorBidi" w:cstheme="majorBidi"/>
          <w:b/>
          <w:bCs/>
          <w:sz w:val="22"/>
          <w:szCs w:val="22"/>
        </w:rPr>
        <w:t xml:space="preserve">Supplementary </w:t>
      </w:r>
      <w:r w:rsidR="00C8478D" w:rsidRPr="00376E42">
        <w:rPr>
          <w:rFonts w:asciiTheme="majorBidi" w:hAnsiTheme="majorBidi" w:cstheme="majorBidi" w:hint="eastAsia"/>
          <w:b/>
          <w:bCs/>
          <w:sz w:val="22"/>
          <w:szCs w:val="22"/>
        </w:rPr>
        <w:t xml:space="preserve">File </w:t>
      </w:r>
      <w:r w:rsidR="00332040">
        <w:rPr>
          <w:rFonts w:asciiTheme="majorBidi" w:hAnsiTheme="majorBidi" w:cstheme="majorBidi"/>
          <w:b/>
          <w:bCs/>
          <w:sz w:val="22"/>
          <w:szCs w:val="22"/>
        </w:rPr>
        <w:t>S</w:t>
      </w:r>
      <w:r w:rsidRPr="00376E42">
        <w:rPr>
          <w:rFonts w:asciiTheme="majorBidi" w:hAnsiTheme="majorBidi" w:cstheme="majorBidi"/>
          <w:b/>
          <w:bCs/>
          <w:sz w:val="22"/>
          <w:szCs w:val="22"/>
        </w:rPr>
        <w:t>1</w:t>
      </w:r>
    </w:p>
    <w:p w14:paraId="099E6A63" w14:textId="5448E307" w:rsidR="00C8478D" w:rsidRDefault="00C8478D" w:rsidP="002D0686">
      <w:pPr>
        <w:snapToGrid w:val="0"/>
        <w:spacing w:after="0" w:line="480" w:lineRule="auto"/>
        <w:rPr>
          <w:rFonts w:asciiTheme="majorBidi" w:hAnsiTheme="majorBidi" w:cstheme="majorBidi"/>
          <w:b/>
          <w:bCs/>
          <w:sz w:val="22"/>
          <w:szCs w:val="22"/>
        </w:rPr>
      </w:pPr>
    </w:p>
    <w:p w14:paraId="1946612B" w14:textId="1BAE527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376E42">
        <w:rPr>
          <w:rFonts w:asciiTheme="majorBidi" w:hAnsiTheme="majorBidi" w:cstheme="majorBidi"/>
          <w:b/>
          <w:bCs/>
          <w:sz w:val="22"/>
          <w:szCs w:val="22"/>
        </w:rPr>
        <w:t>Me</w:t>
      </w:r>
      <w:r w:rsidR="00CD1BD5" w:rsidRPr="00376E42">
        <w:rPr>
          <w:rFonts w:asciiTheme="majorBidi" w:hAnsiTheme="majorBidi" w:cstheme="majorBidi"/>
          <w:b/>
          <w:bCs/>
          <w:sz w:val="22"/>
          <w:szCs w:val="22"/>
        </w:rPr>
        <w:t>asurements and variables</w:t>
      </w:r>
    </w:p>
    <w:p w14:paraId="7880651A" w14:textId="0B3A7716" w:rsidR="0067712D" w:rsidRPr="00C8478D" w:rsidRDefault="0067712D" w:rsidP="002D0686">
      <w:pPr>
        <w:pStyle w:val="3"/>
        <w:snapToGrid w:val="0"/>
        <w:spacing w:before="0" w:after="0" w:line="480" w:lineRule="auto"/>
        <w:rPr>
          <w:rFonts w:asciiTheme="majorBidi" w:hAnsiTheme="majorBidi"/>
          <w:i/>
          <w:color w:val="000000"/>
          <w:sz w:val="22"/>
          <w:szCs w:val="22"/>
        </w:rPr>
      </w:pPr>
      <w:r w:rsidRPr="00C8478D">
        <w:rPr>
          <w:rFonts w:asciiTheme="majorBidi" w:hAnsiTheme="majorBidi"/>
          <w:i/>
          <w:color w:val="000000"/>
          <w:sz w:val="22"/>
          <w:szCs w:val="22"/>
        </w:rPr>
        <w:t>Demographic information and body composition</w:t>
      </w:r>
    </w:p>
    <w:p w14:paraId="70B38603" w14:textId="351D3BCC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Demographic information and body composition assessments were detailed previously 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[</w:t>
      </w:r>
      <w:r w:rsidR="00160F19">
        <w:rPr>
          <w:rFonts w:asciiTheme="majorBidi" w:eastAsia="Times New Roman" w:hAnsiTheme="majorBidi" w:cstheme="majorBidi"/>
          <w:sz w:val="22"/>
          <w:szCs w:val="22"/>
        </w:rPr>
        <w:t>1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]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.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Data included age, sex, height (cm), weight (kg), visceral fat area (VFA; cm²), skeletal muscle mass (kg), and T-score (%). VFA was measured using a visceral fat meter (EW-FA90; Panasonic Corporation, Osaka, Japan), an authorized medical device in Japan (No. 22500BZX00522000). Collected data were correlated with those obtained using computed tomography, the gold standard for VFA measurement 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[</w:t>
      </w:r>
      <w:r w:rsidR="00160F19">
        <w:rPr>
          <w:rFonts w:asciiTheme="majorBidi" w:eastAsia="Times New Roman" w:hAnsiTheme="majorBidi" w:cstheme="majorBidi"/>
          <w:color w:val="000000"/>
          <w:sz w:val="22"/>
          <w:szCs w:val="22"/>
        </w:rPr>
        <w:t>2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]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.</w:t>
      </w:r>
    </w:p>
    <w:p w14:paraId="32290CC3" w14:textId="7777777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6BDB6F6D" w14:textId="3D8BC512" w:rsidR="0067712D" w:rsidRPr="00C8478D" w:rsidRDefault="0067712D" w:rsidP="002D0686">
      <w:pPr>
        <w:pStyle w:val="3"/>
        <w:snapToGrid w:val="0"/>
        <w:spacing w:before="0" w:after="0" w:line="480" w:lineRule="auto"/>
        <w:rPr>
          <w:rFonts w:asciiTheme="majorBidi" w:hAnsiTheme="majorBidi"/>
          <w:i/>
          <w:color w:val="000000"/>
          <w:sz w:val="22"/>
          <w:szCs w:val="22"/>
        </w:rPr>
      </w:pPr>
      <w:r w:rsidRPr="00C8478D">
        <w:rPr>
          <w:rFonts w:asciiTheme="majorBidi" w:hAnsiTheme="majorBidi"/>
          <w:i/>
          <w:color w:val="000000"/>
          <w:sz w:val="22"/>
          <w:szCs w:val="22"/>
        </w:rPr>
        <w:t>Blood markers and blood pressure</w:t>
      </w:r>
    </w:p>
    <w:p w14:paraId="5C4E9997" w14:textId="703DDB36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Blood samples were collected from the antecubital veins of all participants after fasting. Whole blood samples were immediately centrifuged to separate the serum. The levels of serum albumin, interleukin-6, white blood cells, red blood cells, adiponectin, hemoglobin, blood sugar, hemoglobin A1c, total triglycerides, HDL cholesterol (HDLC), aspartate aminotransferase, alanine aminotransferase, procollagen type I N-terminal </w:t>
      </w:r>
      <w:proofErr w:type="spellStart"/>
      <w:r w:rsidRPr="00376E42">
        <w:rPr>
          <w:rFonts w:asciiTheme="majorBidi" w:hAnsiTheme="majorBidi" w:cstheme="majorBidi"/>
          <w:color w:val="000000"/>
          <w:sz w:val="22"/>
          <w:szCs w:val="22"/>
        </w:rPr>
        <w:t>propeptide</w:t>
      </w:r>
      <w:proofErr w:type="spellEnd"/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, and tartrate-resistant acid phosphatase type 5b were analyzed by LSI </w:t>
      </w:r>
      <w:proofErr w:type="spellStart"/>
      <w:r w:rsidRPr="00376E42">
        <w:rPr>
          <w:rFonts w:asciiTheme="majorBidi" w:hAnsiTheme="majorBidi" w:cstheme="majorBidi"/>
          <w:color w:val="000000"/>
          <w:sz w:val="22"/>
          <w:szCs w:val="22"/>
        </w:rPr>
        <w:t>Medience</w:t>
      </w:r>
      <w:proofErr w:type="spellEnd"/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Co. (Tokyo, Japan). Systolic blood pressure (SBP) and diastolic blood pressure (DBP) were measured in the seated position using a sphygmomanometer (Omron Healthcare Co., Ltd., Kyoto, Japan).</w:t>
      </w:r>
    </w:p>
    <w:p w14:paraId="4E670C66" w14:textId="7777777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62537706" w14:textId="361413B7" w:rsidR="0067712D" w:rsidRPr="00C8478D" w:rsidRDefault="0067712D" w:rsidP="002D0686">
      <w:pPr>
        <w:pStyle w:val="3"/>
        <w:snapToGrid w:val="0"/>
        <w:spacing w:before="0" w:after="0" w:line="480" w:lineRule="auto"/>
        <w:rPr>
          <w:rFonts w:asciiTheme="majorBidi" w:hAnsiTheme="majorBidi"/>
          <w:i/>
          <w:color w:val="000000"/>
          <w:sz w:val="22"/>
          <w:szCs w:val="22"/>
        </w:rPr>
      </w:pPr>
      <w:r w:rsidRPr="00C8478D">
        <w:rPr>
          <w:rFonts w:asciiTheme="majorBidi" w:hAnsiTheme="majorBidi"/>
          <w:i/>
          <w:color w:val="000000"/>
          <w:sz w:val="22"/>
          <w:szCs w:val="22"/>
        </w:rPr>
        <w:t>Lifestyle factors</w:t>
      </w:r>
    </w:p>
    <w:p w14:paraId="370A1671" w14:textId="3B451498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The Brief-type Self-administered Diet History Questionnaire was used to assess dietary intake [proteins, lipids, carbohydrates, total dietary fiber, sodium, sugar, vitamin K, vitamin D, and serum calcium) over the preceding month. Exercise habits, including sports habits during non-winter seasons (exercise habit: none or </w:t>
      </w:r>
      <w:r w:rsidR="00BF7444">
        <w:rPr>
          <w:rFonts w:asciiTheme="majorBidi" w:hAnsiTheme="majorBidi" w:cstheme="majorBidi"/>
          <w:color w:val="000000"/>
          <w:sz w:val="22"/>
          <w:szCs w:val="22"/>
        </w:rPr>
        <w:t>≥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>1 day/week), time spent on sports (sports time: hours/week), frequency of work (</w:t>
      </w:r>
      <w:proofErr w:type="spellStart"/>
      <w:r w:rsidRPr="00376E42">
        <w:rPr>
          <w:rFonts w:asciiTheme="majorBidi" w:hAnsiTheme="majorBidi" w:cstheme="majorBidi"/>
          <w:color w:val="000000"/>
          <w:sz w:val="22"/>
          <w:szCs w:val="22"/>
        </w:rPr>
        <w:t>jobFreq</w:t>
      </w:r>
      <w:proofErr w:type="spellEnd"/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: 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lastRenderedPageBreak/>
        <w:t>days/week), and working hours (job hours: hours/day), were assessed using a self-administered questionnaire.</w:t>
      </w:r>
    </w:p>
    <w:p w14:paraId="190BD128" w14:textId="575F4E63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>Regarding sleep habits, average sleep time over the past month (hours/day) and overall sleep quality (Q7-7_P: 0 = very good, 1 = quite good, 2 = quite bad, 3 = very bad) were assessed using the Pittsburgh Sleep Quality Index. For the other habits, the number of cigarettes (cigarettes/day) and the frequency of dental attendance per year (Q12-2: 0 times, 1 time, 2 times, 3 or more times) were assessed using a self-administered questionnaire.</w:t>
      </w:r>
    </w:p>
    <w:p w14:paraId="7E5CF244" w14:textId="77777777" w:rsidR="00CD1BD5" w:rsidRPr="00376E42" w:rsidRDefault="00CD1BD5" w:rsidP="002D0686">
      <w:pPr>
        <w:snapToGrid w:val="0"/>
        <w:spacing w:after="0" w:line="480" w:lineRule="auto"/>
        <w:rPr>
          <w:rFonts w:asciiTheme="majorBidi" w:eastAsia="游明朝" w:hAnsiTheme="majorBidi" w:cstheme="majorBidi"/>
          <w:color w:val="000000"/>
          <w:sz w:val="22"/>
          <w:szCs w:val="22"/>
          <w:lang w:eastAsia="ja-JP"/>
        </w:rPr>
      </w:pPr>
    </w:p>
    <w:p w14:paraId="7563B8C8" w14:textId="6433DF23" w:rsidR="0067712D" w:rsidRPr="00376E42" w:rsidRDefault="0067712D" w:rsidP="002D0686">
      <w:pPr>
        <w:pStyle w:val="2"/>
        <w:snapToGrid w:val="0"/>
        <w:spacing w:before="0" w:after="0" w:line="480" w:lineRule="auto"/>
        <w:rPr>
          <w:rFonts w:asciiTheme="majorBidi" w:hAnsiTheme="majorBidi"/>
          <w:b/>
          <w:bCs/>
          <w:iCs/>
          <w:color w:val="000000"/>
          <w:sz w:val="22"/>
          <w:szCs w:val="22"/>
        </w:rPr>
      </w:pPr>
      <w:r w:rsidRPr="00376E42">
        <w:rPr>
          <w:rFonts w:asciiTheme="majorBidi" w:hAnsiTheme="majorBidi"/>
          <w:b/>
          <w:bCs/>
          <w:iCs/>
          <w:color w:val="000000"/>
          <w:sz w:val="22"/>
          <w:szCs w:val="22"/>
        </w:rPr>
        <w:t>Evaluation of locomotive syndrome</w:t>
      </w:r>
      <w:r w:rsidR="003335AD" w:rsidRPr="00376E42">
        <w:rPr>
          <w:rFonts w:asciiTheme="majorBidi" w:hAnsiTheme="majorBidi"/>
          <w:b/>
          <w:bCs/>
          <w:iCs/>
          <w:color w:val="000000"/>
          <w:sz w:val="22"/>
          <w:szCs w:val="22"/>
        </w:rPr>
        <w:t xml:space="preserve"> (LS)</w:t>
      </w:r>
    </w:p>
    <w:p w14:paraId="0DB4B4EA" w14:textId="6544422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LS severity was evaluated using the locomotive syndrome test, including the stand-up test, two-step test, and the 25-question Geriatric Locomotive Function Scale, and locomotive syndrome stages (non- locomotive syndrome, LS1) were determined based on the criteria 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[</w:t>
      </w:r>
      <w:r w:rsidR="00160F19">
        <w:rPr>
          <w:rFonts w:asciiTheme="majorBidi" w:eastAsia="Times New Roman" w:hAnsiTheme="majorBidi" w:cstheme="majorBidi"/>
          <w:sz w:val="22"/>
          <w:szCs w:val="22"/>
        </w:rPr>
        <w:t>3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]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.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</w:p>
    <w:p w14:paraId="688D29FB" w14:textId="7777777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0A906C23" w14:textId="06AAB467" w:rsidR="0067712D" w:rsidRPr="00376E42" w:rsidRDefault="0067712D" w:rsidP="002D0686">
      <w:pPr>
        <w:pStyle w:val="2"/>
        <w:snapToGrid w:val="0"/>
        <w:spacing w:before="0" w:after="0" w:line="480" w:lineRule="auto"/>
        <w:rPr>
          <w:rFonts w:asciiTheme="majorBidi" w:hAnsiTheme="majorBidi"/>
          <w:b/>
          <w:bCs/>
          <w:iCs/>
          <w:color w:val="000000"/>
          <w:sz w:val="22"/>
          <w:szCs w:val="22"/>
        </w:rPr>
      </w:pPr>
      <w:r w:rsidRPr="00376E42">
        <w:rPr>
          <w:rFonts w:asciiTheme="majorBidi" w:hAnsiTheme="majorBidi"/>
          <w:b/>
          <w:bCs/>
          <w:iCs/>
          <w:color w:val="000000"/>
          <w:sz w:val="22"/>
          <w:szCs w:val="22"/>
        </w:rPr>
        <w:t xml:space="preserve">Evaluation of </w:t>
      </w:r>
      <w:proofErr w:type="spellStart"/>
      <w:r w:rsidRPr="00376E42">
        <w:rPr>
          <w:rFonts w:asciiTheme="majorBidi" w:hAnsiTheme="majorBidi"/>
          <w:b/>
          <w:bCs/>
          <w:iCs/>
          <w:color w:val="000000"/>
          <w:sz w:val="22"/>
          <w:szCs w:val="22"/>
        </w:rPr>
        <w:t>MetS</w:t>
      </w:r>
      <w:proofErr w:type="spellEnd"/>
    </w:p>
    <w:p w14:paraId="6191280B" w14:textId="77C7F060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 w:rsidRPr="00376E42">
        <w:rPr>
          <w:rFonts w:asciiTheme="majorBidi" w:hAnsiTheme="majorBidi" w:cstheme="majorBidi"/>
          <w:color w:val="000000"/>
          <w:sz w:val="22"/>
          <w:szCs w:val="22"/>
        </w:rPr>
        <w:t>MetS</w:t>
      </w:r>
      <w:proofErr w:type="spellEnd"/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was defined according to Japanese criteria 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[</w:t>
      </w:r>
      <w:r w:rsidR="00160F19">
        <w:rPr>
          <w:rFonts w:asciiTheme="majorBidi" w:eastAsia="Times New Roman" w:hAnsiTheme="majorBidi" w:cstheme="majorBidi"/>
          <w:sz w:val="22"/>
          <w:szCs w:val="22"/>
        </w:rPr>
        <w:t>4</w:t>
      </w:r>
      <w:r w:rsidR="00A801EE">
        <w:rPr>
          <w:rFonts w:asciiTheme="majorBidi" w:eastAsia="Times New Roman" w:hAnsiTheme="majorBidi" w:cstheme="majorBidi"/>
          <w:color w:val="000000"/>
          <w:sz w:val="22"/>
          <w:szCs w:val="22"/>
        </w:rPr>
        <w:t>]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,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requiring abdominal obesity (waist circumference ≥ 85 cm in men, ≥ 90 cm in women) along with two or more of the following components: (1) high blood pressure (SBP ≥ 130 or DBP ≥ 85 mmHg); (2) high triglyceride levels (≥ 150 mg/dL) and/or reduced HDLC levels (&lt;40 mg/dL); and (3) high fasting glucose levels (</w:t>
      </w:r>
      <w:r w:rsidR="00BF7444">
        <w:rPr>
          <w:rFonts w:asciiTheme="majorBidi" w:hAnsiTheme="majorBidi" w:cstheme="majorBidi"/>
          <w:color w:val="000000"/>
          <w:sz w:val="22"/>
          <w:szCs w:val="22"/>
        </w:rPr>
        <w:t>≥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>110 mg/dL).</w:t>
      </w:r>
    </w:p>
    <w:p w14:paraId="18BA2A14" w14:textId="77777777" w:rsidR="0067712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38ED1350" w14:textId="4C5D85BD" w:rsidR="0067712D" w:rsidRPr="00376E42" w:rsidRDefault="0067712D" w:rsidP="002D0686">
      <w:pPr>
        <w:pStyle w:val="2"/>
        <w:snapToGrid w:val="0"/>
        <w:spacing w:before="0" w:after="0" w:line="480" w:lineRule="auto"/>
        <w:rPr>
          <w:rFonts w:asciiTheme="majorBidi" w:hAnsiTheme="majorBidi"/>
          <w:b/>
          <w:bCs/>
          <w:iCs/>
          <w:color w:val="000000"/>
          <w:sz w:val="22"/>
          <w:szCs w:val="22"/>
        </w:rPr>
      </w:pPr>
      <w:r w:rsidRPr="00376E42">
        <w:rPr>
          <w:rFonts w:asciiTheme="majorBidi" w:hAnsiTheme="majorBidi"/>
          <w:b/>
          <w:bCs/>
          <w:iCs/>
          <w:color w:val="000000"/>
          <w:sz w:val="22"/>
          <w:szCs w:val="22"/>
        </w:rPr>
        <w:t>Descriptive analyses</w:t>
      </w:r>
    </w:p>
    <w:p w14:paraId="46E93866" w14:textId="77777777" w:rsidR="003335AD" w:rsidRPr="00376E42" w:rsidRDefault="0067712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For the 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1</w:t>
      </w:r>
      <w:r w:rsidR="003335AD"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,</w:t>
      </w:r>
      <w:r w:rsidRPr="00376E42">
        <w:rPr>
          <w:rFonts w:asciiTheme="majorBidi" w:eastAsia="Times New Roman" w:hAnsiTheme="majorBidi" w:cstheme="majorBidi"/>
          <w:color w:val="000000"/>
          <w:sz w:val="22"/>
          <w:szCs w:val="22"/>
        </w:rPr>
        <w:t>236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 xml:space="preserve"> participants classified into the non-locomotive syndrome and LS1 groups, the following statistical analyses were performed between groups. Differences in continuous variables between the non-locomotive syndrome and LS1 groups were assessed using the Wilcoxon rank-sum test and are reported as mean ± standard deviation. Differences in proportions among categorical variables (sex, alcohol consumption, exercise habits, sleep quality, and dental attendance) were evaluated using the chi-square 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lastRenderedPageBreak/>
        <w:t xml:space="preserve">test and are reported as percentages. Statistical tests were two-tailed, and a </w:t>
      </w:r>
      <w:r w:rsidRPr="00376E42">
        <w:rPr>
          <w:rFonts w:asciiTheme="majorBidi" w:hAnsiTheme="majorBidi" w:cstheme="majorBidi"/>
          <w:i/>
          <w:color w:val="000000"/>
          <w:sz w:val="22"/>
          <w:szCs w:val="22"/>
        </w:rPr>
        <w:t>p</w:t>
      </w:r>
      <w:r w:rsidRPr="00376E42">
        <w:rPr>
          <w:rFonts w:asciiTheme="majorBidi" w:hAnsiTheme="majorBidi" w:cstheme="majorBidi"/>
          <w:color w:val="000000"/>
          <w:sz w:val="22"/>
          <w:szCs w:val="22"/>
        </w:rPr>
        <w:t>-value of &lt;0.05 was considered statistically significant. All statistical analyses were performed using R v.4.3.0.</w:t>
      </w:r>
    </w:p>
    <w:p w14:paraId="426A5193" w14:textId="77777777" w:rsidR="003335AD" w:rsidRPr="00376E42" w:rsidRDefault="003335AD" w:rsidP="002D0686">
      <w:pPr>
        <w:snapToGrid w:val="0"/>
        <w:spacing w:after="0" w:line="480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7A0AB9ED" w14:textId="3646E1C8" w:rsidR="0067712D" w:rsidRPr="00376E42" w:rsidRDefault="003335AD" w:rsidP="002D0686">
      <w:pPr>
        <w:snapToGrid w:val="0"/>
        <w:spacing w:after="0" w:line="480" w:lineRule="auto"/>
        <w:rPr>
          <w:rFonts w:asciiTheme="majorBidi" w:hAnsiTheme="majorBidi" w:cstheme="majorBidi"/>
          <w:b/>
          <w:bCs/>
          <w:color w:val="000000"/>
          <w:sz w:val="22"/>
          <w:szCs w:val="22"/>
        </w:rPr>
      </w:pPr>
      <w:r w:rsidRPr="00376E42">
        <w:rPr>
          <w:rFonts w:asciiTheme="majorBidi" w:hAnsiTheme="majorBidi" w:cstheme="majorBidi"/>
          <w:b/>
          <w:bCs/>
          <w:color w:val="000000"/>
          <w:sz w:val="22"/>
          <w:szCs w:val="22"/>
        </w:rPr>
        <w:t>References</w:t>
      </w:r>
    </w:p>
    <w:p w14:paraId="447AC55A" w14:textId="031E208C" w:rsidR="00AF7AAF" w:rsidRPr="00AF7AAF" w:rsidRDefault="00AF7AAF" w:rsidP="002D0686">
      <w:pPr>
        <w:snapToGrid w:val="0"/>
        <w:spacing w:after="0" w:line="480" w:lineRule="auto"/>
        <w:ind w:left="284" w:hanging="284"/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</w:pP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1.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ab/>
        <w:t xml:space="preserve">Miyazaki, T.,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et al.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Association of visceral fat area with early-stage locomotive syndrome across various age groups: A cross-sectional study.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Sci. Rep.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</w:t>
      </w:r>
      <w:r w:rsidRPr="00AF7AAF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IN"/>
        </w:rPr>
        <w:t>14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, 25498 (2024). https://doi.org/10.1038/s41598-024-76478-8.</w:t>
      </w:r>
    </w:p>
    <w:p w14:paraId="34F1D9F9" w14:textId="42197FDB" w:rsidR="00AF7AAF" w:rsidRPr="00AF7AAF" w:rsidRDefault="00AF7AAF" w:rsidP="002D0686">
      <w:pPr>
        <w:snapToGrid w:val="0"/>
        <w:spacing w:after="0" w:line="480" w:lineRule="auto"/>
        <w:ind w:left="284" w:hanging="284"/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</w:pP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2.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ab/>
        <w:t xml:space="preserve">Ryo, M.,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et al.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A new simple method for the measurement of visceral fat accumulation by bioelectrical impedance.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Diabetes Care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</w:t>
      </w:r>
      <w:r w:rsidRPr="00AF7AAF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IN"/>
        </w:rPr>
        <w:t>28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, 451–453 (2005). https://doi.org/10.2337/diacare.28.2.451.</w:t>
      </w:r>
    </w:p>
    <w:p w14:paraId="3D43FBDA" w14:textId="7C0DA533" w:rsidR="00AF7AAF" w:rsidRPr="00AF7AAF" w:rsidRDefault="00AF7AAF" w:rsidP="002D0686">
      <w:pPr>
        <w:snapToGrid w:val="0"/>
        <w:spacing w:after="0" w:line="480" w:lineRule="auto"/>
        <w:ind w:left="284" w:hanging="284"/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</w:pP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3.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ab/>
        <w:t xml:space="preserve">Nakamura, K. &amp; Ogata, T. Locomotive syndrome: definition and management.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 xml:space="preserve">Clin. Rev. Bone Miner. </w:t>
      </w:r>
      <w:proofErr w:type="spellStart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Metab</w:t>
      </w:r>
      <w:proofErr w:type="spellEnd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</w:t>
      </w:r>
      <w:r w:rsidRPr="00AF7AAF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IN"/>
        </w:rPr>
        <w:t>14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, 56–67 (2016). https://doi.org/10.1007/s12018-016-9208-2.</w:t>
      </w:r>
    </w:p>
    <w:p w14:paraId="74219E3A" w14:textId="070FD0BD" w:rsidR="00AF7AAF" w:rsidRPr="00AF7AAF" w:rsidRDefault="00AF7AAF" w:rsidP="002D0686">
      <w:pPr>
        <w:snapToGrid w:val="0"/>
        <w:spacing w:after="0" w:line="480" w:lineRule="auto"/>
        <w:ind w:left="284" w:hanging="284"/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</w:pP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4.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ab/>
        <w:t xml:space="preserve">Matsuzawa, Y. Metabolic syndrome—definition and diagnostic criteria in Japan. </w:t>
      </w:r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J. </w:t>
      </w:r>
      <w:proofErr w:type="spellStart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Atheroscler</w:t>
      </w:r>
      <w:proofErr w:type="spellEnd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 xml:space="preserve">. </w:t>
      </w:r>
      <w:proofErr w:type="spellStart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Thromb</w:t>
      </w:r>
      <w:proofErr w:type="spellEnd"/>
      <w:r w:rsidRPr="00AF7AAF">
        <w:rPr>
          <w:rFonts w:asciiTheme="majorBidi" w:eastAsia="Times New Roman" w:hAnsiTheme="majorBidi" w:cstheme="majorBidi"/>
          <w:i/>
          <w:iCs/>
          <w:color w:val="000000"/>
          <w:sz w:val="22"/>
          <w:szCs w:val="22"/>
          <w:lang w:val="en-IN"/>
        </w:rPr>
        <w:t>.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 xml:space="preserve"> </w:t>
      </w:r>
      <w:r w:rsidRPr="00AF7AAF">
        <w:rPr>
          <w:rFonts w:asciiTheme="majorBidi" w:eastAsia="Times New Roman" w:hAnsiTheme="majorBidi" w:cstheme="majorBidi"/>
          <w:b/>
          <w:bCs/>
          <w:color w:val="000000"/>
          <w:sz w:val="22"/>
          <w:szCs w:val="22"/>
          <w:lang w:val="en-IN"/>
        </w:rPr>
        <w:t>12</w:t>
      </w:r>
      <w:r w:rsidRPr="00AF7AAF">
        <w:rPr>
          <w:rFonts w:asciiTheme="majorBidi" w:eastAsia="Times New Roman" w:hAnsiTheme="majorBidi" w:cstheme="majorBidi"/>
          <w:color w:val="000000"/>
          <w:sz w:val="22"/>
          <w:szCs w:val="22"/>
          <w:lang w:val="en-IN"/>
        </w:rPr>
        <w:t>, 301 (2005). https://doi.org/10.5551/jat.12.301.</w:t>
      </w:r>
    </w:p>
    <w:p w14:paraId="1EB38B04" w14:textId="77777777" w:rsidR="003335AD" w:rsidRPr="003335AD" w:rsidRDefault="003335AD" w:rsidP="00F749F2">
      <w:pPr>
        <w:snapToGrid w:val="0"/>
        <w:spacing w:after="0" w:line="480" w:lineRule="auto"/>
        <w:rPr>
          <w:rFonts w:asciiTheme="majorBidi" w:hAnsiTheme="majorBidi" w:cstheme="majorBidi"/>
          <w:sz w:val="22"/>
          <w:szCs w:val="22"/>
        </w:rPr>
      </w:pPr>
    </w:p>
    <w:sectPr w:rsidR="003335AD" w:rsidRPr="00333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3F7F5" w14:textId="77777777" w:rsidR="000A4C8B" w:rsidRDefault="000A4C8B" w:rsidP="00376E42">
      <w:pPr>
        <w:spacing w:after="0" w:line="240" w:lineRule="auto"/>
      </w:pPr>
      <w:r>
        <w:separator/>
      </w:r>
    </w:p>
  </w:endnote>
  <w:endnote w:type="continuationSeparator" w:id="0">
    <w:p w14:paraId="796B7670" w14:textId="77777777" w:rsidR="000A4C8B" w:rsidRDefault="000A4C8B" w:rsidP="0037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C7B73" w14:textId="77777777" w:rsidR="000A4C8B" w:rsidRDefault="000A4C8B" w:rsidP="00376E42">
      <w:pPr>
        <w:spacing w:after="0" w:line="240" w:lineRule="auto"/>
      </w:pPr>
      <w:r>
        <w:separator/>
      </w:r>
    </w:p>
  </w:footnote>
  <w:footnote w:type="continuationSeparator" w:id="0">
    <w:p w14:paraId="7FE639CB" w14:textId="77777777" w:rsidR="000A4C8B" w:rsidRDefault="000A4C8B" w:rsidP="0037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378EF"/>
    <w:multiLevelType w:val="multilevel"/>
    <w:tmpl w:val="9BCA318C"/>
    <w:lvl w:ilvl="0">
      <w:start w:val="1"/>
      <w:numFmt w:val="decimal"/>
      <w:lvlText w:val="[%1]"/>
      <w:lvlJc w:val="left"/>
      <w:pPr>
        <w:ind w:left="990" w:hanging="360"/>
      </w:pPr>
      <w:rPr>
        <w:i w:val="0"/>
        <w:sz w:val="16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82400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2D"/>
    <w:rsid w:val="000A4C8B"/>
    <w:rsid w:val="00160F19"/>
    <w:rsid w:val="002D0686"/>
    <w:rsid w:val="00332040"/>
    <w:rsid w:val="003335AD"/>
    <w:rsid w:val="00376E42"/>
    <w:rsid w:val="00422966"/>
    <w:rsid w:val="004948F5"/>
    <w:rsid w:val="0067712D"/>
    <w:rsid w:val="007A3CA2"/>
    <w:rsid w:val="007B6601"/>
    <w:rsid w:val="007B783F"/>
    <w:rsid w:val="009D55A0"/>
    <w:rsid w:val="00A801EE"/>
    <w:rsid w:val="00AF7AAF"/>
    <w:rsid w:val="00B0532C"/>
    <w:rsid w:val="00BF7444"/>
    <w:rsid w:val="00C1296F"/>
    <w:rsid w:val="00C8478D"/>
    <w:rsid w:val="00CD1BD5"/>
    <w:rsid w:val="00CD3D67"/>
    <w:rsid w:val="00D615FC"/>
    <w:rsid w:val="00DA304C"/>
    <w:rsid w:val="00F749F2"/>
    <w:rsid w:val="00F7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C6A2E"/>
  <w15:chartTrackingRefBased/>
  <w15:docId w15:val="{34D66900-AAFC-496B-9AC3-DA72756B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1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771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771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1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71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rsid w:val="006771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6771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6771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67712D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6771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67712D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6771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6771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1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71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71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1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71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71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71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712D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rsid w:val="0067712D"/>
    <w:rPr>
      <w:sz w:val="16"/>
      <w:szCs w:val="20"/>
    </w:rPr>
  </w:style>
  <w:style w:type="paragraph" w:styleId="ab">
    <w:name w:val="annotation text"/>
    <w:basedOn w:val="a"/>
    <w:link w:val="ac"/>
    <w:rsid w:val="0067712D"/>
    <w:pPr>
      <w:spacing w:after="0" w:line="360" w:lineRule="auto"/>
    </w:pPr>
    <w:rPr>
      <w:rFonts w:ascii="Calibri" w:eastAsia="Calibri" w:hAnsi="Calibri" w:cs="Calibri"/>
      <w:kern w:val="0"/>
      <w:sz w:val="20"/>
      <w:szCs w:val="20"/>
      <w:lang w:val="en-CA" w:eastAsia="en-US"/>
      <w14:ligatures w14:val="none"/>
    </w:rPr>
  </w:style>
  <w:style w:type="character" w:customStyle="1" w:styleId="ac">
    <w:name w:val="コメント文字列 (文字)"/>
    <w:basedOn w:val="a0"/>
    <w:link w:val="ab"/>
    <w:rsid w:val="0067712D"/>
    <w:rPr>
      <w:rFonts w:ascii="Calibri" w:eastAsia="Calibri" w:hAnsi="Calibri" w:cs="Calibri"/>
      <w:kern w:val="0"/>
      <w:sz w:val="20"/>
      <w:szCs w:val="20"/>
      <w:lang w:val="en-CA" w:eastAsia="en-US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7712D"/>
    <w:pPr>
      <w:spacing w:after="160" w:line="240" w:lineRule="auto"/>
    </w:pPr>
    <w:rPr>
      <w:rFonts w:asciiTheme="minorHAnsi" w:eastAsiaTheme="minorEastAsia" w:hAnsiTheme="minorHAnsi" w:cstheme="minorBidi"/>
      <w:b/>
      <w:bCs/>
      <w:kern w:val="2"/>
      <w:lang w:val="en-US" w:eastAsia="zh-CN"/>
      <w14:ligatures w14:val="standardContextual"/>
    </w:rPr>
  </w:style>
  <w:style w:type="character" w:customStyle="1" w:styleId="ae">
    <w:name w:val="コメント内容 (文字)"/>
    <w:basedOn w:val="ac"/>
    <w:link w:val="ad"/>
    <w:uiPriority w:val="99"/>
    <w:semiHidden/>
    <w:rsid w:val="0067712D"/>
    <w:rPr>
      <w:rFonts w:ascii="Calibri" w:eastAsia="Calibri" w:hAnsi="Calibri" w:cs="Calibri"/>
      <w:b/>
      <w:bCs/>
      <w:kern w:val="0"/>
      <w:sz w:val="20"/>
      <w:szCs w:val="20"/>
      <w:lang w:val="en-CA" w:eastAsia="en-US"/>
      <w14:ligatures w14:val="none"/>
    </w:rPr>
  </w:style>
  <w:style w:type="paragraph" w:styleId="af">
    <w:name w:val="Revision"/>
    <w:hidden/>
    <w:uiPriority w:val="99"/>
    <w:semiHidden/>
    <w:rsid w:val="0067712D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CD1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D1BD5"/>
    <w:rPr>
      <w:rFonts w:ascii="Segoe UI" w:hAnsi="Segoe UI" w:cs="Segoe UI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376E4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76E42"/>
  </w:style>
  <w:style w:type="paragraph" w:styleId="af4">
    <w:name w:val="footer"/>
    <w:basedOn w:val="a"/>
    <w:link w:val="af5"/>
    <w:uiPriority w:val="99"/>
    <w:unhideWhenUsed/>
    <w:rsid w:val="00376E4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76E42"/>
  </w:style>
  <w:style w:type="character" w:styleId="af6">
    <w:name w:val="Hyperlink"/>
    <w:basedOn w:val="a0"/>
    <w:uiPriority w:val="99"/>
    <w:unhideWhenUsed/>
    <w:rsid w:val="00AF7AAF"/>
    <w:rPr>
      <w:color w:val="467886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F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Miyazaki Tadashi (宮崎 匡史)</cp:lastModifiedBy>
  <cp:revision>16</cp:revision>
  <dcterms:created xsi:type="dcterms:W3CDTF">2025-07-03T03:12:00Z</dcterms:created>
  <dcterms:modified xsi:type="dcterms:W3CDTF">2025-10-21T00:08:00Z</dcterms:modified>
</cp:coreProperties>
</file>