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A29" w:rsidRPr="00FE1DD5" w:rsidRDefault="00FE1DD5">
      <w:pPr>
        <w:rPr>
          <w:rFonts w:ascii="Calibri" w:eastAsia="Calibri" w:hAnsi="Calibri" w:cs="Calibri"/>
          <w:b/>
          <w:color w:val="FF0000"/>
          <w:sz w:val="28"/>
          <w:szCs w:val="28"/>
          <w:lang w:val="en-US"/>
        </w:rPr>
      </w:pPr>
      <w:r w:rsidRPr="00FE1DD5">
        <w:rPr>
          <w:rFonts w:ascii="Calibri" w:eastAsia="Calibri" w:hAnsi="Calibri" w:cs="Calibri"/>
          <w:b/>
          <w:sz w:val="28"/>
          <w:szCs w:val="28"/>
          <w:lang w:val="en-US"/>
        </w:rPr>
        <w:t>Supplementary Information for “Anthropogenic influence on temperature and precipitation trends in the Western Mediterranean: A multi-method approach”</w:t>
      </w:r>
    </w:p>
    <w:p w:rsidR="00DF1A29" w:rsidRPr="00FE1DD5" w:rsidRDefault="00DF1A29">
      <w:pPr>
        <w:rPr>
          <w:rFonts w:ascii="Calibri" w:eastAsia="Calibri" w:hAnsi="Calibri" w:cs="Calibri"/>
          <w:b/>
          <w:sz w:val="28"/>
          <w:szCs w:val="28"/>
          <w:lang w:val="en-US"/>
        </w:rPr>
      </w:pPr>
    </w:p>
    <w:p w:rsidR="00DF1A29" w:rsidRDefault="00FE1DD5">
      <w:pPr>
        <w:spacing w:before="120" w:after="360" w:line="240" w:lineRule="auto"/>
        <w:rPr>
          <w:rFonts w:ascii="Calibri" w:eastAsia="Calibri" w:hAnsi="Calibri" w:cs="Calibri"/>
          <w:b/>
          <w:sz w:val="24"/>
          <w:szCs w:val="24"/>
          <w:vertAlign w:val="superscript"/>
        </w:rPr>
      </w:pPr>
      <w:r>
        <w:rPr>
          <w:rFonts w:ascii="Calibri" w:eastAsia="Calibri" w:hAnsi="Calibri" w:cs="Calibri"/>
          <w:b/>
          <w:sz w:val="24"/>
          <w:szCs w:val="24"/>
        </w:rPr>
        <w:t>Diego A. Campos</w:t>
      </w:r>
      <w:r>
        <w:rPr>
          <w:rFonts w:ascii="Calibri" w:eastAsia="Calibri" w:hAnsi="Calibri" w:cs="Calibri"/>
          <w:b/>
          <w:sz w:val="24"/>
          <w:szCs w:val="24"/>
          <w:vertAlign w:val="superscript"/>
        </w:rPr>
        <w:t>1,2</w:t>
      </w:r>
      <w:r>
        <w:rPr>
          <w:rFonts w:ascii="Calibri" w:eastAsia="Calibri" w:hAnsi="Calibri" w:cs="Calibri"/>
          <w:b/>
          <w:sz w:val="24"/>
          <w:szCs w:val="24"/>
        </w:rPr>
        <w:t>, Matías E. Olmo</w:t>
      </w:r>
      <w:r>
        <w:rPr>
          <w:rFonts w:ascii="Calibri" w:eastAsia="Calibri" w:hAnsi="Calibri" w:cs="Calibri"/>
          <w:b/>
          <w:sz w:val="24"/>
          <w:szCs w:val="24"/>
          <w:vertAlign w:val="superscript"/>
        </w:rPr>
        <w:t>1</w:t>
      </w:r>
      <w:r>
        <w:rPr>
          <w:rFonts w:ascii="Calibri" w:eastAsia="Calibri" w:hAnsi="Calibri" w:cs="Calibri"/>
          <w:b/>
          <w:sz w:val="24"/>
          <w:szCs w:val="24"/>
        </w:rPr>
        <w:t>, Pep Cos</w:t>
      </w:r>
      <w:r>
        <w:rPr>
          <w:rFonts w:ascii="Calibri" w:eastAsia="Calibri" w:hAnsi="Calibri" w:cs="Calibri"/>
          <w:b/>
          <w:sz w:val="24"/>
          <w:szCs w:val="24"/>
          <w:vertAlign w:val="superscript"/>
        </w:rPr>
        <w:t>1</w:t>
      </w:r>
      <w:r>
        <w:rPr>
          <w:rFonts w:ascii="Calibri" w:eastAsia="Calibri" w:hAnsi="Calibri" w:cs="Calibri"/>
          <w:b/>
          <w:sz w:val="24"/>
          <w:szCs w:val="24"/>
        </w:rPr>
        <w:t>, Margarida Samsó</w:t>
      </w:r>
      <w:r>
        <w:rPr>
          <w:rFonts w:ascii="Calibri" w:eastAsia="Calibri" w:hAnsi="Calibri" w:cs="Calibri"/>
          <w:b/>
          <w:sz w:val="24"/>
          <w:szCs w:val="24"/>
          <w:vertAlign w:val="superscript"/>
        </w:rPr>
        <w:t>1</w:t>
      </w:r>
      <w:r>
        <w:rPr>
          <w:rFonts w:ascii="Calibri" w:eastAsia="Calibri" w:hAnsi="Calibri" w:cs="Calibri"/>
          <w:b/>
          <w:sz w:val="24"/>
          <w:szCs w:val="24"/>
        </w:rPr>
        <w:t>, and Francisco Doblas-Reyes</w:t>
      </w:r>
      <w:r>
        <w:rPr>
          <w:rFonts w:ascii="Calibri" w:eastAsia="Calibri" w:hAnsi="Calibri" w:cs="Calibri"/>
          <w:b/>
          <w:sz w:val="24"/>
          <w:szCs w:val="24"/>
          <w:vertAlign w:val="superscript"/>
        </w:rPr>
        <w:t>1,3</w:t>
      </w:r>
    </w:p>
    <w:p w:rsidR="00DF1A29" w:rsidRDefault="00DF1A29">
      <w:pPr>
        <w:spacing w:before="240" w:after="240" w:line="240" w:lineRule="auto"/>
        <w:rPr>
          <w:rFonts w:ascii="Calibri" w:eastAsia="Calibri" w:hAnsi="Calibri" w:cs="Calibri"/>
          <w:color w:val="00B0F0"/>
          <w:sz w:val="20"/>
          <w:szCs w:val="20"/>
        </w:rPr>
      </w:pPr>
    </w:p>
    <w:p w:rsidR="00DF1A29" w:rsidRDefault="00FE1DD5">
      <w:pPr>
        <w:spacing w:before="120" w:line="240" w:lineRule="auto"/>
        <w:rPr>
          <w:rFonts w:ascii="Calibri" w:eastAsia="Calibri" w:hAnsi="Calibri" w:cs="Calibri"/>
          <w:sz w:val="24"/>
          <w:szCs w:val="24"/>
        </w:rPr>
      </w:pPr>
      <w:r>
        <w:rPr>
          <w:rFonts w:ascii="Calibri" w:eastAsia="Calibri" w:hAnsi="Calibri" w:cs="Calibri"/>
          <w:sz w:val="24"/>
          <w:szCs w:val="24"/>
          <w:vertAlign w:val="superscript"/>
        </w:rPr>
        <w:t>1</w:t>
      </w:r>
      <w:r>
        <w:rPr>
          <w:rFonts w:ascii="Calibri" w:eastAsia="Calibri" w:hAnsi="Calibri" w:cs="Calibri"/>
          <w:sz w:val="24"/>
          <w:szCs w:val="24"/>
        </w:rPr>
        <w:t xml:space="preserve"> Earth Sciences Department, Barcelona Supercomputing Center, Barcelona, Spain.</w:t>
      </w:r>
    </w:p>
    <w:p w:rsidR="00DF1A29" w:rsidRDefault="00FE1DD5">
      <w:pPr>
        <w:spacing w:before="120" w:line="240" w:lineRule="auto"/>
        <w:rPr>
          <w:rFonts w:ascii="Calibri" w:eastAsia="Calibri" w:hAnsi="Calibri" w:cs="Calibri"/>
          <w:sz w:val="24"/>
          <w:szCs w:val="24"/>
        </w:rPr>
      </w:pPr>
      <w:r>
        <w:rPr>
          <w:rFonts w:ascii="Calibri" w:eastAsia="Calibri" w:hAnsi="Calibri" w:cs="Calibri"/>
          <w:sz w:val="24"/>
          <w:szCs w:val="24"/>
          <w:vertAlign w:val="superscript"/>
        </w:rPr>
        <w:t xml:space="preserve">2 </w:t>
      </w:r>
      <w:r>
        <w:rPr>
          <w:rFonts w:ascii="Calibri" w:eastAsia="Calibri" w:hAnsi="Calibri" w:cs="Calibri"/>
          <w:sz w:val="24"/>
          <w:szCs w:val="24"/>
        </w:rPr>
        <w:t>Facultat de Física, Universitat de Barcelona, Barcelona, Spain.</w:t>
      </w:r>
    </w:p>
    <w:p w:rsidR="00DF1A29" w:rsidRPr="00FE1DD5" w:rsidRDefault="00FE1DD5">
      <w:pPr>
        <w:spacing w:before="120" w:line="240" w:lineRule="auto"/>
        <w:rPr>
          <w:rFonts w:ascii="Calibri" w:eastAsia="Calibri" w:hAnsi="Calibri" w:cs="Calibri"/>
          <w:b/>
          <w:sz w:val="24"/>
          <w:szCs w:val="24"/>
          <w:lang w:val="en-US"/>
        </w:rPr>
      </w:pPr>
      <w:r w:rsidRPr="00FE1DD5">
        <w:rPr>
          <w:rFonts w:ascii="Calibri" w:eastAsia="Calibri" w:hAnsi="Calibri" w:cs="Calibri"/>
          <w:sz w:val="24"/>
          <w:szCs w:val="24"/>
          <w:vertAlign w:val="superscript"/>
          <w:lang w:val="en-US"/>
        </w:rPr>
        <w:t xml:space="preserve">3 </w:t>
      </w:r>
      <w:r w:rsidRPr="00FE1DD5">
        <w:rPr>
          <w:rFonts w:ascii="Calibri" w:eastAsia="Calibri" w:hAnsi="Calibri" w:cs="Calibri"/>
          <w:sz w:val="24"/>
          <w:szCs w:val="24"/>
          <w:lang w:val="en-US"/>
        </w:rPr>
        <w:t>Catalan Institution for Research and Advanced Studies, ICREA.</w:t>
      </w: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Default="00FE1DD5">
      <w:r>
        <w:rPr>
          <w:noProof/>
        </w:rPr>
        <w:drawing>
          <wp:inline distT="114300" distB="114300" distL="114300" distR="114300">
            <wp:extent cx="5731200" cy="2489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731200" cy="2489200"/>
                    </a:xfrm>
                    <a:prstGeom prst="rect">
                      <a:avLst/>
                    </a:prstGeom>
                    <a:ln/>
                  </pic:spPr>
                </pic:pic>
              </a:graphicData>
            </a:graphic>
          </wp:inline>
        </w:drawing>
      </w:r>
    </w:p>
    <w:p w:rsidR="00DF1A29" w:rsidRPr="00FE1DD5" w:rsidRDefault="00FE1DD5">
      <w:pPr>
        <w:rPr>
          <w:rFonts w:ascii="Calibri" w:eastAsia="Calibri" w:hAnsi="Calibri" w:cs="Calibri"/>
          <w:sz w:val="24"/>
          <w:szCs w:val="24"/>
          <w:lang w:val="en-US"/>
        </w:rPr>
      </w:pPr>
      <w:r w:rsidRPr="00FE1DD5">
        <w:rPr>
          <w:rFonts w:ascii="Calibri" w:eastAsia="Calibri" w:hAnsi="Calibri" w:cs="Calibri"/>
          <w:b/>
          <w:sz w:val="24"/>
          <w:szCs w:val="24"/>
          <w:lang w:val="en-US"/>
        </w:rPr>
        <w:t>Supplementary Figure 1:</w:t>
      </w:r>
      <w:r w:rsidRPr="00FE1DD5">
        <w:rPr>
          <w:rFonts w:ascii="Calibri" w:eastAsia="Calibri" w:hAnsi="Calibri" w:cs="Calibri"/>
          <w:sz w:val="24"/>
          <w:szCs w:val="24"/>
          <w:lang w:val="en-US"/>
        </w:rPr>
        <w:t xml:space="preserve"> Seasonal rank-sum test for temperature (lower half of each box) and precipitation (upper half of each box). Colours indicate the percentage of observations ((a), upper panels) and model ensemble members ((b), lower panels) that have</w:t>
      </w:r>
      <w:r w:rsidRPr="00FE1DD5">
        <w:rPr>
          <w:rFonts w:ascii="Calibri" w:eastAsia="Calibri" w:hAnsi="Calibri" w:cs="Calibri"/>
          <w:sz w:val="24"/>
          <w:szCs w:val="24"/>
          <w:lang w:val="en-US"/>
        </w:rPr>
        <w:t xml:space="preserve"> p-values lower than reference alpha = 0.05.</w:t>
      </w:r>
    </w:p>
    <w:p w:rsidR="00DF1A29" w:rsidRPr="00FE1DD5" w:rsidRDefault="00DF1A29">
      <w:pPr>
        <w:rPr>
          <w:rFonts w:ascii="Calibri" w:eastAsia="Calibri" w:hAnsi="Calibri" w:cs="Calibri"/>
          <w:sz w:val="24"/>
          <w:szCs w:val="24"/>
          <w:lang w:val="en-US"/>
        </w:rPr>
      </w:pPr>
    </w:p>
    <w:p w:rsidR="00DF1A29" w:rsidRPr="00FE1DD5" w:rsidRDefault="00FE1DD5">
      <w:pPr>
        <w:rPr>
          <w:rFonts w:ascii="Calibri" w:eastAsia="Calibri" w:hAnsi="Calibri" w:cs="Calibri"/>
          <w:sz w:val="24"/>
          <w:szCs w:val="24"/>
          <w:lang w:val="en-US"/>
        </w:rPr>
      </w:pPr>
      <w:r w:rsidRPr="00FE1DD5">
        <w:rPr>
          <w:rFonts w:ascii="Calibri" w:eastAsia="Calibri" w:hAnsi="Calibri" w:cs="Calibri"/>
          <w:sz w:val="24"/>
          <w:szCs w:val="24"/>
          <w:lang w:val="en-US"/>
        </w:rPr>
        <w:t>To assess whether the defined clusters effectively capture distinct regional climatologies, we compared the seasonal Probability Distribution Functions (PDFs) of temperature and precipitation across clusters us</w:t>
      </w:r>
      <w:r w:rsidRPr="00FE1DD5">
        <w:rPr>
          <w:rFonts w:ascii="Calibri" w:eastAsia="Calibri" w:hAnsi="Calibri" w:cs="Calibri"/>
          <w:sz w:val="24"/>
          <w:szCs w:val="24"/>
          <w:lang w:val="en-US"/>
        </w:rPr>
        <w:t>ing the non-parametric Rank-Sum test (Mann &amp; Whitney, 1947). For each variable, the PDFs were constructed using the median values within each cluster. Two clusters were considered significantly different if either temperature or precipitation showed a stat</w:t>
      </w:r>
      <w:r w:rsidRPr="00FE1DD5">
        <w:rPr>
          <w:rFonts w:ascii="Calibri" w:eastAsia="Calibri" w:hAnsi="Calibri" w:cs="Calibri"/>
          <w:sz w:val="24"/>
          <w:szCs w:val="24"/>
          <w:lang w:val="en-US"/>
        </w:rPr>
        <w:t>istically significant difference at the 5% level.</w:t>
      </w:r>
      <w:r w:rsidRPr="00FE1DD5">
        <w:rPr>
          <w:rFonts w:ascii="Calibri" w:eastAsia="Calibri" w:hAnsi="Calibri" w:cs="Calibri"/>
          <w:sz w:val="24"/>
          <w:szCs w:val="24"/>
          <w:lang w:val="en-US"/>
        </w:rPr>
        <w:br/>
        <w:t xml:space="preserve">Supplementary Figure 1 shows, in the upper panel, the percentage of observational datasets (out of three) with p-values below the reference </w:t>
      </w:r>
      <w:r>
        <w:rPr>
          <w:rFonts w:ascii="Calibri" w:eastAsia="Calibri" w:hAnsi="Calibri" w:cs="Calibri"/>
          <w:sz w:val="24"/>
          <w:szCs w:val="24"/>
        </w:rPr>
        <w:t>α</w:t>
      </w:r>
      <w:r w:rsidRPr="00FE1DD5">
        <w:rPr>
          <w:rFonts w:ascii="Calibri" w:eastAsia="Calibri" w:hAnsi="Calibri" w:cs="Calibri"/>
          <w:sz w:val="24"/>
          <w:szCs w:val="24"/>
          <w:lang w:val="en-US"/>
        </w:rPr>
        <w:t xml:space="preserve"> level, and in the lower panel, the percentage of model ensemble </w:t>
      </w:r>
      <w:r w:rsidRPr="00FE1DD5">
        <w:rPr>
          <w:rFonts w:ascii="Calibri" w:eastAsia="Calibri" w:hAnsi="Calibri" w:cs="Calibri"/>
          <w:sz w:val="24"/>
          <w:szCs w:val="24"/>
          <w:lang w:val="en-US"/>
        </w:rPr>
        <w:t>members meeting the same criterion. A higher percentage indicates a stronger ability of the model members (or observational datasets) to distinguish that pair of regions significantly, whether in terms of temperature or precipitation.</w:t>
      </w: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Pr="00FE1DD5" w:rsidRDefault="00DF1A29">
      <w:pPr>
        <w:rPr>
          <w:lang w:val="en-US"/>
        </w:rPr>
      </w:pPr>
    </w:p>
    <w:p w:rsidR="00DF1A29" w:rsidRDefault="00FE1DD5">
      <w:r>
        <w:rPr>
          <w:noProof/>
        </w:rPr>
        <w:lastRenderedPageBreak/>
        <w:drawing>
          <wp:inline distT="114300" distB="114300" distL="114300" distR="114300">
            <wp:extent cx="5731200" cy="4584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5731200" cy="4584700"/>
                    </a:xfrm>
                    <a:prstGeom prst="rect">
                      <a:avLst/>
                    </a:prstGeom>
                    <a:ln/>
                  </pic:spPr>
                </pic:pic>
              </a:graphicData>
            </a:graphic>
          </wp:inline>
        </w:drawing>
      </w:r>
    </w:p>
    <w:p w:rsidR="00DF1A29" w:rsidRPr="00FE1DD5" w:rsidRDefault="00FE1DD5">
      <w:pPr>
        <w:rPr>
          <w:rFonts w:ascii="Calibri" w:eastAsia="Calibri" w:hAnsi="Calibri" w:cs="Calibri"/>
          <w:sz w:val="24"/>
          <w:szCs w:val="24"/>
          <w:lang w:val="en-US"/>
        </w:rPr>
      </w:pPr>
      <w:r w:rsidRPr="00FE1DD5">
        <w:rPr>
          <w:rFonts w:ascii="Calibri" w:eastAsia="Calibri" w:hAnsi="Calibri" w:cs="Calibri"/>
          <w:b/>
          <w:sz w:val="24"/>
          <w:szCs w:val="24"/>
          <w:lang w:val="en-US"/>
        </w:rPr>
        <w:t>Supplementary Figure 2:</w:t>
      </w:r>
      <w:r w:rsidRPr="00FE1DD5">
        <w:rPr>
          <w:rFonts w:ascii="Calibri" w:eastAsia="Calibri" w:hAnsi="Calibri" w:cs="Calibri"/>
          <w:sz w:val="24"/>
          <w:szCs w:val="24"/>
          <w:lang w:val="en-US"/>
        </w:rPr>
        <w:t xml:space="preserve"> Sub-regional time mean (left panels) and time variance (right panels) of regional median temperature values for summer (top) and winter (bottom). Grey bars represent observations, blue bars correspond to historical simulations (actu</w:t>
      </w:r>
      <w:r w:rsidRPr="00FE1DD5">
        <w:rPr>
          <w:rFonts w:ascii="Calibri" w:eastAsia="Calibri" w:hAnsi="Calibri" w:cs="Calibri"/>
          <w:sz w:val="24"/>
          <w:szCs w:val="24"/>
          <w:lang w:val="en-US"/>
        </w:rPr>
        <w:t>al climate) for the 1961–1990 period, and green bars show results from 100-year segments of pre-industrial control runs. Vertical lines indicate the standard deviation of mean and variance values from observations and model ensemble members.</w:t>
      </w:r>
    </w:p>
    <w:p w:rsidR="00DF1A29" w:rsidRPr="00FE1DD5" w:rsidRDefault="00DF1A29">
      <w:pPr>
        <w:rPr>
          <w:b/>
          <w:lang w:val="en-US"/>
        </w:rPr>
      </w:pPr>
    </w:p>
    <w:p w:rsidR="00DF1A29" w:rsidRPr="00FE1DD5" w:rsidRDefault="00DF1A29">
      <w:pPr>
        <w:rPr>
          <w:b/>
          <w:lang w:val="en-US"/>
        </w:rPr>
      </w:pPr>
    </w:p>
    <w:p w:rsidR="00DF1A29" w:rsidRDefault="00FE1DD5">
      <w:pPr>
        <w:rPr>
          <w:b/>
        </w:rPr>
      </w:pPr>
      <w:r>
        <w:rPr>
          <w:b/>
          <w:noProof/>
        </w:rPr>
        <w:lastRenderedPageBreak/>
        <w:drawing>
          <wp:inline distT="114300" distB="114300" distL="114300" distR="114300">
            <wp:extent cx="5731200" cy="4597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731200" cy="4597400"/>
                    </a:xfrm>
                    <a:prstGeom prst="rect">
                      <a:avLst/>
                    </a:prstGeom>
                    <a:ln/>
                  </pic:spPr>
                </pic:pic>
              </a:graphicData>
            </a:graphic>
          </wp:inline>
        </w:drawing>
      </w:r>
    </w:p>
    <w:p w:rsidR="00DF1A29" w:rsidRPr="00FE1DD5" w:rsidRDefault="00FE1DD5">
      <w:pPr>
        <w:rPr>
          <w:b/>
          <w:lang w:val="en-US"/>
        </w:rPr>
      </w:pPr>
      <w:r w:rsidRPr="00FE1DD5">
        <w:rPr>
          <w:rFonts w:ascii="Calibri" w:eastAsia="Calibri" w:hAnsi="Calibri" w:cs="Calibri"/>
          <w:b/>
          <w:sz w:val="24"/>
          <w:szCs w:val="24"/>
          <w:lang w:val="en-US"/>
        </w:rPr>
        <w:t>Supplement</w:t>
      </w:r>
      <w:r w:rsidRPr="00FE1DD5">
        <w:rPr>
          <w:rFonts w:ascii="Calibri" w:eastAsia="Calibri" w:hAnsi="Calibri" w:cs="Calibri"/>
          <w:b/>
          <w:sz w:val="24"/>
          <w:szCs w:val="24"/>
          <w:lang w:val="en-US"/>
        </w:rPr>
        <w:t>ary Figure 3:</w:t>
      </w:r>
      <w:r w:rsidRPr="00FE1DD5">
        <w:rPr>
          <w:rFonts w:ascii="Calibri" w:eastAsia="Calibri" w:hAnsi="Calibri" w:cs="Calibri"/>
          <w:sz w:val="24"/>
          <w:szCs w:val="24"/>
          <w:lang w:val="en-US"/>
        </w:rPr>
        <w:t xml:space="preserve"> Sub-regional time mean (left panels) and time variance (right panels) of regional median precipitation values for summer (top) and winter (bottom). Grey bars represent observations, blue bars correspond to historical simulations (actual clima</w:t>
      </w:r>
      <w:r w:rsidRPr="00FE1DD5">
        <w:rPr>
          <w:rFonts w:ascii="Calibri" w:eastAsia="Calibri" w:hAnsi="Calibri" w:cs="Calibri"/>
          <w:sz w:val="24"/>
          <w:szCs w:val="24"/>
          <w:lang w:val="en-US"/>
        </w:rPr>
        <w:t>te) for the 1961–1990 period, and green bars show results from 100-year segments of pre-industrial control runs. Vertical lines indicate the standard deviation of mean and variance values from observations and model ensemble members.</w:t>
      </w:r>
    </w:p>
    <w:p w:rsidR="00DF1A29" w:rsidRDefault="00DF1A29">
      <w:pPr>
        <w:rPr>
          <w:b/>
          <w:lang w:val="en-US"/>
        </w:rPr>
      </w:pPr>
    </w:p>
    <w:p w:rsidR="00FE1DD5" w:rsidRPr="00FE1DD5" w:rsidRDefault="00FE1DD5">
      <w:pPr>
        <w:rPr>
          <w:b/>
          <w:lang w:val="en-US"/>
        </w:rPr>
      </w:pPr>
      <w:bookmarkStart w:id="0" w:name="_GoBack"/>
      <w:bookmarkEnd w:id="0"/>
    </w:p>
    <w:p w:rsidR="00DF1A29" w:rsidRPr="00FE1DD5" w:rsidRDefault="00DF1A29">
      <w:pPr>
        <w:rPr>
          <w:b/>
          <w:lang w:val="en-US"/>
        </w:rPr>
      </w:pPr>
    </w:p>
    <w:p w:rsidR="00DF1A29" w:rsidRPr="00FE1DD5" w:rsidRDefault="00DF1A29">
      <w:pPr>
        <w:rPr>
          <w:b/>
          <w:lang w:val="en-US"/>
        </w:rPr>
      </w:pPr>
    </w:p>
    <w:p w:rsidR="00DF1A29" w:rsidRDefault="00FE1DD5">
      <w:pPr>
        <w:jc w:val="center"/>
        <w:rPr>
          <w:b/>
        </w:rPr>
      </w:pPr>
      <w:r>
        <w:rPr>
          <w:b/>
          <w:noProof/>
        </w:rPr>
        <w:lastRenderedPageBreak/>
        <w:drawing>
          <wp:inline distT="114300" distB="114300" distL="114300" distR="114300">
            <wp:extent cx="5731200" cy="2387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2387600"/>
                    </a:xfrm>
                    <a:prstGeom prst="rect">
                      <a:avLst/>
                    </a:prstGeom>
                    <a:ln/>
                  </pic:spPr>
                </pic:pic>
              </a:graphicData>
            </a:graphic>
          </wp:inline>
        </w:drawing>
      </w:r>
    </w:p>
    <w:p w:rsidR="00DF1A29" w:rsidRPr="00FE1DD5" w:rsidRDefault="00FE1DD5">
      <w:pPr>
        <w:rPr>
          <w:rFonts w:ascii="Calibri" w:eastAsia="Calibri" w:hAnsi="Calibri" w:cs="Calibri"/>
          <w:sz w:val="24"/>
          <w:szCs w:val="24"/>
          <w:lang w:val="en-US"/>
        </w:rPr>
      </w:pPr>
      <w:r w:rsidRPr="00FE1DD5">
        <w:rPr>
          <w:rFonts w:ascii="Calibri" w:eastAsia="Calibri" w:hAnsi="Calibri" w:cs="Calibri"/>
          <w:b/>
          <w:sz w:val="24"/>
          <w:szCs w:val="24"/>
          <w:lang w:val="en-US"/>
        </w:rPr>
        <w:t>Supplementary Fig</w:t>
      </w:r>
      <w:r w:rsidRPr="00FE1DD5">
        <w:rPr>
          <w:rFonts w:ascii="Calibri" w:eastAsia="Calibri" w:hAnsi="Calibri" w:cs="Calibri"/>
          <w:b/>
          <w:sz w:val="24"/>
          <w:szCs w:val="24"/>
          <w:lang w:val="en-US"/>
        </w:rPr>
        <w:t>ure 4:</w:t>
      </w:r>
      <w:r w:rsidRPr="00FE1DD5">
        <w:rPr>
          <w:rFonts w:ascii="Calibri" w:eastAsia="Calibri" w:hAnsi="Calibri" w:cs="Calibri"/>
          <w:sz w:val="24"/>
          <w:szCs w:val="24"/>
          <w:lang w:val="en-US"/>
        </w:rPr>
        <w:t xml:space="preserve"> Distribution of simulated 1951-2020 trends for </w:t>
      </w:r>
      <w:r w:rsidRPr="00FE1DD5">
        <w:rPr>
          <w:rFonts w:ascii="Calibri" w:eastAsia="Calibri" w:hAnsi="Calibri" w:cs="Calibri"/>
          <w:i/>
          <w:sz w:val="24"/>
          <w:szCs w:val="24"/>
          <w:lang w:val="en-US"/>
        </w:rPr>
        <w:t>Historical</w:t>
      </w:r>
      <w:r w:rsidRPr="00FE1DD5">
        <w:rPr>
          <w:rFonts w:ascii="Calibri" w:eastAsia="Calibri" w:hAnsi="Calibri" w:cs="Calibri"/>
          <w:sz w:val="24"/>
          <w:szCs w:val="24"/>
          <w:lang w:val="en-US"/>
        </w:rPr>
        <w:t xml:space="preserve"> (light blue) en </w:t>
      </w:r>
      <w:r w:rsidRPr="00FE1DD5">
        <w:rPr>
          <w:rFonts w:ascii="Calibri" w:eastAsia="Calibri" w:hAnsi="Calibri" w:cs="Calibri"/>
          <w:i/>
          <w:sz w:val="24"/>
          <w:szCs w:val="24"/>
          <w:lang w:val="en-US"/>
        </w:rPr>
        <w:t>Natural-only</w:t>
      </w:r>
      <w:r w:rsidRPr="00FE1DD5">
        <w:rPr>
          <w:rFonts w:ascii="Calibri" w:eastAsia="Calibri" w:hAnsi="Calibri" w:cs="Calibri"/>
          <w:sz w:val="24"/>
          <w:szCs w:val="24"/>
          <w:lang w:val="en-US"/>
        </w:rPr>
        <w:t xml:space="preserve"> (green) experiments of summer temperature (left) and winter precipitation (right) in Region 7. Vertical lines show the mean observed and simulated trends for this</w:t>
      </w:r>
      <w:r w:rsidRPr="00FE1DD5">
        <w:rPr>
          <w:rFonts w:ascii="Calibri" w:eastAsia="Calibri" w:hAnsi="Calibri" w:cs="Calibri"/>
          <w:sz w:val="24"/>
          <w:szCs w:val="24"/>
          <w:lang w:val="en-US"/>
        </w:rPr>
        <w:t xml:space="preserve"> region in each case. Distributions are Gaussian and obtained using all the ensemble members of the corresponding model subset. The observed trend is obtained as the mean trend using the observation datasets. The simulated trend is obtained as the mean of </w:t>
      </w:r>
      <w:r w:rsidRPr="00FE1DD5">
        <w:rPr>
          <w:rFonts w:ascii="Calibri" w:eastAsia="Calibri" w:hAnsi="Calibri" w:cs="Calibri"/>
          <w:sz w:val="24"/>
          <w:szCs w:val="24"/>
          <w:lang w:val="en-US"/>
        </w:rPr>
        <w:t xml:space="preserve">the multi-model ensemble. </w:t>
      </w: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rPr>
          <w:rFonts w:ascii="Calibri" w:eastAsia="Calibri" w:hAnsi="Calibri" w:cs="Calibri"/>
          <w:sz w:val="24"/>
          <w:szCs w:val="24"/>
          <w:lang w:val="en-US"/>
        </w:rPr>
      </w:pPr>
    </w:p>
    <w:p w:rsidR="00DF1A29" w:rsidRPr="00FE1DD5" w:rsidRDefault="00DF1A29">
      <w:pPr>
        <w:keepNext/>
        <w:spacing w:before="240" w:after="120" w:line="360" w:lineRule="auto"/>
        <w:rPr>
          <w:rFonts w:ascii="Calibri" w:eastAsia="Calibri" w:hAnsi="Calibri" w:cs="Calibri"/>
          <w:b/>
          <w:sz w:val="24"/>
          <w:szCs w:val="24"/>
          <w:lang w:val="en-US"/>
        </w:rPr>
      </w:pPr>
    </w:p>
    <w:p w:rsidR="00DF1A29" w:rsidRPr="00FE1DD5" w:rsidRDefault="00DF1A29">
      <w:pPr>
        <w:keepNext/>
        <w:spacing w:before="240" w:after="120" w:line="360" w:lineRule="auto"/>
        <w:rPr>
          <w:rFonts w:ascii="Calibri" w:eastAsia="Calibri" w:hAnsi="Calibri" w:cs="Calibri"/>
          <w:b/>
          <w:sz w:val="24"/>
          <w:szCs w:val="24"/>
          <w:lang w:val="en-US"/>
        </w:rPr>
      </w:pPr>
    </w:p>
    <w:p w:rsidR="00DF1A29" w:rsidRPr="00FE1DD5" w:rsidRDefault="00FE1DD5">
      <w:pPr>
        <w:keepNext/>
        <w:spacing w:before="240" w:after="120" w:line="360" w:lineRule="auto"/>
        <w:rPr>
          <w:rFonts w:ascii="Calibri" w:eastAsia="Calibri" w:hAnsi="Calibri" w:cs="Calibri"/>
          <w:b/>
          <w:sz w:val="24"/>
          <w:szCs w:val="24"/>
          <w:lang w:val="en-US"/>
        </w:rPr>
      </w:pPr>
      <w:r w:rsidRPr="00FE1DD5">
        <w:rPr>
          <w:lang w:val="en-US"/>
        </w:rPr>
        <w:br w:type="page"/>
      </w:r>
    </w:p>
    <w:p w:rsidR="00DF1A29" w:rsidRDefault="00FE1DD5">
      <w:pPr>
        <w:keepNext/>
        <w:spacing w:before="240" w:after="120" w:line="360" w:lineRule="auto"/>
        <w:rPr>
          <w:rFonts w:ascii="Calibri" w:eastAsia="Calibri" w:hAnsi="Calibri" w:cs="Calibri"/>
          <w:sz w:val="24"/>
          <w:szCs w:val="24"/>
        </w:rPr>
      </w:pPr>
      <w:r w:rsidRPr="00FE1DD5">
        <w:rPr>
          <w:rFonts w:ascii="Calibri" w:eastAsia="Calibri" w:hAnsi="Calibri" w:cs="Calibri"/>
          <w:b/>
          <w:sz w:val="24"/>
          <w:szCs w:val="24"/>
          <w:lang w:val="en-US"/>
        </w:rPr>
        <w:lastRenderedPageBreak/>
        <w:t>Supplementary Table 1:</w:t>
      </w:r>
      <w:r w:rsidRPr="00FE1DD5">
        <w:rPr>
          <w:rFonts w:ascii="Calibri" w:eastAsia="Calibri" w:hAnsi="Calibri" w:cs="Calibri"/>
          <w:sz w:val="24"/>
          <w:szCs w:val="24"/>
          <w:lang w:val="en-US"/>
        </w:rPr>
        <w:t xml:space="preserve"> P-values from the </w:t>
      </w:r>
      <m:oMath>
        <m:sSup>
          <m:sSupPr>
            <m:ctrlPr>
              <w:rPr>
                <w:rFonts w:ascii="Calibri" w:eastAsia="Calibri" w:hAnsi="Calibri" w:cs="Calibri"/>
                <w:sz w:val="24"/>
                <w:szCs w:val="24"/>
              </w:rPr>
            </m:ctrlPr>
          </m:sSupPr>
          <m:e>
            <m:r>
              <w:rPr>
                <w:rFonts w:ascii="Cambria Math" w:hAnsi="Cambria Math"/>
              </w:rPr>
              <m:t>χ</m:t>
            </m:r>
          </m:e>
          <m:sup>
            <m:r>
              <w:rPr>
                <w:rFonts w:ascii="Calibri" w:eastAsia="Calibri" w:hAnsi="Calibri" w:cs="Calibri"/>
                <w:sz w:val="24"/>
                <w:szCs w:val="24"/>
                <w:lang w:val="en-US"/>
              </w:rPr>
              <m:t>2</m:t>
            </m:r>
          </m:sup>
        </m:sSup>
      </m:oMath>
      <w:r w:rsidRPr="00FE1DD5">
        <w:rPr>
          <w:rFonts w:ascii="Calibri" w:eastAsia="Calibri" w:hAnsi="Calibri" w:cs="Calibri"/>
          <w:sz w:val="24"/>
          <w:szCs w:val="24"/>
          <w:lang w:val="en-US"/>
        </w:rPr>
        <w:t>hypothesis test for temperature statistical models. The model with All Forcings (AFs), Internal variability only (IV), greenhouse gases only (GHG), anthropogenic aerosol</w:t>
      </w:r>
      <w:r w:rsidRPr="00FE1DD5">
        <w:rPr>
          <w:rFonts w:ascii="Calibri" w:eastAsia="Calibri" w:hAnsi="Calibri" w:cs="Calibri"/>
          <w:sz w:val="24"/>
          <w:szCs w:val="24"/>
          <w:lang w:val="en-US"/>
        </w:rPr>
        <w:t xml:space="preserve">s only (AAer) and natural only (Nat) as described in the Methods section. </w:t>
      </w:r>
      <w:r>
        <w:rPr>
          <w:rFonts w:ascii="Calibri" w:eastAsia="Calibri" w:hAnsi="Calibri" w:cs="Calibri"/>
          <w:sz w:val="24"/>
          <w:szCs w:val="24"/>
        </w:rPr>
        <w:t>In bold p-values &lt; 0.05.</w:t>
      </w:r>
    </w:p>
    <w:tbl>
      <w:tblPr>
        <w:tblStyle w:val="a"/>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25"/>
        <w:gridCol w:w="825"/>
        <w:gridCol w:w="825"/>
        <w:gridCol w:w="825"/>
        <w:gridCol w:w="825"/>
        <w:gridCol w:w="825"/>
        <w:gridCol w:w="825"/>
      </w:tblGrid>
      <w:tr w:rsidR="00DF1A29">
        <w:trPr>
          <w:trHeight w:val="439"/>
        </w:trPr>
        <w:tc>
          <w:tcPr>
            <w:tcW w:w="825" w:type="dxa"/>
            <w:tcBorders>
              <w:top w:val="single" w:sz="4" w:space="0" w:color="000000"/>
              <w:left w:val="nil"/>
              <w:bottom w:val="nil"/>
              <w:right w:val="nil"/>
            </w:tcBorders>
          </w:tcPr>
          <w:p w:rsidR="00DF1A29" w:rsidRDefault="00DF1A29">
            <w:pPr>
              <w:widowControl w:val="0"/>
              <w:spacing w:line="240" w:lineRule="auto"/>
              <w:rPr>
                <w:rFonts w:ascii="Calibri" w:eastAsia="Calibri" w:hAnsi="Calibri" w:cs="Calibri"/>
                <w:sz w:val="20"/>
                <w:szCs w:val="20"/>
              </w:rPr>
            </w:pPr>
          </w:p>
        </w:tc>
        <w:tc>
          <w:tcPr>
            <w:tcW w:w="4125" w:type="dxa"/>
            <w:gridSpan w:val="5"/>
            <w:tcBorders>
              <w:top w:val="single" w:sz="4" w:space="0" w:color="000000"/>
              <w:left w:val="nil"/>
              <w:bottom w:val="dotted" w:sz="8" w:space="0" w:color="000000"/>
            </w:tcBorders>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Winter</w:t>
            </w:r>
          </w:p>
        </w:tc>
        <w:tc>
          <w:tcPr>
            <w:tcW w:w="4125" w:type="dxa"/>
            <w:gridSpan w:val="5"/>
            <w:tcBorders>
              <w:top w:val="single" w:sz="4" w:space="0" w:color="000000"/>
              <w:bottom w:val="dotted" w:sz="8" w:space="0" w:color="000000"/>
            </w:tcBorders>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Summer</w:t>
            </w:r>
          </w:p>
        </w:tc>
      </w:tr>
      <w:tr w:rsidR="00DF1A29">
        <w:tc>
          <w:tcPr>
            <w:tcW w:w="825" w:type="dxa"/>
            <w:tcBorders>
              <w:top w:val="nil"/>
              <w:left w:val="nil"/>
              <w:bottom w:val="nil"/>
              <w:right w:val="nil"/>
            </w:tcBorders>
          </w:tcPr>
          <w:p w:rsidR="00DF1A29" w:rsidRDefault="00DF1A29">
            <w:pPr>
              <w:widowControl w:val="0"/>
              <w:spacing w:line="240" w:lineRule="auto"/>
              <w:rPr>
                <w:rFonts w:ascii="Calibri" w:eastAsia="Calibri" w:hAnsi="Calibri" w:cs="Calibri"/>
                <w:sz w:val="20"/>
                <w:szCs w:val="20"/>
              </w:rPr>
            </w:pP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AFs</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IV</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GHG</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AAer</w:t>
            </w:r>
          </w:p>
        </w:tc>
        <w:tc>
          <w:tcPr>
            <w:tcW w:w="825" w:type="dxa"/>
            <w:tcBorders>
              <w:top w:val="dotted" w:sz="8" w:space="0" w:color="000000"/>
              <w:left w:val="nil"/>
              <w:bottom w:val="single" w:sz="4" w:space="0" w:color="000000"/>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Nat</w:t>
            </w:r>
          </w:p>
        </w:tc>
        <w:tc>
          <w:tcPr>
            <w:tcW w:w="825" w:type="dxa"/>
            <w:tcBorders>
              <w:top w:val="dotted" w:sz="8" w:space="0" w:color="000000"/>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AFs</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IV</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GHG</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AAer</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Nat</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R1</w:t>
            </w:r>
          </w:p>
        </w:tc>
        <w:tc>
          <w:tcPr>
            <w:tcW w:w="825" w:type="dxa"/>
            <w:tcBorders>
              <w:top w:val="single" w:sz="4" w:space="0" w:color="000000"/>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single" w:sz="4" w:space="0" w:color="000000"/>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0.437</w:t>
            </w:r>
          </w:p>
        </w:tc>
        <w:tc>
          <w:tcPr>
            <w:tcW w:w="825" w:type="dxa"/>
            <w:tcBorders>
              <w:top w:val="single" w:sz="4" w:space="0" w:color="000000"/>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0.984</w:t>
            </w:r>
          </w:p>
        </w:tc>
        <w:tc>
          <w:tcPr>
            <w:tcW w:w="825" w:type="dxa"/>
            <w:tcBorders>
              <w:top w:val="single" w:sz="4" w:space="0" w:color="000000"/>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0.274</w:t>
            </w:r>
          </w:p>
        </w:tc>
        <w:tc>
          <w:tcPr>
            <w:tcW w:w="825" w:type="dxa"/>
            <w:tcBorders>
              <w:top w:val="single" w:sz="4" w:space="0" w:color="000000"/>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0.462</w:t>
            </w:r>
          </w:p>
        </w:tc>
        <w:tc>
          <w:tcPr>
            <w:tcW w:w="825" w:type="dxa"/>
            <w:tcBorders>
              <w:top w:val="single" w:sz="4" w:space="0" w:color="000000"/>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single" w:sz="4" w:space="0" w:color="000000"/>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0.001</w:t>
            </w:r>
          </w:p>
        </w:tc>
        <w:tc>
          <w:tcPr>
            <w:tcW w:w="825" w:type="dxa"/>
            <w:tcBorders>
              <w:top w:val="single" w:sz="4" w:space="0" w:color="000000"/>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0.802</w:t>
            </w:r>
          </w:p>
        </w:tc>
        <w:tc>
          <w:tcPr>
            <w:tcW w:w="825" w:type="dxa"/>
            <w:tcBorders>
              <w:top w:val="single" w:sz="4" w:space="0" w:color="000000"/>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0.093</w:t>
            </w:r>
          </w:p>
        </w:tc>
        <w:tc>
          <w:tcPr>
            <w:tcW w:w="825" w:type="dxa"/>
            <w:tcBorders>
              <w:top w:val="single" w:sz="4" w:space="0" w:color="000000"/>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0.097</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R2</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0.264</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0.941</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0.137</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0.428</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0.552</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0.003</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0.002</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R3</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0.299</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0.971</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0.116</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0.39</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0.637</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0.024</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0.015</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R4</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0.314</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0.991</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0.097</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0.289</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0.858</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0.014</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0.013</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R5</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0.087</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0.985</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0.023</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0.196</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0.558</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0.001</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R6</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0.988</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0.163</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0.051</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0.15</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0.791</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0.002</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R7</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0.991</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0.064</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0.038</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0.099</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0.993</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0.844</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0.012</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R8</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0.457</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0.988</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0.266</w:t>
            </w:r>
          </w:p>
        </w:tc>
        <w:tc>
          <w:tcPr>
            <w:tcW w:w="825" w:type="dxa"/>
            <w:tcBorders>
              <w:top w:val="nil"/>
              <w:left w:val="nil"/>
              <w:bottom w:val="nil"/>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0.558</w:t>
            </w:r>
          </w:p>
        </w:tc>
        <w:tc>
          <w:tcPr>
            <w:tcW w:w="825" w:type="dxa"/>
            <w:tcBorders>
              <w:top w:val="nil"/>
              <w:left w:val="single" w:sz="4" w:space="0" w:color="000000"/>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0.000</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0.6</w:t>
            </w:r>
          </w:p>
        </w:tc>
        <w:tc>
          <w:tcPr>
            <w:tcW w:w="825" w:type="dxa"/>
            <w:tcBorders>
              <w:top w:val="nil"/>
              <w:left w:val="nil"/>
              <w:bottom w:val="nil"/>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0.008</w:t>
            </w:r>
          </w:p>
        </w:tc>
        <w:tc>
          <w:tcPr>
            <w:tcW w:w="825" w:type="dxa"/>
            <w:tcBorders>
              <w:top w:val="nil"/>
              <w:left w:val="nil"/>
              <w:bottom w:val="nil"/>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0.045</w:t>
            </w:r>
          </w:p>
        </w:tc>
      </w:tr>
      <w:tr w:rsidR="00DF1A29">
        <w:trPr>
          <w:trHeight w:val="439"/>
        </w:trPr>
        <w:tc>
          <w:tcPr>
            <w:tcW w:w="825" w:type="dxa"/>
            <w:tcBorders>
              <w:top w:val="nil"/>
              <w:left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R9</w:t>
            </w:r>
          </w:p>
        </w:tc>
        <w:tc>
          <w:tcPr>
            <w:tcW w:w="825" w:type="dxa"/>
            <w:tcBorders>
              <w:top w:val="nil"/>
              <w:left w:val="nil"/>
              <w:bottom w:val="single" w:sz="4" w:space="0" w:color="000000"/>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0.991</w:t>
            </w:r>
          </w:p>
        </w:tc>
        <w:tc>
          <w:tcPr>
            <w:tcW w:w="825" w:type="dxa"/>
            <w:tcBorders>
              <w:top w:val="nil"/>
              <w:left w:val="nil"/>
              <w:bottom w:val="single" w:sz="4" w:space="0" w:color="000000"/>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0.458</w:t>
            </w:r>
          </w:p>
        </w:tc>
        <w:tc>
          <w:tcPr>
            <w:tcW w:w="825" w:type="dxa"/>
            <w:tcBorders>
              <w:top w:val="nil"/>
              <w:left w:val="nil"/>
              <w:bottom w:val="single" w:sz="4" w:space="0" w:color="000000"/>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single" w:sz="4" w:space="0" w:color="000000"/>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0.165</w:t>
            </w:r>
          </w:p>
        </w:tc>
        <w:tc>
          <w:tcPr>
            <w:tcW w:w="825" w:type="dxa"/>
            <w:tcBorders>
              <w:top w:val="nil"/>
              <w:left w:val="nil"/>
              <w:bottom w:val="single" w:sz="4" w:space="0" w:color="000000"/>
              <w:right w:val="single" w:sz="4" w:space="0" w:color="000000"/>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0.358</w:t>
            </w:r>
          </w:p>
        </w:tc>
        <w:tc>
          <w:tcPr>
            <w:tcW w:w="825" w:type="dxa"/>
            <w:tcBorders>
              <w:top w:val="nil"/>
              <w:left w:val="single" w:sz="4" w:space="0" w:color="000000"/>
              <w:bottom w:val="single" w:sz="4" w:space="0" w:color="000000"/>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single" w:sz="4" w:space="0" w:color="000000"/>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0.002</w:t>
            </w:r>
          </w:p>
        </w:tc>
        <w:tc>
          <w:tcPr>
            <w:tcW w:w="825" w:type="dxa"/>
            <w:tcBorders>
              <w:top w:val="nil"/>
              <w:left w:val="nil"/>
              <w:bottom w:val="single" w:sz="4" w:space="0" w:color="000000"/>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0.922</w:t>
            </w:r>
          </w:p>
        </w:tc>
        <w:tc>
          <w:tcPr>
            <w:tcW w:w="825" w:type="dxa"/>
            <w:tcBorders>
              <w:top w:val="nil"/>
              <w:left w:val="nil"/>
              <w:bottom w:val="single" w:sz="4" w:space="0" w:color="000000"/>
              <w:right w:val="nil"/>
            </w:tcBorders>
            <w:shd w:val="clear" w:color="auto" w:fill="F3F3F3"/>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0.068</w:t>
            </w:r>
          </w:p>
        </w:tc>
        <w:tc>
          <w:tcPr>
            <w:tcW w:w="825" w:type="dxa"/>
            <w:tcBorders>
              <w:top w:val="nil"/>
              <w:left w:val="nil"/>
              <w:bottom w:val="single" w:sz="4" w:space="0" w:color="000000"/>
              <w:right w:val="nil"/>
            </w:tcBorders>
            <w:tcMar>
              <w:top w:w="20" w:type="dxa"/>
              <w:left w:w="20" w:type="dxa"/>
              <w:right w:w="20" w:type="dxa"/>
            </w:tcMar>
            <w:vAlign w:val="bottom"/>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0.039</w:t>
            </w:r>
          </w:p>
        </w:tc>
      </w:tr>
    </w:tbl>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b/>
          <w:sz w:val="24"/>
          <w:szCs w:val="24"/>
        </w:rPr>
      </w:pPr>
    </w:p>
    <w:p w:rsidR="00DF1A29" w:rsidRDefault="00DF1A29">
      <w:pPr>
        <w:keepNext/>
        <w:spacing w:before="240" w:after="120" w:line="360" w:lineRule="auto"/>
        <w:rPr>
          <w:rFonts w:ascii="Calibri" w:eastAsia="Calibri" w:hAnsi="Calibri" w:cs="Calibri"/>
          <w:b/>
          <w:sz w:val="24"/>
          <w:szCs w:val="24"/>
        </w:rPr>
      </w:pPr>
    </w:p>
    <w:p w:rsidR="00DF1A29" w:rsidRDefault="00FE1DD5">
      <w:pPr>
        <w:keepNext/>
        <w:spacing w:before="240" w:after="120" w:line="360" w:lineRule="auto"/>
        <w:rPr>
          <w:rFonts w:ascii="Calibri" w:eastAsia="Calibri" w:hAnsi="Calibri" w:cs="Calibri"/>
          <w:b/>
          <w:sz w:val="24"/>
          <w:szCs w:val="24"/>
        </w:rPr>
      </w:pPr>
      <w:r>
        <w:br w:type="page"/>
      </w:r>
    </w:p>
    <w:p w:rsidR="00DF1A29" w:rsidRDefault="00FE1DD5">
      <w:pPr>
        <w:keepNext/>
        <w:spacing w:before="240" w:after="120" w:line="360" w:lineRule="auto"/>
        <w:rPr>
          <w:rFonts w:ascii="Calibri" w:eastAsia="Calibri" w:hAnsi="Calibri" w:cs="Calibri"/>
          <w:sz w:val="24"/>
          <w:szCs w:val="24"/>
        </w:rPr>
      </w:pPr>
      <w:r>
        <w:rPr>
          <w:rFonts w:ascii="Calibri" w:eastAsia="Calibri" w:hAnsi="Calibri" w:cs="Calibri"/>
          <w:b/>
          <w:sz w:val="24"/>
          <w:szCs w:val="24"/>
        </w:rPr>
        <w:lastRenderedPageBreak/>
        <w:t>Supplementary Table 2:</w:t>
      </w:r>
      <w:r>
        <w:rPr>
          <w:rFonts w:ascii="Calibri" w:eastAsia="Calibri" w:hAnsi="Calibri" w:cs="Calibri"/>
          <w:sz w:val="24"/>
          <w:szCs w:val="24"/>
        </w:rPr>
        <w:t xml:space="preserve"> P-values from the </w:t>
      </w:r>
      <m:oMath>
        <m:sSup>
          <m:sSupPr>
            <m:ctrlPr>
              <w:rPr>
                <w:rFonts w:ascii="Calibri" w:eastAsia="Calibri" w:hAnsi="Calibri" w:cs="Calibri"/>
                <w:sz w:val="24"/>
                <w:szCs w:val="24"/>
              </w:rPr>
            </m:ctrlPr>
          </m:sSupPr>
          <m:e>
            <m:r>
              <w:rPr>
                <w:rFonts w:ascii="Cambria Math" w:hAnsi="Cambria Math"/>
              </w:rPr>
              <m:t>χ</m:t>
            </m:r>
          </m:e>
          <m:sup>
            <m:r>
              <w:rPr>
                <w:rFonts w:ascii="Calibri" w:eastAsia="Calibri" w:hAnsi="Calibri" w:cs="Calibri"/>
                <w:sz w:val="24"/>
                <w:szCs w:val="24"/>
              </w:rPr>
              <m:t>2</m:t>
            </m:r>
          </m:sup>
        </m:sSup>
      </m:oMath>
      <w:r>
        <w:rPr>
          <w:rFonts w:ascii="Calibri" w:eastAsia="Calibri" w:hAnsi="Calibri" w:cs="Calibri"/>
          <w:sz w:val="24"/>
          <w:szCs w:val="24"/>
        </w:rPr>
        <w:t>hypothesis test for precipitation statistical models. The model with All Forcings (AFs), Internal variability only (IV), greenhouse gases only (GHG), anthropogenic aerosols only (AAer) and natural only (Nat) as described in the Method</w:t>
      </w:r>
      <w:r>
        <w:rPr>
          <w:rFonts w:ascii="Calibri" w:eastAsia="Calibri" w:hAnsi="Calibri" w:cs="Calibri"/>
          <w:sz w:val="24"/>
          <w:szCs w:val="24"/>
        </w:rPr>
        <w:t>s section. In bold p-values &lt; 0.05.</w:t>
      </w:r>
    </w:p>
    <w:tbl>
      <w:tblPr>
        <w:tblStyle w:val="a0"/>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825"/>
        <w:gridCol w:w="825"/>
        <w:gridCol w:w="825"/>
        <w:gridCol w:w="825"/>
        <w:gridCol w:w="825"/>
        <w:gridCol w:w="825"/>
        <w:gridCol w:w="825"/>
        <w:gridCol w:w="825"/>
        <w:gridCol w:w="825"/>
        <w:gridCol w:w="825"/>
      </w:tblGrid>
      <w:tr w:rsidR="00DF1A29">
        <w:trPr>
          <w:trHeight w:val="439"/>
        </w:trPr>
        <w:tc>
          <w:tcPr>
            <w:tcW w:w="825" w:type="dxa"/>
            <w:tcBorders>
              <w:top w:val="single" w:sz="4" w:space="0" w:color="000000"/>
              <w:left w:val="nil"/>
              <w:bottom w:val="nil"/>
              <w:right w:val="nil"/>
            </w:tcBorders>
          </w:tcPr>
          <w:p w:rsidR="00DF1A29" w:rsidRDefault="00DF1A29">
            <w:pPr>
              <w:widowControl w:val="0"/>
              <w:spacing w:line="240" w:lineRule="auto"/>
              <w:rPr>
                <w:rFonts w:ascii="Calibri" w:eastAsia="Calibri" w:hAnsi="Calibri" w:cs="Calibri"/>
                <w:sz w:val="20"/>
                <w:szCs w:val="20"/>
              </w:rPr>
            </w:pPr>
          </w:p>
        </w:tc>
        <w:tc>
          <w:tcPr>
            <w:tcW w:w="4125" w:type="dxa"/>
            <w:gridSpan w:val="5"/>
            <w:tcBorders>
              <w:top w:val="single" w:sz="4" w:space="0" w:color="000000"/>
              <w:left w:val="nil"/>
              <w:bottom w:val="dotted" w:sz="8" w:space="0" w:color="000000"/>
            </w:tcBorders>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Winter</w:t>
            </w:r>
          </w:p>
        </w:tc>
        <w:tc>
          <w:tcPr>
            <w:tcW w:w="4125" w:type="dxa"/>
            <w:gridSpan w:val="5"/>
            <w:tcBorders>
              <w:top w:val="single" w:sz="4" w:space="0" w:color="000000"/>
              <w:bottom w:val="dotted" w:sz="8" w:space="0" w:color="000000"/>
            </w:tcBorders>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Summer</w:t>
            </w:r>
          </w:p>
        </w:tc>
      </w:tr>
      <w:tr w:rsidR="00DF1A29">
        <w:tc>
          <w:tcPr>
            <w:tcW w:w="825" w:type="dxa"/>
            <w:tcBorders>
              <w:top w:val="nil"/>
              <w:left w:val="nil"/>
              <w:bottom w:val="nil"/>
              <w:right w:val="nil"/>
            </w:tcBorders>
          </w:tcPr>
          <w:p w:rsidR="00DF1A29" w:rsidRDefault="00DF1A29">
            <w:pPr>
              <w:widowControl w:val="0"/>
              <w:spacing w:line="240" w:lineRule="auto"/>
              <w:rPr>
                <w:rFonts w:ascii="Calibri" w:eastAsia="Calibri" w:hAnsi="Calibri" w:cs="Calibri"/>
                <w:sz w:val="20"/>
                <w:szCs w:val="20"/>
              </w:rPr>
            </w:pP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AFs</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IV</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GHG</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AAer</w:t>
            </w:r>
          </w:p>
        </w:tc>
        <w:tc>
          <w:tcPr>
            <w:tcW w:w="825" w:type="dxa"/>
            <w:tcBorders>
              <w:top w:val="dotted" w:sz="8" w:space="0" w:color="000000"/>
              <w:left w:val="nil"/>
              <w:bottom w:val="single" w:sz="4" w:space="0" w:color="000000"/>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Nat</w:t>
            </w:r>
          </w:p>
        </w:tc>
        <w:tc>
          <w:tcPr>
            <w:tcW w:w="825" w:type="dxa"/>
            <w:tcBorders>
              <w:top w:val="dotted" w:sz="8" w:space="0" w:color="000000"/>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AFs</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IV</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GHG</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AAer</w:t>
            </w:r>
          </w:p>
        </w:tc>
        <w:tc>
          <w:tcPr>
            <w:tcW w:w="825" w:type="dxa"/>
            <w:tcBorders>
              <w:top w:val="dotted" w:sz="8" w:space="0" w:color="000000"/>
              <w:left w:val="nil"/>
              <w:bottom w:val="single" w:sz="4" w:space="0" w:color="000000"/>
              <w:right w:val="nil"/>
            </w:tcBorders>
          </w:tcPr>
          <w:p w:rsidR="00DF1A29" w:rsidRDefault="00FE1DD5">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Nat</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R1</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0.818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R2</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0.979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0.955</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0.995</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R3</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0.923</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R4</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0.950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R5</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0.968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0.957</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0.954</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0.984</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0.961</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R6</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0.983</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0.944</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R7</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0.991</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0.995</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0.998</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0.995</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0.986</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0.955</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0.995</w:t>
            </w:r>
          </w:p>
        </w:tc>
      </w:tr>
      <w:tr w:rsidR="00DF1A29">
        <w:tc>
          <w:tcPr>
            <w:tcW w:w="825" w:type="dxa"/>
            <w:tcBorders>
              <w:top w:val="nil"/>
              <w:left w:val="nil"/>
              <w:bottom w:val="nil"/>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nil"/>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0.994</w:t>
            </w:r>
          </w:p>
        </w:tc>
        <w:tc>
          <w:tcPr>
            <w:tcW w:w="825" w:type="dxa"/>
            <w:tcBorders>
              <w:top w:val="nil"/>
              <w:left w:val="single" w:sz="4" w:space="0" w:color="000000"/>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0.993</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0.996</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0.868</w:t>
            </w:r>
          </w:p>
        </w:tc>
        <w:tc>
          <w:tcPr>
            <w:tcW w:w="825" w:type="dxa"/>
            <w:tcBorders>
              <w:top w:val="nil"/>
              <w:left w:val="nil"/>
              <w:bottom w:val="nil"/>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nil"/>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0.992</w:t>
            </w:r>
          </w:p>
        </w:tc>
      </w:tr>
      <w:tr w:rsidR="00DF1A29">
        <w:trPr>
          <w:trHeight w:val="439"/>
        </w:trPr>
        <w:tc>
          <w:tcPr>
            <w:tcW w:w="825" w:type="dxa"/>
            <w:tcBorders>
              <w:top w:val="nil"/>
              <w:left w:val="nil"/>
              <w:bottom w:val="single" w:sz="4" w:space="0" w:color="000000"/>
              <w:right w:val="nil"/>
            </w:tcBorders>
          </w:tcPr>
          <w:p w:rsidR="00DF1A29" w:rsidRDefault="00FE1DD5">
            <w:pPr>
              <w:widowControl w:val="0"/>
              <w:spacing w:line="240" w:lineRule="auto"/>
              <w:rPr>
                <w:rFonts w:ascii="Calibri" w:eastAsia="Calibri" w:hAnsi="Calibri" w:cs="Calibri"/>
                <w:sz w:val="20"/>
                <w:szCs w:val="20"/>
              </w:rPr>
            </w:pPr>
            <w:r>
              <w:rPr>
                <w:rFonts w:ascii="Calibri" w:eastAsia="Calibri" w:hAnsi="Calibri" w:cs="Calibri"/>
                <w:sz w:val="20"/>
                <w:szCs w:val="20"/>
              </w:rPr>
              <w:t>R9</w:t>
            </w:r>
          </w:p>
        </w:tc>
        <w:tc>
          <w:tcPr>
            <w:tcW w:w="825" w:type="dxa"/>
            <w:tcBorders>
              <w:top w:val="nil"/>
              <w:left w:val="nil"/>
              <w:bottom w:val="single" w:sz="4" w:space="0" w:color="000000"/>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single" w:sz="4" w:space="0" w:color="000000"/>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0.999</w:t>
            </w:r>
          </w:p>
        </w:tc>
        <w:tc>
          <w:tcPr>
            <w:tcW w:w="825" w:type="dxa"/>
            <w:tcBorders>
              <w:top w:val="nil"/>
              <w:left w:val="nil"/>
              <w:bottom w:val="single" w:sz="4" w:space="0" w:color="000000"/>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single" w:sz="4" w:space="0" w:color="000000"/>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single" w:sz="4" w:space="0" w:color="000000"/>
              <w:right w:val="single" w:sz="4" w:space="0" w:color="000000"/>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0.997</w:t>
            </w:r>
          </w:p>
        </w:tc>
        <w:tc>
          <w:tcPr>
            <w:tcW w:w="825" w:type="dxa"/>
            <w:tcBorders>
              <w:top w:val="nil"/>
              <w:left w:val="single" w:sz="4" w:space="0" w:color="000000"/>
              <w:bottom w:val="single" w:sz="4" w:space="0" w:color="000000"/>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0.988</w:t>
            </w:r>
          </w:p>
        </w:tc>
        <w:tc>
          <w:tcPr>
            <w:tcW w:w="825" w:type="dxa"/>
            <w:tcBorders>
              <w:top w:val="nil"/>
              <w:left w:val="nil"/>
              <w:bottom w:val="single" w:sz="4" w:space="0" w:color="000000"/>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c>
          <w:tcPr>
            <w:tcW w:w="825" w:type="dxa"/>
            <w:tcBorders>
              <w:top w:val="nil"/>
              <w:left w:val="nil"/>
              <w:bottom w:val="single" w:sz="4" w:space="0" w:color="000000"/>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0.898</w:t>
            </w:r>
          </w:p>
        </w:tc>
        <w:tc>
          <w:tcPr>
            <w:tcW w:w="825" w:type="dxa"/>
            <w:tcBorders>
              <w:top w:val="nil"/>
              <w:left w:val="nil"/>
              <w:bottom w:val="single" w:sz="4" w:space="0" w:color="000000"/>
              <w:right w:val="nil"/>
            </w:tcBorders>
            <w:shd w:val="clear" w:color="auto" w:fill="F3F3F3"/>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0.988</w:t>
            </w:r>
          </w:p>
        </w:tc>
        <w:tc>
          <w:tcPr>
            <w:tcW w:w="825" w:type="dxa"/>
            <w:tcBorders>
              <w:top w:val="nil"/>
              <w:left w:val="nil"/>
              <w:bottom w:val="single" w:sz="4" w:space="0" w:color="000000"/>
              <w:right w:val="nil"/>
            </w:tcBorders>
            <w:tcMar>
              <w:top w:w="20" w:type="dxa"/>
              <w:left w:w="20" w:type="dxa"/>
              <w:bottom w:w="100" w:type="dxa"/>
              <w:right w:w="20" w:type="dxa"/>
            </w:tcMar>
            <w:vAlign w:val="bottom"/>
          </w:tcPr>
          <w:p w:rsidR="00DF1A29" w:rsidRDefault="00FE1DD5">
            <w:pPr>
              <w:widowControl w:val="0"/>
              <w:spacing w:line="240" w:lineRule="auto"/>
              <w:jc w:val="center"/>
              <w:rPr>
                <w:rFonts w:ascii="Calibri" w:eastAsia="Calibri" w:hAnsi="Calibri" w:cs="Calibri"/>
                <w:sz w:val="20"/>
                <w:szCs w:val="20"/>
              </w:rPr>
            </w:pPr>
            <w:r>
              <w:rPr>
                <w:rFonts w:ascii="Calibri" w:eastAsia="Calibri" w:hAnsi="Calibri" w:cs="Calibri"/>
                <w:sz w:val="20"/>
                <w:szCs w:val="20"/>
              </w:rPr>
              <w:t>1.000</w:t>
            </w:r>
          </w:p>
        </w:tc>
      </w:tr>
    </w:tbl>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sz w:val="24"/>
          <w:szCs w:val="24"/>
        </w:rPr>
      </w:pPr>
    </w:p>
    <w:p w:rsidR="00DF1A29" w:rsidRDefault="00DF1A29">
      <w:pPr>
        <w:keepNext/>
        <w:spacing w:before="240" w:after="120" w:line="360" w:lineRule="auto"/>
        <w:rPr>
          <w:rFonts w:ascii="Calibri" w:eastAsia="Calibri" w:hAnsi="Calibri" w:cs="Calibri"/>
          <w:b/>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rFonts w:ascii="Calibri" w:eastAsia="Calibri" w:hAnsi="Calibri" w:cs="Calibri"/>
          <w:sz w:val="24"/>
          <w:szCs w:val="24"/>
        </w:rPr>
      </w:pPr>
    </w:p>
    <w:p w:rsidR="00DF1A29" w:rsidRDefault="00DF1A29">
      <w:pPr>
        <w:rPr>
          <w:b/>
        </w:rPr>
      </w:pPr>
    </w:p>
    <w:p w:rsidR="00DF1A29" w:rsidRDefault="00FE1DD5">
      <w:pPr>
        <w:spacing w:line="360" w:lineRule="auto"/>
        <w:rPr>
          <w:b/>
        </w:rPr>
      </w:pPr>
      <w:r>
        <w:rPr>
          <w:rFonts w:ascii="Calibri" w:eastAsia="Calibri" w:hAnsi="Calibri" w:cs="Calibri"/>
          <w:noProof/>
          <w:sz w:val="24"/>
          <w:szCs w:val="24"/>
        </w:rPr>
        <w:lastRenderedPageBreak/>
        <w:drawing>
          <wp:inline distT="114300" distB="114300" distL="114300" distR="114300">
            <wp:extent cx="5731200" cy="3581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581400"/>
                    </a:xfrm>
                    <a:prstGeom prst="rect">
                      <a:avLst/>
                    </a:prstGeom>
                    <a:ln/>
                  </pic:spPr>
                </pic:pic>
              </a:graphicData>
            </a:graphic>
          </wp:inline>
        </w:drawing>
      </w:r>
    </w:p>
    <w:p w:rsidR="00DF1A29" w:rsidRDefault="00FE1DD5">
      <w:pPr>
        <w:spacing w:line="360" w:lineRule="auto"/>
        <w:rPr>
          <w:rFonts w:ascii="Calibri" w:eastAsia="Calibri" w:hAnsi="Calibri" w:cs="Calibri"/>
          <w:sz w:val="24"/>
          <w:szCs w:val="24"/>
        </w:rPr>
      </w:pPr>
      <w:r>
        <w:rPr>
          <w:rFonts w:ascii="Calibri" w:eastAsia="Calibri" w:hAnsi="Calibri" w:cs="Calibri"/>
          <w:b/>
          <w:sz w:val="24"/>
          <w:szCs w:val="24"/>
        </w:rPr>
        <w:t xml:space="preserve">Supplementary Figure 5: </w:t>
      </w:r>
      <w:r>
        <w:rPr>
          <w:rFonts w:ascii="Calibri" w:eastAsia="Calibri" w:hAnsi="Calibri" w:cs="Calibri"/>
          <w:sz w:val="24"/>
          <w:szCs w:val="24"/>
        </w:rPr>
        <w:t xml:space="preserve">1981-2020 trends in forced model simulations and observations on the sub-regions of the Western Mediterranean using the corresponding model subset. </w:t>
      </w:r>
      <w:r>
        <w:rPr>
          <w:rFonts w:ascii="Calibri" w:eastAsia="Calibri" w:hAnsi="Calibri" w:cs="Calibri"/>
          <w:b/>
          <w:sz w:val="24"/>
          <w:szCs w:val="24"/>
        </w:rPr>
        <w:t>(a)</w:t>
      </w:r>
      <w:r>
        <w:rPr>
          <w:rFonts w:ascii="Calibri" w:eastAsia="Calibri" w:hAnsi="Calibri" w:cs="Calibri"/>
          <w:sz w:val="24"/>
          <w:szCs w:val="24"/>
        </w:rPr>
        <w:t xml:space="preserve"> Winter temperature trends, </w:t>
      </w:r>
      <w:r>
        <w:rPr>
          <w:rFonts w:ascii="Calibri" w:eastAsia="Calibri" w:hAnsi="Calibri" w:cs="Calibri"/>
          <w:b/>
          <w:sz w:val="24"/>
          <w:szCs w:val="24"/>
        </w:rPr>
        <w:t>(b)</w:t>
      </w:r>
      <w:r>
        <w:rPr>
          <w:rFonts w:ascii="Calibri" w:eastAsia="Calibri" w:hAnsi="Calibri" w:cs="Calibri"/>
          <w:sz w:val="24"/>
          <w:szCs w:val="24"/>
        </w:rPr>
        <w:t xml:space="preserve"> Summer temperature, </w:t>
      </w:r>
      <w:r>
        <w:rPr>
          <w:rFonts w:ascii="Calibri" w:eastAsia="Calibri" w:hAnsi="Calibri" w:cs="Calibri"/>
          <w:b/>
          <w:sz w:val="24"/>
          <w:szCs w:val="24"/>
        </w:rPr>
        <w:t>(c)</w:t>
      </w:r>
      <w:r>
        <w:rPr>
          <w:rFonts w:ascii="Calibri" w:eastAsia="Calibri" w:hAnsi="Calibri" w:cs="Calibri"/>
          <w:sz w:val="24"/>
          <w:szCs w:val="24"/>
        </w:rPr>
        <w:t xml:space="preserve"> Winter precipitation, and </w:t>
      </w:r>
      <w:r>
        <w:rPr>
          <w:rFonts w:ascii="Calibri" w:eastAsia="Calibri" w:hAnsi="Calibri" w:cs="Calibri"/>
          <w:b/>
          <w:sz w:val="24"/>
          <w:szCs w:val="24"/>
        </w:rPr>
        <w:t>(d)</w:t>
      </w:r>
      <w:r>
        <w:rPr>
          <w:rFonts w:ascii="Calibri" w:eastAsia="Calibri" w:hAnsi="Calibri" w:cs="Calibri"/>
          <w:sz w:val="24"/>
          <w:szCs w:val="24"/>
        </w:rPr>
        <w:t xml:space="preserve"> Summer precipitatio</w:t>
      </w:r>
      <w:r>
        <w:rPr>
          <w:rFonts w:ascii="Calibri" w:eastAsia="Calibri" w:hAnsi="Calibri" w:cs="Calibri"/>
          <w:sz w:val="24"/>
          <w:szCs w:val="24"/>
        </w:rPr>
        <w:t>n. Simulations with all forcings (ALL, in turquoise),  greenhouse gas forcing only (GHG, in pink), anthropogenic aerosols only (AAer, in purple), and natural only (Nat, in green). Bars show the trend from the signal model best estimates (</w:t>
      </w:r>
      <m:oMath>
        <m:sSup>
          <m:sSupPr>
            <m:ctrlPr>
              <w:rPr>
                <w:rFonts w:ascii="Cambria Math" w:hAnsi="Cambria Math"/>
              </w:rPr>
            </m:ctrlPr>
          </m:sSupPr>
          <m:e>
            <m:acc>
              <m:accPr>
                <m:ctrlPr>
                  <w:rPr>
                    <w:rFonts w:ascii="Cambria Math" w:hAnsi="Cambria Math"/>
                  </w:rPr>
                </m:ctrlPr>
              </m:accPr>
              <m:e>
                <m:r>
                  <w:rPr>
                    <w:rFonts w:ascii="Cambria Math" w:hAnsi="Cambria Math"/>
                  </w:rPr>
                  <m:t>Y</m:t>
                </m:r>
              </m:e>
            </m:acc>
          </m:e>
          <m:sup>
            <m:r>
              <w:rPr>
                <w:rFonts w:ascii="Cambria Math" w:hAnsi="Cambria Math"/>
              </w:rPr>
              <m:t>*</m:t>
            </m:r>
          </m:sup>
        </m:sSup>
      </m:oMath>
      <w:r>
        <w:t xml:space="preserve">for ALL and </w:t>
      </w:r>
      <m:oMath>
        <m:sSup>
          <m:sSupPr>
            <m:ctrlPr>
              <w:rPr>
                <w:rFonts w:ascii="Cambria Math" w:hAnsi="Cambria Math"/>
              </w:rPr>
            </m:ctrlPr>
          </m:sSupPr>
          <m:e>
            <m:acc>
              <m:accPr>
                <m:ctrlPr>
                  <w:rPr>
                    <w:rFonts w:ascii="Cambria Math" w:hAnsi="Cambria Math"/>
                  </w:rPr>
                </m:ctrlPr>
              </m:accPr>
              <m:e>
                <m:sSub>
                  <m:sSubPr>
                    <m:ctrlPr>
                      <w:rPr>
                        <w:rFonts w:ascii="Cambria Math" w:hAnsi="Cambria Math"/>
                      </w:rPr>
                    </m:ctrlPr>
                  </m:sSubPr>
                  <m:e>
                    <m:r>
                      <w:rPr>
                        <w:rFonts w:ascii="Cambria Math" w:hAnsi="Cambria Math"/>
                      </w:rPr>
                      <m:t>X</m:t>
                    </m:r>
                  </m:e>
                  <m:sub>
                    <m:r>
                      <w:rPr>
                        <w:rFonts w:ascii="Cambria Math" w:hAnsi="Cambria Math"/>
                      </w:rPr>
                      <m:t>i</m:t>
                    </m:r>
                  </m:sub>
                </m:sSub>
              </m:e>
            </m:acc>
          </m:e>
          <m:sup>
            <m:r>
              <w:rPr>
                <w:rFonts w:ascii="Cambria Math" w:hAnsi="Cambria Math"/>
              </w:rPr>
              <m:t>*</m:t>
            </m:r>
          </m:sup>
        </m:sSup>
      </m:oMath>
      <w:r>
        <w:t>for the single-forced experiments)</w:t>
      </w:r>
      <w:r>
        <w:rPr>
          <w:rFonts w:ascii="Calibri" w:eastAsia="Calibri" w:hAnsi="Calibri" w:cs="Calibri"/>
          <w:sz w:val="24"/>
          <w:szCs w:val="24"/>
        </w:rPr>
        <w:t>, and error bars show the 95% confidence interva</w:t>
      </w:r>
      <w:r>
        <w:t>l (</w:t>
      </w:r>
      <w:r>
        <w:rPr>
          <w:rFonts w:ascii="Calibri" w:eastAsia="Calibri" w:hAnsi="Calibri" w:cs="Calibri"/>
          <w:sz w:val="24"/>
          <w:szCs w:val="24"/>
        </w:rPr>
        <w:t xml:space="preserve">see </w:t>
      </w:r>
      <w:r>
        <w:rPr>
          <w:rFonts w:ascii="Calibri" w:eastAsia="Calibri" w:hAnsi="Calibri" w:cs="Calibri"/>
          <w:color w:val="4A86E8"/>
          <w:sz w:val="24"/>
          <w:szCs w:val="24"/>
        </w:rPr>
        <w:t>Methods</w:t>
      </w:r>
      <w:r>
        <w:rPr>
          <w:rFonts w:ascii="Calibri" w:eastAsia="Calibri" w:hAnsi="Calibri" w:cs="Calibri"/>
          <w:sz w:val="24"/>
          <w:szCs w:val="24"/>
        </w:rPr>
        <w:t>). Observed trends are presented with star markers. Masked regions correspond to those where observed and simulated trends show significant discrepancies.</w:t>
      </w: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DF1A29">
      <w:pPr>
        <w:spacing w:line="360" w:lineRule="auto"/>
        <w:rPr>
          <w:rFonts w:ascii="Calibri" w:eastAsia="Calibri" w:hAnsi="Calibri" w:cs="Calibri"/>
          <w:sz w:val="24"/>
          <w:szCs w:val="24"/>
        </w:rPr>
      </w:pPr>
    </w:p>
    <w:p w:rsidR="00DF1A29" w:rsidRDefault="00FE1DD5">
      <w:pPr>
        <w:jc w:val="center"/>
        <w:rPr>
          <w:b/>
        </w:rPr>
      </w:pPr>
      <w:r>
        <w:rPr>
          <w:b/>
          <w:noProof/>
        </w:rPr>
        <w:lastRenderedPageBreak/>
        <w:drawing>
          <wp:inline distT="114300" distB="114300" distL="114300" distR="114300">
            <wp:extent cx="5731200" cy="2387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2387600"/>
                    </a:xfrm>
                    <a:prstGeom prst="rect">
                      <a:avLst/>
                    </a:prstGeom>
                    <a:ln/>
                  </pic:spPr>
                </pic:pic>
              </a:graphicData>
            </a:graphic>
          </wp:inline>
        </w:drawing>
      </w:r>
    </w:p>
    <w:p w:rsidR="00DF1A29" w:rsidRDefault="00FE1DD5">
      <w:pPr>
        <w:rPr>
          <w:rFonts w:ascii="Calibri" w:eastAsia="Calibri" w:hAnsi="Calibri" w:cs="Calibri"/>
          <w:b/>
          <w:sz w:val="24"/>
          <w:szCs w:val="24"/>
        </w:rPr>
      </w:pPr>
      <w:r w:rsidRPr="00FE1DD5">
        <w:rPr>
          <w:rFonts w:ascii="Calibri" w:eastAsia="Calibri" w:hAnsi="Calibri" w:cs="Calibri"/>
          <w:b/>
          <w:sz w:val="24"/>
          <w:szCs w:val="24"/>
          <w:lang w:val="en-US"/>
        </w:rPr>
        <w:t>Supplementary Figure 6:</w:t>
      </w:r>
      <w:r w:rsidRPr="00FE1DD5">
        <w:rPr>
          <w:rFonts w:ascii="Calibri" w:eastAsia="Calibri" w:hAnsi="Calibri" w:cs="Calibri"/>
          <w:sz w:val="24"/>
          <w:szCs w:val="24"/>
          <w:lang w:val="en-US"/>
        </w:rPr>
        <w:t xml:space="preserve"> Distribution of simulated 1951-2020 trends for </w:t>
      </w:r>
      <w:r w:rsidRPr="00FE1DD5">
        <w:rPr>
          <w:rFonts w:ascii="Calibri" w:eastAsia="Calibri" w:hAnsi="Calibri" w:cs="Calibri"/>
          <w:i/>
          <w:sz w:val="24"/>
          <w:szCs w:val="24"/>
          <w:lang w:val="en-US"/>
        </w:rPr>
        <w:t>Historical</w:t>
      </w:r>
      <w:r w:rsidRPr="00FE1DD5">
        <w:rPr>
          <w:rFonts w:ascii="Calibri" w:eastAsia="Calibri" w:hAnsi="Calibri" w:cs="Calibri"/>
          <w:sz w:val="24"/>
          <w:szCs w:val="24"/>
          <w:lang w:val="en-US"/>
        </w:rPr>
        <w:t xml:space="preserve"> (light blue) en </w:t>
      </w:r>
      <w:r w:rsidRPr="00FE1DD5">
        <w:rPr>
          <w:rFonts w:ascii="Calibri" w:eastAsia="Calibri" w:hAnsi="Calibri" w:cs="Calibri"/>
          <w:i/>
          <w:sz w:val="24"/>
          <w:szCs w:val="24"/>
          <w:lang w:val="en-US"/>
        </w:rPr>
        <w:t>Natural-only</w:t>
      </w:r>
      <w:r w:rsidRPr="00FE1DD5">
        <w:rPr>
          <w:rFonts w:ascii="Calibri" w:eastAsia="Calibri" w:hAnsi="Calibri" w:cs="Calibri"/>
          <w:sz w:val="24"/>
          <w:szCs w:val="24"/>
          <w:lang w:val="en-US"/>
        </w:rPr>
        <w:t xml:space="preserve"> (green) experiments of winter (left) and summer (rigth) precipitation in Region 5. </w:t>
      </w:r>
      <w:r>
        <w:rPr>
          <w:rFonts w:ascii="Calibri" w:eastAsia="Calibri" w:hAnsi="Calibri" w:cs="Calibri"/>
          <w:sz w:val="24"/>
          <w:szCs w:val="24"/>
        </w:rPr>
        <w:t>Vertical lines show the mean observed and simulated tr</w:t>
      </w:r>
      <w:r>
        <w:rPr>
          <w:rFonts w:ascii="Calibri" w:eastAsia="Calibri" w:hAnsi="Calibri" w:cs="Calibri"/>
          <w:sz w:val="24"/>
          <w:szCs w:val="24"/>
        </w:rPr>
        <w:t>ends for this region in each case. Distributions are Gaussian and obtained using all the ensemble members of the corresponding model subset. The observed trend is obtained as the mean trend using the observation datasets. The simulated trend is obtained as</w:t>
      </w:r>
      <w:r>
        <w:rPr>
          <w:rFonts w:ascii="Calibri" w:eastAsia="Calibri" w:hAnsi="Calibri" w:cs="Calibri"/>
          <w:sz w:val="24"/>
          <w:szCs w:val="24"/>
        </w:rPr>
        <w:t xml:space="preserve"> the mean of the multi-model ensemble. </w:t>
      </w:r>
    </w:p>
    <w:sectPr w:rsidR="00DF1A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A29"/>
    <w:rsid w:val="00DF1A29"/>
    <w:rsid w:val="00FE1D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1D161187"/>
  <w15:docId w15:val="{EDDD5670-FA68-0440-9110-979E5209C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ES_trad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1018</Words>
  <Characters>5600</Characters>
  <Application>Microsoft Office Word</Application>
  <DocSecurity>0</DocSecurity>
  <Lines>46</Lines>
  <Paragraphs>13</Paragraphs>
  <ScaleCrop>false</ScaleCrop>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cp:lastModifiedBy>
  <cp:revision>2</cp:revision>
  <dcterms:created xsi:type="dcterms:W3CDTF">2025-10-20T09:21:00Z</dcterms:created>
  <dcterms:modified xsi:type="dcterms:W3CDTF">2025-10-20T09:21:00Z</dcterms:modified>
</cp:coreProperties>
</file>