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2BF9E" w14:textId="77777777" w:rsidR="00AF602D" w:rsidRDefault="00000000">
      <w:pPr>
        <w:jc w:val="center"/>
      </w:pPr>
      <w:r>
        <w:rPr>
          <w:b/>
          <w:sz w:val="28"/>
        </w:rPr>
        <w:t>Target Trial Specification and Emulation Mapping</w:t>
      </w:r>
    </w:p>
    <w:p w14:paraId="631DEF55" w14:textId="77777777" w:rsidR="00AF602D" w:rsidRDefault="00AF602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F602D" w14:paraId="75D84A96" w14:textId="77777777">
        <w:trPr>
          <w:jc w:val="center"/>
        </w:trPr>
        <w:tc>
          <w:tcPr>
            <w:tcW w:w="2880" w:type="dxa"/>
            <w:shd w:val="clear" w:color="auto" w:fill="EFEFEF"/>
          </w:tcPr>
          <w:p w14:paraId="0E736F0B" w14:textId="77777777" w:rsidR="00AF602D" w:rsidRDefault="00000000">
            <w:pPr>
              <w:jc w:val="center"/>
            </w:pPr>
            <w:r>
              <w:rPr>
                <w:b/>
              </w:rPr>
              <w:t>Domain</w:t>
            </w:r>
          </w:p>
        </w:tc>
        <w:tc>
          <w:tcPr>
            <w:tcW w:w="2880" w:type="dxa"/>
            <w:shd w:val="clear" w:color="auto" w:fill="EFEFEF"/>
          </w:tcPr>
          <w:p w14:paraId="7D77A054" w14:textId="77777777" w:rsidR="00AF602D" w:rsidRDefault="00000000">
            <w:pPr>
              <w:jc w:val="center"/>
            </w:pPr>
            <w:r>
              <w:rPr>
                <w:b/>
              </w:rPr>
              <w:t>Target Trial Specification</w:t>
            </w:r>
          </w:p>
        </w:tc>
        <w:tc>
          <w:tcPr>
            <w:tcW w:w="2880" w:type="dxa"/>
            <w:shd w:val="clear" w:color="auto" w:fill="EFEFEF"/>
          </w:tcPr>
          <w:p w14:paraId="714EC494" w14:textId="77777777" w:rsidR="00AF602D" w:rsidRDefault="00000000">
            <w:pPr>
              <w:jc w:val="center"/>
            </w:pPr>
            <w:r>
              <w:rPr>
                <w:b/>
              </w:rPr>
              <w:t>Emulation Using NTDB + ICU Data</w:t>
            </w:r>
          </w:p>
        </w:tc>
      </w:tr>
      <w:tr w:rsidR="00AF602D" w14:paraId="3DF35122" w14:textId="77777777">
        <w:trPr>
          <w:jc w:val="center"/>
        </w:trPr>
        <w:tc>
          <w:tcPr>
            <w:tcW w:w="2880" w:type="dxa"/>
          </w:tcPr>
          <w:p w14:paraId="05B26132" w14:textId="77777777" w:rsidR="00AF602D" w:rsidRDefault="00000000">
            <w:r>
              <w:rPr>
                <w:b/>
              </w:rPr>
              <w:t>Causal Estimand</w:t>
            </w:r>
          </w:p>
        </w:tc>
        <w:tc>
          <w:tcPr>
            <w:tcW w:w="2880" w:type="dxa"/>
          </w:tcPr>
          <w:p w14:paraId="274762A7" w14:textId="77777777" w:rsidR="00AF602D" w:rsidRDefault="00000000">
            <w:r>
              <w:t>Per-protocol effect of initiating pharmacologic VTE prophylaxis at 24 h vs 48 h vs 72 h on in-hospital mortality by day 14 among eligible TBI ICU patients.</w:t>
            </w:r>
          </w:p>
        </w:tc>
        <w:tc>
          <w:tcPr>
            <w:tcW w:w="2880" w:type="dxa"/>
          </w:tcPr>
          <w:p w14:paraId="78A06FF0" w14:textId="77777777" w:rsidR="00AF602D" w:rsidRDefault="00000000">
            <w:r>
              <w:t>Marginal per‑protocol hazard ratios and optionally absolute risks, estimated via clone–censor–weight with stabilized inverse probability of treatment weights (IPTW) times inverse probability of censoring weights (IPCW) and robust SEs.</w:t>
            </w:r>
          </w:p>
        </w:tc>
      </w:tr>
      <w:tr w:rsidR="00AF602D" w14:paraId="4D3A4DC0" w14:textId="77777777">
        <w:trPr>
          <w:jc w:val="center"/>
        </w:trPr>
        <w:tc>
          <w:tcPr>
            <w:tcW w:w="2880" w:type="dxa"/>
          </w:tcPr>
          <w:p w14:paraId="3A7C6470" w14:textId="77777777" w:rsidR="00AF602D" w:rsidRDefault="00000000">
            <w:r>
              <w:rPr>
                <w:b/>
              </w:rPr>
              <w:t>Eligibility Criteria</w:t>
            </w:r>
          </w:p>
        </w:tc>
        <w:tc>
          <w:tcPr>
            <w:tcW w:w="2880" w:type="dxa"/>
          </w:tcPr>
          <w:p w14:paraId="5125E36B" w14:textId="77777777" w:rsidR="00AF602D" w:rsidRDefault="00000000">
            <w:r>
              <w:t>Adults (≥18) with blunt TBI requiring ICU and repeat head CT within 24 h; exclude penetrating injuries, pregnancy, or missing baseline neuroimaging.</w:t>
            </w:r>
          </w:p>
        </w:tc>
        <w:tc>
          <w:tcPr>
            <w:tcW w:w="2880" w:type="dxa"/>
          </w:tcPr>
          <w:p w14:paraId="35926BB2" w14:textId="77777777" w:rsidR="00AF602D" w:rsidRDefault="00000000">
            <w:r>
              <w:t>Identified via ICD‑10‑CM S06.x and NTDB mechanism fields; excluded penetrating trauma, pregnancy, missing repeat‑CT timestamps; restricted to ICU admission ≤24 h after injury.</w:t>
            </w:r>
          </w:p>
        </w:tc>
      </w:tr>
      <w:tr w:rsidR="00AF602D" w14:paraId="7F4D640A" w14:textId="77777777">
        <w:trPr>
          <w:jc w:val="center"/>
        </w:trPr>
        <w:tc>
          <w:tcPr>
            <w:tcW w:w="2880" w:type="dxa"/>
          </w:tcPr>
          <w:p w14:paraId="50C5A088" w14:textId="77777777" w:rsidR="00AF602D" w:rsidRDefault="00000000">
            <w:r>
              <w:rPr>
                <w:b/>
              </w:rPr>
              <w:t>Treatment Strategies</w:t>
            </w:r>
          </w:p>
        </w:tc>
        <w:tc>
          <w:tcPr>
            <w:tcW w:w="2880" w:type="dxa"/>
          </w:tcPr>
          <w:p w14:paraId="48AC5CD2" w14:textId="77777777" w:rsidR="00AF602D" w:rsidRDefault="00000000">
            <w:r>
              <w:t>Initiate LMWH/UFH at 24 h, 48 h, or 72 h after injury or after repeat CT confirming stability.</w:t>
            </w:r>
          </w:p>
        </w:tc>
        <w:tc>
          <w:tcPr>
            <w:tcW w:w="2880" w:type="dxa"/>
          </w:tcPr>
          <w:p w14:paraId="1771AED8" w14:textId="77777777" w:rsidR="00AF602D" w:rsidRDefault="00000000">
            <w:r>
              <w:t>First LMWH/UFH administration time from meds; timing computed from injury or repeat CT; grouped by first dose in windows (≤24 h, 24–48 h, 48–72 h); implemented as multi‑arm policies in the CCW code.</w:t>
            </w:r>
          </w:p>
        </w:tc>
      </w:tr>
      <w:tr w:rsidR="00AF602D" w14:paraId="71804E88" w14:textId="77777777">
        <w:trPr>
          <w:jc w:val="center"/>
        </w:trPr>
        <w:tc>
          <w:tcPr>
            <w:tcW w:w="2880" w:type="dxa"/>
          </w:tcPr>
          <w:p w14:paraId="5703D016" w14:textId="77777777" w:rsidR="00AF602D" w:rsidRDefault="00000000">
            <w:r>
              <w:rPr>
                <w:b/>
              </w:rPr>
              <w:t>Assignment (Unmasked)</w:t>
            </w:r>
          </w:p>
        </w:tc>
        <w:tc>
          <w:tcPr>
            <w:tcW w:w="2880" w:type="dxa"/>
          </w:tcPr>
          <w:p w14:paraId="4852D0F4" w14:textId="77777777" w:rsidR="00AF602D" w:rsidRDefault="00000000">
            <w:r>
              <w:t>Randomized 1:1:1 allocation at time zero.</w:t>
            </w:r>
          </w:p>
        </w:tc>
        <w:tc>
          <w:tcPr>
            <w:tcW w:w="2880" w:type="dxa"/>
          </w:tcPr>
          <w:p w14:paraId="2C270F3C" w14:textId="77777777" w:rsidR="00AF602D" w:rsidRDefault="00000000">
            <w:r>
              <w:t>Observational assignment; emulate randomization with stabilized IPTW using baseline covariates (age, sex, ISS, AIS‑head, GCS, prior anticoagulant use, comorbidities, mechanism, hospital characteristics).</w:t>
            </w:r>
          </w:p>
        </w:tc>
      </w:tr>
      <w:tr w:rsidR="00AF602D" w14:paraId="2EA491F6" w14:textId="77777777">
        <w:trPr>
          <w:jc w:val="center"/>
        </w:trPr>
        <w:tc>
          <w:tcPr>
            <w:tcW w:w="2880" w:type="dxa"/>
          </w:tcPr>
          <w:p w14:paraId="62519A29" w14:textId="77777777" w:rsidR="00AF602D" w:rsidRDefault="00000000">
            <w:r>
              <w:rPr>
                <w:b/>
              </w:rPr>
              <w:t>Outcomes</w:t>
            </w:r>
          </w:p>
        </w:tc>
        <w:tc>
          <w:tcPr>
            <w:tcW w:w="2880" w:type="dxa"/>
          </w:tcPr>
          <w:p w14:paraId="6F94002B" w14:textId="77777777" w:rsidR="00AF602D" w:rsidRDefault="00000000">
            <w:r>
              <w:t>Primary: in‑hospital mortality. Secondary: ICH progression on repeat CT, VTE (DVT/PE), hospital length of stay.</w:t>
            </w:r>
          </w:p>
        </w:tc>
        <w:tc>
          <w:tcPr>
            <w:tcW w:w="2880" w:type="dxa"/>
          </w:tcPr>
          <w:p w14:paraId="1BD75355" w14:textId="0171AB1C" w:rsidR="00AF602D" w:rsidRDefault="00000000">
            <w:r>
              <w:t>NTDB/ICU: death indicator; hemorrhage expansion from radiology records/timestamps</w:t>
            </w:r>
          </w:p>
        </w:tc>
      </w:tr>
      <w:tr w:rsidR="00AF602D" w14:paraId="313FCA4C" w14:textId="77777777">
        <w:trPr>
          <w:jc w:val="center"/>
        </w:trPr>
        <w:tc>
          <w:tcPr>
            <w:tcW w:w="2880" w:type="dxa"/>
          </w:tcPr>
          <w:p w14:paraId="7A80590A" w14:textId="77777777" w:rsidR="00AF602D" w:rsidRDefault="00000000">
            <w:r>
              <w:rPr>
                <w:b/>
              </w:rPr>
              <w:t>Start and End of Follow‑up</w:t>
            </w:r>
          </w:p>
        </w:tc>
        <w:tc>
          <w:tcPr>
            <w:tcW w:w="2880" w:type="dxa"/>
          </w:tcPr>
          <w:p w14:paraId="28E4CA32" w14:textId="77777777" w:rsidR="00AF602D" w:rsidRDefault="00000000">
            <w:r>
              <w:t>Start at repeat CT confirming stability (or injury time if no repeat CT). End at earliest of discharge, death, or 14 days.</w:t>
            </w:r>
          </w:p>
        </w:tc>
        <w:tc>
          <w:tcPr>
            <w:tcW w:w="2880" w:type="dxa"/>
          </w:tcPr>
          <w:p w14:paraId="6C2DB9DA" w14:textId="77777777" w:rsidR="00AF602D" w:rsidRDefault="00000000">
            <w:r>
              <w:t xml:space="preserve">Operationalized landmark at 24 h (shift t′ = t−24 so Day‑1 ends at 0); follow‑up censored at discharge or death; non‑starters handled per policy horizon; can refine to repeat‑CT start when </w:t>
            </w:r>
            <w:r>
              <w:lastRenderedPageBreak/>
              <w:t>timestamps are available.</w:t>
            </w:r>
          </w:p>
        </w:tc>
      </w:tr>
      <w:tr w:rsidR="00AF602D" w14:paraId="352B5E1F" w14:textId="77777777">
        <w:trPr>
          <w:jc w:val="center"/>
        </w:trPr>
        <w:tc>
          <w:tcPr>
            <w:tcW w:w="2880" w:type="dxa"/>
          </w:tcPr>
          <w:p w14:paraId="774080E0" w14:textId="77777777" w:rsidR="00AF602D" w:rsidRDefault="00000000">
            <w:r>
              <w:rPr>
                <w:b/>
              </w:rPr>
              <w:lastRenderedPageBreak/>
              <w:t>Causal Contrast</w:t>
            </w:r>
          </w:p>
        </w:tc>
        <w:tc>
          <w:tcPr>
            <w:tcW w:w="2880" w:type="dxa"/>
          </w:tcPr>
          <w:p w14:paraId="009D0538" w14:textId="77777777" w:rsidR="00AF602D" w:rsidRDefault="00000000">
            <w:r>
              <w:t>Per‑protocol effect comparing 24 h vs 48 h vs 72 h initiation.</w:t>
            </w:r>
          </w:p>
        </w:tc>
        <w:tc>
          <w:tcPr>
            <w:tcW w:w="2880" w:type="dxa"/>
          </w:tcPr>
          <w:p w14:paraId="22DDE1C7" w14:textId="77777777" w:rsidR="00AF602D" w:rsidRDefault="00000000">
            <w:r>
              <w:t>Pairwise weighted Cox contrasts between policy arms; optionally report absolute risks at fixed times.</w:t>
            </w:r>
          </w:p>
        </w:tc>
      </w:tr>
      <w:tr w:rsidR="00AF602D" w14:paraId="5139AD59" w14:textId="77777777">
        <w:trPr>
          <w:jc w:val="center"/>
        </w:trPr>
        <w:tc>
          <w:tcPr>
            <w:tcW w:w="2880" w:type="dxa"/>
          </w:tcPr>
          <w:p w14:paraId="5BC68D89" w14:textId="77777777" w:rsidR="00AF602D" w:rsidRDefault="00000000">
            <w:r>
              <w:rPr>
                <w:b/>
              </w:rPr>
              <w:t>Identifying Assumptions — Exchangeability</w:t>
            </w:r>
          </w:p>
        </w:tc>
        <w:tc>
          <w:tcPr>
            <w:tcW w:w="2880" w:type="dxa"/>
          </w:tcPr>
          <w:p w14:paraId="6B30A0CA" w14:textId="77777777" w:rsidR="00AF602D" w:rsidRDefault="00000000">
            <w:r>
              <w:t>Ensured by randomization.</w:t>
            </w:r>
          </w:p>
        </w:tc>
        <w:tc>
          <w:tcPr>
            <w:tcW w:w="2880" w:type="dxa"/>
          </w:tcPr>
          <w:p w14:paraId="439549B6" w14:textId="77777777" w:rsidR="00AF602D" w:rsidRDefault="00000000">
            <w:r>
              <w:t>Conditional exchangeability after adjusting for baseline covariates (age, sex, ISS, AIS‑head, GCS, prior anticoagulant, comorbidities, mechanism, hospital).</w:t>
            </w:r>
          </w:p>
        </w:tc>
      </w:tr>
      <w:tr w:rsidR="00AF602D" w14:paraId="1940C70C" w14:textId="77777777">
        <w:trPr>
          <w:jc w:val="center"/>
        </w:trPr>
        <w:tc>
          <w:tcPr>
            <w:tcW w:w="2880" w:type="dxa"/>
          </w:tcPr>
          <w:p w14:paraId="2CBC0E31" w14:textId="77777777" w:rsidR="00AF602D" w:rsidRDefault="00000000">
            <w:r>
              <w:rPr>
                <w:b/>
              </w:rPr>
              <w:t>Identifying Assumptions — Positivity</w:t>
            </w:r>
          </w:p>
        </w:tc>
        <w:tc>
          <w:tcPr>
            <w:tcW w:w="2880" w:type="dxa"/>
          </w:tcPr>
          <w:p w14:paraId="457945FE" w14:textId="77777777" w:rsidR="00AF602D" w:rsidRDefault="00000000">
            <w:r>
              <w:t>Nonzero probability for all strategies.</w:t>
            </w:r>
          </w:p>
        </w:tc>
        <w:tc>
          <w:tcPr>
            <w:tcW w:w="2880" w:type="dxa"/>
          </w:tcPr>
          <w:p w14:paraId="587EF318" w14:textId="77777777" w:rsidR="00AF602D" w:rsidRDefault="00000000">
            <w:r>
              <w:t>Empirically checked overlap in estimated treatment probabilities; weights truncated at 1st/99th percentiles.</w:t>
            </w:r>
          </w:p>
        </w:tc>
      </w:tr>
      <w:tr w:rsidR="00AF602D" w14:paraId="534BC3DD" w14:textId="77777777">
        <w:trPr>
          <w:jc w:val="center"/>
        </w:trPr>
        <w:tc>
          <w:tcPr>
            <w:tcW w:w="2880" w:type="dxa"/>
          </w:tcPr>
          <w:p w14:paraId="6520DD57" w14:textId="77777777" w:rsidR="00AF602D" w:rsidRDefault="00000000">
            <w:r>
              <w:rPr>
                <w:b/>
              </w:rPr>
              <w:t>Identifying Assumptions — Consistency</w:t>
            </w:r>
          </w:p>
        </w:tc>
        <w:tc>
          <w:tcPr>
            <w:tcW w:w="2880" w:type="dxa"/>
          </w:tcPr>
          <w:p w14:paraId="38D84579" w14:textId="77777777" w:rsidR="00AF602D" w:rsidRDefault="00000000">
            <w:r>
              <w:t>Observed outcome under assigned strategy equals potential outcome.</w:t>
            </w:r>
          </w:p>
        </w:tc>
        <w:tc>
          <w:tcPr>
            <w:tcW w:w="2880" w:type="dxa"/>
          </w:tcPr>
          <w:p w14:paraId="5BEDF7E4" w14:textId="77777777" w:rsidR="00AF602D" w:rsidRDefault="00000000">
            <w:r>
              <w:t>Satisfied by definition of exposure as actual LMWH/UFH initiation time.</w:t>
            </w:r>
          </w:p>
        </w:tc>
      </w:tr>
      <w:tr w:rsidR="00AF602D" w14:paraId="6158B2F7" w14:textId="77777777">
        <w:trPr>
          <w:jc w:val="center"/>
        </w:trPr>
        <w:tc>
          <w:tcPr>
            <w:tcW w:w="2880" w:type="dxa"/>
          </w:tcPr>
          <w:p w14:paraId="1CA5CD8E" w14:textId="77777777" w:rsidR="00AF602D" w:rsidRDefault="00000000">
            <w:r>
              <w:rPr>
                <w:b/>
              </w:rPr>
              <w:t>Identifying Assumptions — No informative censoring</w:t>
            </w:r>
          </w:p>
        </w:tc>
        <w:tc>
          <w:tcPr>
            <w:tcW w:w="2880" w:type="dxa"/>
          </w:tcPr>
          <w:p w14:paraId="1FCB7304" w14:textId="77777777" w:rsidR="00AF602D" w:rsidRDefault="00000000">
            <w:r>
              <w:t>Complete follow‑up.</w:t>
            </w:r>
          </w:p>
        </w:tc>
        <w:tc>
          <w:tcPr>
            <w:tcW w:w="2880" w:type="dxa"/>
          </w:tcPr>
          <w:p w14:paraId="5B081D4B" w14:textId="77777777" w:rsidR="00AF602D" w:rsidRDefault="00000000">
            <w:r>
              <w:t>IPCW for discharge/transfer and adherence‑related censoring; competing event of early death incorporated in CCW construction.</w:t>
            </w:r>
          </w:p>
        </w:tc>
      </w:tr>
      <w:tr w:rsidR="00AF602D" w14:paraId="662BDBA5" w14:textId="77777777">
        <w:trPr>
          <w:jc w:val="center"/>
        </w:trPr>
        <w:tc>
          <w:tcPr>
            <w:tcW w:w="2880" w:type="dxa"/>
          </w:tcPr>
          <w:p w14:paraId="22D69D13" w14:textId="77777777" w:rsidR="00AF602D" w:rsidRDefault="00000000">
            <w:r>
              <w:rPr>
                <w:b/>
              </w:rPr>
              <w:t>Statistical Estimator</w:t>
            </w:r>
          </w:p>
        </w:tc>
        <w:tc>
          <w:tcPr>
            <w:tcW w:w="2880" w:type="dxa"/>
          </w:tcPr>
          <w:p w14:paraId="1E54B899" w14:textId="77777777" w:rsidR="00AF602D" w:rsidRDefault="00000000">
            <w:r>
              <w:t>Weighted Cox proportional hazards with stabilized IPTW×IPCW and robust (clustered) SEs; weight truncation; sensitivity with spline‑adjusted Cox and Bayesian Weibull.</w:t>
            </w:r>
          </w:p>
        </w:tc>
        <w:tc>
          <w:tcPr>
            <w:tcW w:w="2880" w:type="dxa"/>
          </w:tcPr>
          <w:p w14:paraId="333A7F21" w14:textId="77777777" w:rsidR="00AF602D" w:rsidRDefault="00000000">
            <w:r>
              <w:t>Implemented in results/ccw via run_multiarm_step1.R (cloning/long), weighting.R (IPTW/IPCW), estimate_effects.R (pooled Cox).</w:t>
            </w:r>
          </w:p>
        </w:tc>
      </w:tr>
      <w:tr w:rsidR="00AF602D" w14:paraId="3AF23750" w14:textId="77777777">
        <w:trPr>
          <w:jc w:val="center"/>
        </w:trPr>
        <w:tc>
          <w:tcPr>
            <w:tcW w:w="2880" w:type="dxa"/>
          </w:tcPr>
          <w:p w14:paraId="3B962DCC" w14:textId="77777777" w:rsidR="00AF602D" w:rsidRDefault="00000000">
            <w:r>
              <w:rPr>
                <w:b/>
              </w:rPr>
              <w:t>Subgroup Analyses</w:t>
            </w:r>
          </w:p>
        </w:tc>
        <w:tc>
          <w:tcPr>
            <w:tcW w:w="2880" w:type="dxa"/>
          </w:tcPr>
          <w:p w14:paraId="0B67B152" w14:textId="77777777" w:rsidR="00AF602D" w:rsidRDefault="00000000">
            <w:r>
              <w:t>Effect modification by AIS‑Head ≥3, age (&lt;65 vs ≥65), anticoagulant type (LMWH vs UFH).</w:t>
            </w:r>
          </w:p>
        </w:tc>
        <w:tc>
          <w:tcPr>
            <w:tcW w:w="2880" w:type="dxa"/>
          </w:tcPr>
          <w:p w14:paraId="240A51D6" w14:textId="77777777" w:rsidR="00AF602D" w:rsidRDefault="00000000">
            <w:r>
              <w:t>Interactions in weighted Cox; exploratory stratification by TBI subtype (SDH, contusion, SAH).</w:t>
            </w:r>
          </w:p>
        </w:tc>
      </w:tr>
      <w:tr w:rsidR="00AF602D" w14:paraId="17FFEB62" w14:textId="77777777">
        <w:trPr>
          <w:jc w:val="center"/>
        </w:trPr>
        <w:tc>
          <w:tcPr>
            <w:tcW w:w="2880" w:type="dxa"/>
          </w:tcPr>
          <w:p w14:paraId="7940D738" w14:textId="77777777" w:rsidR="00AF602D" w:rsidRDefault="00000000">
            <w:r>
              <w:rPr>
                <w:b/>
              </w:rPr>
              <w:t>Sensitivity Analyses</w:t>
            </w:r>
          </w:p>
        </w:tc>
        <w:tc>
          <w:tcPr>
            <w:tcW w:w="2880" w:type="dxa"/>
          </w:tcPr>
          <w:p w14:paraId="478D7368" w14:textId="77777777" w:rsidR="00AF602D" w:rsidRDefault="00000000">
            <w:r>
              <w:t>E‑values and early‑death bias checks.</w:t>
            </w:r>
          </w:p>
        </w:tc>
        <w:tc>
          <w:tcPr>
            <w:tcW w:w="2880" w:type="dxa"/>
          </w:tcPr>
          <w:p w14:paraId="1891448F" w14:textId="77777777" w:rsidR="00AF602D" w:rsidRDefault="00000000">
            <w:r>
              <w:t>Alternate time‑zero (injury vs repeat CT); excluding deaths before first opportunity; g‑computation alternative; weight truncation sweeps.</w:t>
            </w:r>
          </w:p>
        </w:tc>
      </w:tr>
    </w:tbl>
    <w:p w14:paraId="4FF5C260" w14:textId="77777777" w:rsidR="00AF602D" w:rsidRPr="008C554D" w:rsidRDefault="00AF602D">
      <w:pPr>
        <w:rPr>
          <w:iCs/>
        </w:rPr>
      </w:pPr>
    </w:p>
    <w:p w14:paraId="222ECA6C" w14:textId="45B1F6A0" w:rsidR="00AF602D" w:rsidRPr="008C554D" w:rsidRDefault="008C554D">
      <w:pPr>
        <w:rPr>
          <w:iCs/>
        </w:rPr>
      </w:pPr>
      <w:r>
        <w:rPr>
          <w:iCs/>
          <w:sz w:val="20"/>
        </w:rPr>
        <w:t xml:space="preserve">Supplementary </w:t>
      </w:r>
      <w:r w:rsidR="00000000" w:rsidRPr="008C554D">
        <w:rPr>
          <w:iCs/>
          <w:sz w:val="20"/>
        </w:rPr>
        <w:t>Table</w:t>
      </w:r>
      <w:r>
        <w:rPr>
          <w:iCs/>
          <w:sz w:val="20"/>
        </w:rPr>
        <w:t xml:space="preserve"> 3</w:t>
      </w:r>
      <w:r w:rsidR="00000000" w:rsidRPr="008C554D">
        <w:rPr>
          <w:iCs/>
          <w:sz w:val="20"/>
        </w:rPr>
        <w:t>: Mapping of the target trial specification to its observational emulation using NTDB and ICU data. LMWH/UFH = low‑molecular‑weight heparin/unfractionated heparin; IPTW/IPCW = inverse‑probability treatment/censoring weights; CCW = clone‑censor‑weight.</w:t>
      </w:r>
    </w:p>
    <w:sectPr w:rsidR="00AF602D" w:rsidRPr="008C554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83041788">
    <w:abstractNumId w:val="8"/>
  </w:num>
  <w:num w:numId="2" w16cid:durableId="1008287385">
    <w:abstractNumId w:val="6"/>
  </w:num>
  <w:num w:numId="3" w16cid:durableId="1904876474">
    <w:abstractNumId w:val="5"/>
  </w:num>
  <w:num w:numId="4" w16cid:durableId="1387491572">
    <w:abstractNumId w:val="4"/>
  </w:num>
  <w:num w:numId="5" w16cid:durableId="1709992643">
    <w:abstractNumId w:val="7"/>
  </w:num>
  <w:num w:numId="6" w16cid:durableId="343871970">
    <w:abstractNumId w:val="3"/>
  </w:num>
  <w:num w:numId="7" w16cid:durableId="1979991386">
    <w:abstractNumId w:val="2"/>
  </w:num>
  <w:num w:numId="8" w16cid:durableId="143010607">
    <w:abstractNumId w:val="1"/>
  </w:num>
  <w:num w:numId="9" w16cid:durableId="1375882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C554D"/>
    <w:rsid w:val="00AA1D8D"/>
    <w:rsid w:val="00AF602D"/>
    <w:rsid w:val="00B47730"/>
    <w:rsid w:val="00CB0664"/>
    <w:rsid w:val="00E033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985D25"/>
  <w14:defaultImageDpi w14:val="300"/>
  <w15:docId w15:val="{E44846EB-672A-C54F-BDD4-7B9AC4E9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Challapalli, Mahesh - (challapalli)</cp:lastModifiedBy>
  <cp:revision>2</cp:revision>
  <dcterms:created xsi:type="dcterms:W3CDTF">2013-12-23T23:15:00Z</dcterms:created>
  <dcterms:modified xsi:type="dcterms:W3CDTF">2025-11-02T05:15:00Z</dcterms:modified>
  <cp:category/>
</cp:coreProperties>
</file>