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4C2F" w14:textId="77777777" w:rsidR="009C4788" w:rsidRPr="00BD164A" w:rsidRDefault="009C4788" w:rsidP="009C4788">
      <w:pPr>
        <w:spacing w:line="360" w:lineRule="auto"/>
        <w:jc w:val="both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LYL1 is critical for adult hematopoietic stem cell-derived B and T lymphopoiesis</w:t>
      </w:r>
    </w:p>
    <w:p w14:paraId="16381033" w14:textId="7C0B331E" w:rsidR="008616B1" w:rsidRPr="009C4788" w:rsidRDefault="005859D3" w:rsidP="00746D4A">
      <w:pPr>
        <w:spacing w:after="120"/>
        <w:jc w:val="both"/>
        <w:rPr>
          <w:rFonts w:ascii="Helvetica" w:hAnsi="Helvetica" w:cs="Helvetica"/>
          <w:sz w:val="22"/>
          <w:szCs w:val="22"/>
        </w:rPr>
      </w:pPr>
      <w:r w:rsidRPr="009C4788">
        <w:rPr>
          <w:rFonts w:ascii="Helvetica" w:hAnsi="Helvetica" w:cs="Helvetica"/>
          <w:sz w:val="22"/>
          <w:szCs w:val="22"/>
        </w:rPr>
        <w:t>Chiu</w:t>
      </w:r>
      <w:r w:rsidR="009C4788" w:rsidRPr="009C4788">
        <w:rPr>
          <w:rFonts w:ascii="Helvetica" w:hAnsi="Helvetica" w:cs="Helvetica"/>
          <w:sz w:val="22"/>
          <w:szCs w:val="22"/>
        </w:rPr>
        <w:t xml:space="preserve"> SK</w:t>
      </w:r>
      <w:r w:rsidR="00746D4A" w:rsidRPr="009C4788">
        <w:rPr>
          <w:rFonts w:ascii="Helvetica" w:hAnsi="Helvetica" w:cs="Helvetica"/>
          <w:sz w:val="22"/>
          <w:szCs w:val="22"/>
        </w:rPr>
        <w:t xml:space="preserve">, </w:t>
      </w:r>
      <w:r w:rsidR="00746D4A" w:rsidRPr="009C4788">
        <w:rPr>
          <w:rFonts w:ascii="Helvetica" w:hAnsi="Helvetica" w:cs="Helvetica"/>
          <w:i/>
          <w:iCs/>
          <w:sz w:val="22"/>
          <w:szCs w:val="22"/>
        </w:rPr>
        <w:t>et al</w:t>
      </w:r>
      <w:r w:rsidR="00746D4A" w:rsidRPr="009C4788">
        <w:rPr>
          <w:rFonts w:ascii="Helvetica" w:hAnsi="Helvetica" w:cs="Helvetica"/>
          <w:sz w:val="22"/>
          <w:szCs w:val="22"/>
        </w:rPr>
        <w:t xml:space="preserve">. </w:t>
      </w:r>
    </w:p>
    <w:p w14:paraId="5DDC9C48" w14:textId="77777777" w:rsidR="008616B1" w:rsidRPr="00097C14" w:rsidRDefault="008616B1" w:rsidP="008616B1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11900A02" w14:textId="04A391A0" w:rsidR="008616B1" w:rsidRPr="00097C14" w:rsidRDefault="008616B1" w:rsidP="008616B1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04AEF3A4" w14:textId="77777777" w:rsidR="000C4729" w:rsidRPr="00097C14" w:rsidRDefault="000C4729" w:rsidP="000C4729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6C58211" w14:textId="77777777" w:rsidR="000C4729" w:rsidRPr="00097C14" w:rsidRDefault="000C4729" w:rsidP="000C4729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21B9574" w14:textId="77777777" w:rsidR="000C4729" w:rsidRPr="00097C14" w:rsidRDefault="000C4729" w:rsidP="000C4729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7413D5D" w14:textId="77777777" w:rsidR="000C4729" w:rsidRPr="00097C14" w:rsidRDefault="000C4729" w:rsidP="000C4729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CDBD16E" w14:textId="77777777" w:rsidR="000C4729" w:rsidRPr="00097C14" w:rsidRDefault="000C4729" w:rsidP="000C4729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86744D9" w14:textId="78F81D44" w:rsidR="00746D4A" w:rsidRPr="009C4788" w:rsidRDefault="00391B0D" w:rsidP="000C4729">
      <w:pPr>
        <w:spacing w:after="120" w:line="480" w:lineRule="auto"/>
        <w:jc w:val="both"/>
        <w:rPr>
          <w:rFonts w:ascii="Helvetica" w:hAnsi="Helvetica" w:cs="Helvetica"/>
          <w:b/>
          <w:sz w:val="22"/>
          <w:szCs w:val="22"/>
        </w:rPr>
      </w:pPr>
      <w:r w:rsidRPr="009C4788">
        <w:rPr>
          <w:rFonts w:ascii="Helvetica" w:hAnsi="Helvetica" w:cs="Helvetica"/>
          <w:b/>
          <w:sz w:val="22"/>
          <w:szCs w:val="22"/>
        </w:rPr>
        <w:t>SUPPLEMENTARY FIGURES</w:t>
      </w:r>
      <w:r w:rsidR="00097C14" w:rsidRPr="009C4788">
        <w:rPr>
          <w:rFonts w:ascii="Helvetica" w:hAnsi="Helvetica" w:cs="Helvetica"/>
          <w:b/>
          <w:sz w:val="22"/>
          <w:szCs w:val="22"/>
        </w:rPr>
        <w:t>…………………………………………………...</w:t>
      </w:r>
      <w:r w:rsidR="000C4729" w:rsidRPr="009C4788">
        <w:rPr>
          <w:rFonts w:ascii="Helvetica" w:hAnsi="Helvetica" w:cs="Helvetica"/>
          <w:b/>
          <w:sz w:val="22"/>
          <w:szCs w:val="22"/>
        </w:rPr>
        <w:t>…</w:t>
      </w:r>
      <w:r w:rsidR="00B16608" w:rsidRPr="009C4788">
        <w:rPr>
          <w:rFonts w:ascii="Helvetica" w:hAnsi="Helvetica" w:cs="Helvetica"/>
          <w:b/>
          <w:sz w:val="22"/>
          <w:szCs w:val="22"/>
        </w:rPr>
        <w:t>……</w:t>
      </w:r>
      <w:proofErr w:type="gramStart"/>
      <w:r w:rsidR="000C4729" w:rsidRPr="009C4788">
        <w:rPr>
          <w:rFonts w:ascii="Helvetica" w:hAnsi="Helvetica" w:cs="Helvetica"/>
          <w:b/>
          <w:sz w:val="22"/>
          <w:szCs w:val="22"/>
        </w:rPr>
        <w:t>…</w:t>
      </w:r>
      <w:r w:rsidR="00B16608" w:rsidRPr="009C4788">
        <w:rPr>
          <w:rFonts w:ascii="Helvetica" w:hAnsi="Helvetica" w:cs="Helvetica"/>
          <w:b/>
          <w:sz w:val="22"/>
          <w:szCs w:val="22"/>
        </w:rPr>
        <w:t>..</w:t>
      </w:r>
      <w:proofErr w:type="gramEnd"/>
      <w:r w:rsidR="000C4729" w:rsidRPr="009C4788">
        <w:rPr>
          <w:rFonts w:ascii="Helvetica" w:hAnsi="Helvetica" w:cs="Helvetica"/>
          <w:b/>
          <w:sz w:val="22"/>
          <w:szCs w:val="22"/>
        </w:rPr>
        <w:t>……………2</w:t>
      </w:r>
    </w:p>
    <w:p w14:paraId="3EB49188" w14:textId="638B649E" w:rsidR="00391B0D" w:rsidRPr="009C4788" w:rsidRDefault="00391B0D" w:rsidP="004A59F3">
      <w:pPr>
        <w:spacing w:after="120" w:line="480" w:lineRule="auto"/>
        <w:jc w:val="both"/>
        <w:rPr>
          <w:rFonts w:ascii="Helvetica" w:hAnsi="Helvetica" w:cs="Helvetica"/>
          <w:bCs/>
          <w:sz w:val="22"/>
          <w:szCs w:val="22"/>
        </w:rPr>
      </w:pPr>
      <w:r w:rsidRPr="009C4788">
        <w:rPr>
          <w:rFonts w:ascii="Helvetica" w:hAnsi="Helvetica" w:cs="Helvetica"/>
          <w:bCs/>
          <w:sz w:val="22"/>
          <w:szCs w:val="22"/>
        </w:rPr>
        <w:t xml:space="preserve">Supplementary Figure 1. </w:t>
      </w:r>
      <w:r w:rsidR="009C4788">
        <w:rPr>
          <w:rFonts w:ascii="Helvetica" w:hAnsi="Helvetica" w:cs="Helvetica"/>
          <w:bCs/>
          <w:iCs/>
          <w:sz w:val="22"/>
          <w:szCs w:val="22"/>
        </w:rPr>
        <w:t xml:space="preserve">Loss of </w:t>
      </w:r>
      <w:r w:rsidR="009C4788" w:rsidRPr="009C4788">
        <w:rPr>
          <w:rFonts w:ascii="Helvetica" w:hAnsi="Helvetica" w:cs="Helvetica"/>
          <w:bCs/>
          <w:i/>
          <w:iCs/>
          <w:sz w:val="22"/>
          <w:szCs w:val="22"/>
        </w:rPr>
        <w:t>Lyl1</w:t>
      </w:r>
      <w:r w:rsidR="009C4788">
        <w:rPr>
          <w:rFonts w:ascii="Helvetica" w:hAnsi="Helvetica" w:cs="Helvetica"/>
          <w:bCs/>
          <w:iCs/>
          <w:sz w:val="22"/>
          <w:szCs w:val="22"/>
        </w:rPr>
        <w:t xml:space="preserve"> </w:t>
      </w:r>
      <w:r w:rsidR="0095209A">
        <w:rPr>
          <w:rFonts w:ascii="Helvetica" w:hAnsi="Helvetica" w:cs="Helvetica"/>
          <w:bCs/>
          <w:iCs/>
          <w:sz w:val="22"/>
          <w:szCs w:val="22"/>
        </w:rPr>
        <w:t xml:space="preserve">on </w:t>
      </w:r>
      <w:proofErr w:type="spellStart"/>
      <w:r w:rsidR="0095209A">
        <w:rPr>
          <w:rFonts w:ascii="Helvetica" w:hAnsi="Helvetica" w:cs="Helvetica"/>
          <w:bCs/>
          <w:iCs/>
          <w:sz w:val="22"/>
          <w:szCs w:val="22"/>
        </w:rPr>
        <w:t>hematopoiesis</w:t>
      </w:r>
      <w:proofErr w:type="spellEnd"/>
      <w:r w:rsidR="0095209A">
        <w:rPr>
          <w:rFonts w:ascii="Helvetica" w:hAnsi="Helvetica" w:cs="Helvetica"/>
          <w:bCs/>
          <w:iCs/>
          <w:sz w:val="22"/>
          <w:szCs w:val="22"/>
        </w:rPr>
        <w:t xml:space="preserve"> in adult mice</w:t>
      </w:r>
      <w:r w:rsidR="009C1389">
        <w:rPr>
          <w:rFonts w:ascii="Helvetica" w:hAnsi="Helvetica" w:cs="Helvetica"/>
          <w:bCs/>
          <w:iCs/>
          <w:sz w:val="22"/>
          <w:szCs w:val="22"/>
        </w:rPr>
        <w:t>……………</w:t>
      </w:r>
      <w:r w:rsidR="0095209A">
        <w:rPr>
          <w:rFonts w:ascii="Helvetica" w:hAnsi="Helvetica" w:cs="Helvetica"/>
          <w:bCs/>
          <w:iCs/>
          <w:sz w:val="22"/>
          <w:szCs w:val="22"/>
        </w:rPr>
        <w:t>…</w:t>
      </w:r>
      <w:r w:rsidR="009C1389">
        <w:rPr>
          <w:rFonts w:ascii="Helvetica" w:hAnsi="Helvetica" w:cs="Helvetica"/>
          <w:bCs/>
          <w:iCs/>
          <w:sz w:val="22"/>
          <w:szCs w:val="22"/>
        </w:rPr>
        <w:t>……….</w:t>
      </w:r>
      <w:r w:rsidR="009C1389">
        <w:rPr>
          <w:rFonts w:ascii="Helvetica" w:hAnsi="Helvetica" w:cs="Helvetica"/>
          <w:bCs/>
          <w:sz w:val="22"/>
          <w:szCs w:val="22"/>
        </w:rPr>
        <w:t>…….</w:t>
      </w:r>
      <w:r w:rsidR="000C4729" w:rsidRPr="009C4788">
        <w:rPr>
          <w:rFonts w:ascii="Helvetica" w:hAnsi="Helvetica" w:cs="Helvetica"/>
          <w:bCs/>
          <w:sz w:val="22"/>
          <w:szCs w:val="22"/>
        </w:rPr>
        <w:t>…2</w:t>
      </w:r>
    </w:p>
    <w:p w14:paraId="5BCEFACB" w14:textId="46FF7DFD" w:rsidR="00391B0D" w:rsidRPr="00B672A5" w:rsidRDefault="00391B0D" w:rsidP="00B672A5">
      <w:pPr>
        <w:spacing w:after="120" w:line="480" w:lineRule="auto"/>
        <w:jc w:val="both"/>
        <w:rPr>
          <w:rFonts w:ascii="Helvetica" w:hAnsi="Helvetica" w:cs="Helvetica"/>
          <w:bCs/>
          <w:sz w:val="22"/>
          <w:szCs w:val="22"/>
        </w:rPr>
      </w:pPr>
      <w:r w:rsidRPr="009C4788">
        <w:rPr>
          <w:rFonts w:ascii="Helvetica" w:hAnsi="Helvetica" w:cs="Helvetica"/>
          <w:bCs/>
          <w:sz w:val="22"/>
          <w:szCs w:val="22"/>
        </w:rPr>
        <w:t xml:space="preserve">Supplementary Figure </w:t>
      </w:r>
      <w:r w:rsidR="00B672A5">
        <w:rPr>
          <w:rFonts w:ascii="Helvetica" w:hAnsi="Helvetica" w:cs="Helvetica"/>
          <w:bCs/>
          <w:sz w:val="22"/>
          <w:szCs w:val="22"/>
        </w:rPr>
        <w:t>2</w:t>
      </w:r>
      <w:r w:rsidRPr="009C4788">
        <w:rPr>
          <w:rFonts w:ascii="Helvetica" w:hAnsi="Helvetica" w:cs="Helvetica"/>
          <w:bCs/>
          <w:sz w:val="22"/>
          <w:szCs w:val="22"/>
        </w:rPr>
        <w:t xml:space="preserve">. </w:t>
      </w:r>
      <w:r w:rsidR="001352D2" w:rsidRPr="001352D2">
        <w:rPr>
          <w:rFonts w:ascii="Helvetica" w:hAnsi="Helvetica" w:cs="Helvetica"/>
          <w:sz w:val="22"/>
          <w:szCs w:val="22"/>
        </w:rPr>
        <w:t xml:space="preserve">Hematopoietic phenotype of </w:t>
      </w:r>
      <w:r w:rsidR="001352D2" w:rsidRPr="001352D2">
        <w:rPr>
          <w:rFonts w:ascii="Helvetica" w:hAnsi="Helvetica" w:cs="Helvetica"/>
          <w:i/>
          <w:sz w:val="22"/>
          <w:szCs w:val="22"/>
        </w:rPr>
        <w:t>Lyl1</w:t>
      </w:r>
      <w:r w:rsidR="001352D2" w:rsidRPr="001352D2">
        <w:rPr>
          <w:rFonts w:ascii="Helvetica" w:hAnsi="Helvetica" w:cs="Helvetica"/>
          <w:sz w:val="22"/>
          <w:szCs w:val="22"/>
        </w:rPr>
        <w:t xml:space="preserve"> </w:t>
      </w:r>
      <w:r w:rsidR="001352D2" w:rsidRPr="001352D2">
        <w:rPr>
          <w:rFonts w:ascii="Helvetica" w:hAnsi="Helvetica" w:cs="Helvetica"/>
          <w:bCs/>
          <w:sz w:val="22"/>
          <w:szCs w:val="22"/>
        </w:rPr>
        <w:t>deletion in adult HSPCs……</w:t>
      </w:r>
      <w:r w:rsidR="001352D2">
        <w:rPr>
          <w:rFonts w:ascii="Helvetica" w:hAnsi="Helvetica" w:cs="Helvetica"/>
          <w:bCs/>
          <w:sz w:val="22"/>
          <w:szCs w:val="22"/>
        </w:rPr>
        <w:t>…</w:t>
      </w:r>
      <w:proofErr w:type="gramStart"/>
      <w:r w:rsidR="001352D2">
        <w:rPr>
          <w:rFonts w:ascii="Helvetica" w:hAnsi="Helvetica" w:cs="Helvetica"/>
          <w:bCs/>
          <w:sz w:val="22"/>
          <w:szCs w:val="22"/>
        </w:rPr>
        <w:t>…..</w:t>
      </w:r>
      <w:proofErr w:type="gramEnd"/>
      <w:r w:rsidR="001352D2" w:rsidRPr="001352D2">
        <w:rPr>
          <w:rFonts w:ascii="Helvetica" w:hAnsi="Helvetica" w:cs="Helvetica"/>
          <w:bCs/>
          <w:sz w:val="22"/>
          <w:szCs w:val="22"/>
        </w:rPr>
        <w:t>……..</w:t>
      </w:r>
      <w:r w:rsidR="009C1389">
        <w:rPr>
          <w:rFonts w:ascii="Helvetica" w:hAnsi="Helvetica" w:cs="Helvetica"/>
          <w:bCs/>
          <w:sz w:val="22"/>
          <w:szCs w:val="22"/>
        </w:rPr>
        <w:t>3</w:t>
      </w:r>
    </w:p>
    <w:p w14:paraId="5FD56C0E" w14:textId="275737D2" w:rsidR="00391B0D" w:rsidRDefault="00391B0D" w:rsidP="00FC0DC9">
      <w:pPr>
        <w:spacing w:after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FC82130" w14:textId="3C257107" w:rsidR="00D45A10" w:rsidRPr="00E93139" w:rsidRDefault="00E1304D" w:rsidP="00E93139">
      <w:p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4E64E4">
        <w:rPr>
          <w:rFonts w:ascii="Arial" w:hAnsi="Arial" w:cs="Arial"/>
          <w:b/>
          <w:sz w:val="28"/>
          <w:szCs w:val="28"/>
        </w:rPr>
        <w:lastRenderedPageBreak/>
        <w:t>Supplementa</w:t>
      </w:r>
      <w:r w:rsidR="00FC0DC9">
        <w:rPr>
          <w:rFonts w:ascii="Arial" w:hAnsi="Arial" w:cs="Arial"/>
          <w:b/>
          <w:sz w:val="28"/>
          <w:szCs w:val="28"/>
        </w:rPr>
        <w:t>ry</w:t>
      </w:r>
      <w:r w:rsidRPr="004E64E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Figures</w:t>
      </w:r>
    </w:p>
    <w:p w14:paraId="25F4A762" w14:textId="2A5E5C73" w:rsidR="009C4788" w:rsidRDefault="004F4004" w:rsidP="00BE0818">
      <w:pPr>
        <w:spacing w:after="120"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10D77E1" wp14:editId="7A27FF70">
            <wp:extent cx="6120765" cy="3587115"/>
            <wp:effectExtent l="0" t="0" r="0" b="0"/>
            <wp:docPr id="1" name="Picture 1" descr="A diagram of a number of red and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number of red and black do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6A3C8" w14:textId="6389E510" w:rsidR="0095209A" w:rsidRPr="000A7E80" w:rsidRDefault="00EF4D53" w:rsidP="0095209A">
      <w:pPr>
        <w:spacing w:line="480" w:lineRule="auto"/>
        <w:jc w:val="both"/>
        <w:rPr>
          <w:rFonts w:ascii="Helvetica" w:hAnsi="Helvetica" w:cs="Helvetica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Figure 1</w:t>
      </w:r>
      <w:r w:rsidR="00D45A10" w:rsidRPr="00097C14">
        <w:rPr>
          <w:rFonts w:ascii="Arial" w:hAnsi="Arial" w:cs="Arial"/>
          <w:b/>
          <w:sz w:val="22"/>
          <w:szCs w:val="22"/>
        </w:rPr>
        <w:t xml:space="preserve">. </w:t>
      </w:r>
      <w:r w:rsidR="009C4788">
        <w:rPr>
          <w:rFonts w:ascii="Arial" w:hAnsi="Arial" w:cs="Arial"/>
          <w:b/>
          <w:sz w:val="22"/>
          <w:szCs w:val="22"/>
        </w:rPr>
        <w:t xml:space="preserve">Loss of </w:t>
      </w:r>
      <w:r w:rsidR="009C4788" w:rsidRPr="009C4788">
        <w:rPr>
          <w:rFonts w:ascii="Arial" w:hAnsi="Arial" w:cs="Arial"/>
          <w:b/>
          <w:i/>
          <w:sz w:val="22"/>
          <w:szCs w:val="22"/>
        </w:rPr>
        <w:t>Lyl1</w:t>
      </w:r>
      <w:r w:rsidR="009C4788">
        <w:rPr>
          <w:rFonts w:ascii="Arial" w:hAnsi="Arial" w:cs="Arial"/>
          <w:b/>
          <w:sz w:val="22"/>
          <w:szCs w:val="22"/>
        </w:rPr>
        <w:t xml:space="preserve"> on</w:t>
      </w:r>
      <w:r w:rsidR="009520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5209A">
        <w:rPr>
          <w:rFonts w:ascii="Arial" w:hAnsi="Arial" w:cs="Arial"/>
          <w:b/>
          <w:sz w:val="22"/>
          <w:szCs w:val="22"/>
        </w:rPr>
        <w:t>hematopoiesis</w:t>
      </w:r>
      <w:proofErr w:type="spellEnd"/>
      <w:r w:rsidR="0095209A">
        <w:rPr>
          <w:rFonts w:ascii="Arial" w:hAnsi="Arial" w:cs="Arial"/>
          <w:b/>
          <w:sz w:val="22"/>
          <w:szCs w:val="22"/>
        </w:rPr>
        <w:t xml:space="preserve"> in adult mice</w:t>
      </w:r>
      <w:r w:rsidR="001B7C61" w:rsidRPr="00097C14">
        <w:rPr>
          <w:rFonts w:ascii="Arial" w:hAnsi="Arial" w:cs="Arial"/>
          <w:b/>
          <w:sz w:val="22"/>
          <w:szCs w:val="22"/>
        </w:rPr>
        <w:t xml:space="preserve">. </w:t>
      </w:r>
      <w:r w:rsidR="00CB4BCE" w:rsidRPr="00D53CDE">
        <w:rPr>
          <w:rFonts w:ascii="Helvetica" w:hAnsi="Helvetica" w:cs="Helvetica"/>
          <w:sz w:val="22"/>
          <w:szCs w:val="22"/>
          <w:lang w:val="en-CA"/>
        </w:rPr>
        <w:t xml:space="preserve">Proportion of </w:t>
      </w:r>
      <w:r w:rsidR="00CB4BCE">
        <w:rPr>
          <w:rFonts w:ascii="Helvetica" w:hAnsi="Helvetica" w:cs="Helvetica"/>
          <w:sz w:val="22"/>
          <w:szCs w:val="22"/>
          <w:lang w:val="en-CA"/>
        </w:rPr>
        <w:t xml:space="preserve">the </w:t>
      </w:r>
      <w:r w:rsidR="00CB4BCE">
        <w:rPr>
          <w:rFonts w:ascii="Arial" w:hAnsi="Arial" w:cs="Arial"/>
          <w:sz w:val="21"/>
          <w:szCs w:val="21"/>
        </w:rPr>
        <w:t>Lineage-negative Sca-1- and Kit-positive (LSK) cells (</w:t>
      </w:r>
      <w:r w:rsidR="00CB4BCE" w:rsidRPr="00CB4BCE">
        <w:rPr>
          <w:rFonts w:ascii="Arial" w:hAnsi="Arial" w:cs="Arial"/>
          <w:b/>
          <w:sz w:val="21"/>
          <w:szCs w:val="21"/>
        </w:rPr>
        <w:t>A</w:t>
      </w:r>
      <w:r w:rsidR="00CB4BCE">
        <w:rPr>
          <w:rFonts w:ascii="Arial" w:hAnsi="Arial" w:cs="Arial"/>
          <w:sz w:val="21"/>
          <w:szCs w:val="21"/>
        </w:rPr>
        <w:t>), and t</w:t>
      </w:r>
      <w:r w:rsidR="00CB4BCE" w:rsidRPr="00D53CDE">
        <w:rPr>
          <w:rFonts w:ascii="Helvetica" w:hAnsi="Helvetica" w:cs="Helvetica"/>
          <w:sz w:val="22"/>
          <w:szCs w:val="22"/>
          <w:lang w:val="en-CA"/>
        </w:rPr>
        <w:t xml:space="preserve">the different subsets </w:t>
      </w:r>
      <w:r w:rsidR="00CB4BCE">
        <w:rPr>
          <w:rFonts w:ascii="Helvetica" w:hAnsi="Helvetica" w:cs="Helvetica"/>
          <w:sz w:val="22"/>
          <w:szCs w:val="22"/>
          <w:lang w:val="en-CA"/>
        </w:rPr>
        <w:t xml:space="preserve">of hematopoietic stem and </w:t>
      </w:r>
      <w:r w:rsidR="00CB4BCE" w:rsidRPr="00D53CDE">
        <w:rPr>
          <w:rFonts w:ascii="Helvetica" w:hAnsi="Helvetica" w:cs="Helvetica"/>
          <w:sz w:val="22"/>
          <w:szCs w:val="22"/>
        </w:rPr>
        <w:t>progenitors</w:t>
      </w:r>
      <w:r w:rsidR="00CB4BCE">
        <w:rPr>
          <w:rFonts w:ascii="Helvetica" w:hAnsi="Helvetica" w:cs="Helvetica"/>
          <w:sz w:val="22"/>
          <w:szCs w:val="22"/>
        </w:rPr>
        <w:t xml:space="preserve"> </w:t>
      </w:r>
      <w:r w:rsidR="00B672A5">
        <w:rPr>
          <w:rFonts w:ascii="Helvetica" w:hAnsi="Helvetica" w:cs="Helvetica"/>
          <w:sz w:val="22"/>
          <w:szCs w:val="22"/>
        </w:rPr>
        <w:t xml:space="preserve">(HSPC) </w:t>
      </w:r>
      <w:r w:rsidR="00CB4BCE">
        <w:rPr>
          <w:rFonts w:ascii="Helvetica" w:hAnsi="Helvetica" w:cs="Helvetica"/>
          <w:sz w:val="22"/>
          <w:szCs w:val="22"/>
        </w:rPr>
        <w:t>in the LSK population</w:t>
      </w:r>
      <w:r w:rsidR="00CB4BCE" w:rsidRPr="00D53CDE">
        <w:rPr>
          <w:rFonts w:ascii="Helvetica" w:hAnsi="Helvetica" w:cs="Helvetica"/>
          <w:sz w:val="22"/>
          <w:szCs w:val="22"/>
          <w:lang w:val="en-CA"/>
        </w:rPr>
        <w:t xml:space="preserve"> </w:t>
      </w:r>
      <w:r w:rsidR="00CB4BCE">
        <w:rPr>
          <w:rFonts w:ascii="Helvetica" w:hAnsi="Helvetica" w:cs="Helvetica"/>
          <w:sz w:val="22"/>
          <w:szCs w:val="22"/>
          <w:lang w:val="en-CA"/>
        </w:rPr>
        <w:t>(</w:t>
      </w:r>
      <w:r w:rsidR="00CB4BCE" w:rsidRPr="00210D42">
        <w:rPr>
          <w:rFonts w:ascii="Helvetica" w:hAnsi="Helvetica" w:cs="Helvetica"/>
          <w:b/>
          <w:sz w:val="22"/>
          <w:szCs w:val="22"/>
          <w:lang w:val="en-CA"/>
        </w:rPr>
        <w:t>B</w:t>
      </w:r>
      <w:r w:rsidR="00CB4BCE">
        <w:rPr>
          <w:rFonts w:ascii="Helvetica" w:hAnsi="Helvetica" w:cs="Helvetica"/>
          <w:sz w:val="22"/>
          <w:szCs w:val="22"/>
          <w:lang w:val="en-CA"/>
        </w:rPr>
        <w:t xml:space="preserve">), in the bone marrow (BM) of </w:t>
      </w:r>
      <w:r w:rsidR="00CB4BCE" w:rsidRPr="00942508">
        <w:rPr>
          <w:rFonts w:ascii="Arial" w:hAnsi="Arial" w:cs="Arial"/>
          <w:i/>
          <w:iCs/>
          <w:sz w:val="22"/>
          <w:szCs w:val="22"/>
        </w:rPr>
        <w:t>E; Lyl1</w:t>
      </w:r>
      <w:r w:rsidR="00CB4BCE" w:rsidRPr="00942508">
        <w:rPr>
          <w:rFonts w:ascii="Arial" w:hAnsi="Arial" w:cs="Arial"/>
          <w:i/>
          <w:iCs/>
          <w:sz w:val="22"/>
          <w:szCs w:val="22"/>
          <w:vertAlign w:val="superscript"/>
        </w:rPr>
        <w:t>+/+</w:t>
      </w:r>
      <w:r w:rsidR="00CB4BCE">
        <w:rPr>
          <w:rFonts w:ascii="Arial" w:hAnsi="Arial" w:cs="Arial"/>
          <w:sz w:val="22"/>
          <w:szCs w:val="22"/>
        </w:rPr>
        <w:t xml:space="preserve"> (control) and </w:t>
      </w:r>
      <w:r w:rsidR="00CB4BCE" w:rsidRPr="008A6684">
        <w:rPr>
          <w:rFonts w:ascii="Arial" w:hAnsi="Arial" w:cs="Arial"/>
          <w:i/>
          <w:sz w:val="22"/>
          <w:szCs w:val="22"/>
        </w:rPr>
        <w:t>E;</w:t>
      </w:r>
      <w:r w:rsidR="00CB4BCE" w:rsidRPr="008A668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CB4BCE" w:rsidRPr="008A6684">
        <w:rPr>
          <w:rFonts w:ascii="Arial" w:hAnsi="Arial" w:cs="Arial"/>
          <w:i/>
          <w:sz w:val="22"/>
          <w:szCs w:val="22"/>
        </w:rPr>
        <w:t>Lyl1</w:t>
      </w:r>
      <w:r w:rsidR="00CB4BCE" w:rsidRPr="008A6684">
        <w:rPr>
          <w:rFonts w:ascii="Arial" w:hAnsi="Arial" w:cs="Arial"/>
          <w:sz w:val="22"/>
          <w:szCs w:val="22"/>
          <w:vertAlign w:val="superscript"/>
        </w:rPr>
        <w:t>f/f</w:t>
      </w:r>
      <w:r w:rsidR="00CB4BCE" w:rsidRPr="008A6684">
        <w:rPr>
          <w:rFonts w:ascii="Arial" w:hAnsi="Arial" w:cs="Arial"/>
          <w:sz w:val="22"/>
          <w:szCs w:val="22"/>
        </w:rPr>
        <w:t xml:space="preserve"> </w:t>
      </w:r>
      <w:r w:rsidR="00CB4BCE">
        <w:rPr>
          <w:rFonts w:ascii="Arial" w:hAnsi="Arial" w:cs="Arial"/>
          <w:sz w:val="22"/>
          <w:szCs w:val="22"/>
        </w:rPr>
        <w:t>(</w:t>
      </w:r>
      <w:r w:rsidR="00CB4BCE" w:rsidRPr="00CB4BCE">
        <w:rPr>
          <w:rFonts w:ascii="Arial" w:hAnsi="Arial" w:cs="Arial"/>
          <w:i/>
          <w:sz w:val="22"/>
          <w:szCs w:val="22"/>
        </w:rPr>
        <w:t>Lyl1</w:t>
      </w:r>
      <w:r w:rsidR="00CB4BCE">
        <w:rPr>
          <w:rFonts w:ascii="Arial" w:hAnsi="Arial" w:cs="Arial"/>
          <w:sz w:val="22"/>
          <w:szCs w:val="22"/>
        </w:rPr>
        <w:t xml:space="preserve">cKO) </w:t>
      </w:r>
      <w:r w:rsidR="00CB4BCE" w:rsidRPr="008A6684">
        <w:rPr>
          <w:rFonts w:ascii="Arial" w:hAnsi="Arial" w:cs="Arial"/>
          <w:sz w:val="22"/>
          <w:szCs w:val="22"/>
        </w:rPr>
        <w:t>mice</w:t>
      </w:r>
      <w:r w:rsidR="00CB4BCE" w:rsidRPr="00942508">
        <w:rPr>
          <w:rFonts w:ascii="Arial" w:hAnsi="Arial" w:cs="Arial"/>
          <w:sz w:val="22"/>
          <w:szCs w:val="22"/>
        </w:rPr>
        <w:t xml:space="preserve"> four weeks after treatment with tamoxifen</w:t>
      </w:r>
      <w:r w:rsidR="000A7E80">
        <w:rPr>
          <w:rFonts w:ascii="Helvetica" w:hAnsi="Helvetica" w:cs="Helvetica"/>
          <w:sz w:val="22"/>
          <w:szCs w:val="22"/>
        </w:rPr>
        <w:t xml:space="preserve"> (TAM)</w:t>
      </w:r>
      <w:r w:rsidR="0095209A">
        <w:rPr>
          <w:rFonts w:ascii="Helvetica" w:hAnsi="Helvetica" w:cs="Helvetica"/>
          <w:sz w:val="22"/>
          <w:szCs w:val="22"/>
        </w:rPr>
        <w:t>.</w:t>
      </w:r>
      <w:r w:rsidR="000A7E80">
        <w:rPr>
          <w:rFonts w:ascii="Helvetica" w:hAnsi="Helvetica" w:cs="Helvetica"/>
          <w:sz w:val="22"/>
          <w:szCs w:val="22"/>
        </w:rPr>
        <w:t xml:space="preserve"> </w:t>
      </w:r>
      <w:r w:rsidR="004F4004">
        <w:rPr>
          <w:rFonts w:asciiTheme="minorBidi" w:hAnsiTheme="minorBidi"/>
          <w:sz w:val="22"/>
          <w:szCs w:val="22"/>
        </w:rPr>
        <w:t>Hematopoietic stem cell (HSC) and multipotent progenitor (MPP) populations; megakaryocyte and erythroid biased (</w:t>
      </w:r>
      <w:proofErr w:type="spellStart"/>
      <w:r w:rsidR="004F4004">
        <w:rPr>
          <w:rFonts w:asciiTheme="minorBidi" w:hAnsiTheme="minorBidi"/>
          <w:sz w:val="22"/>
          <w:szCs w:val="22"/>
        </w:rPr>
        <w:t>MPP</w:t>
      </w:r>
      <w:r w:rsidR="004F4004" w:rsidRPr="00B14E8B">
        <w:rPr>
          <w:rFonts w:asciiTheme="minorBidi" w:hAnsiTheme="minorBidi"/>
          <w:sz w:val="22"/>
          <w:szCs w:val="22"/>
          <w:vertAlign w:val="superscript"/>
        </w:rPr>
        <w:t>Mk</w:t>
      </w:r>
      <w:proofErr w:type="spellEnd"/>
      <w:r w:rsidR="004F4004" w:rsidRPr="00B14E8B">
        <w:rPr>
          <w:rFonts w:asciiTheme="minorBidi" w:hAnsiTheme="minorBidi"/>
          <w:sz w:val="22"/>
          <w:szCs w:val="22"/>
          <w:vertAlign w:val="superscript"/>
        </w:rPr>
        <w:t>/E</w:t>
      </w:r>
      <w:r w:rsidR="004F4004">
        <w:rPr>
          <w:rFonts w:asciiTheme="minorBidi" w:hAnsiTheme="minorBidi"/>
          <w:sz w:val="22"/>
          <w:szCs w:val="22"/>
        </w:rPr>
        <w:t>), lymphoid-primed (</w:t>
      </w:r>
      <w:proofErr w:type="spellStart"/>
      <w:r w:rsidR="004F4004">
        <w:rPr>
          <w:rFonts w:asciiTheme="minorBidi" w:hAnsiTheme="minorBidi"/>
          <w:sz w:val="22"/>
          <w:szCs w:val="22"/>
        </w:rPr>
        <w:t>MPP</w:t>
      </w:r>
      <w:r w:rsidR="004F4004" w:rsidRPr="00B14E8B">
        <w:rPr>
          <w:rFonts w:asciiTheme="minorBidi" w:hAnsiTheme="minorBidi"/>
          <w:sz w:val="22"/>
          <w:szCs w:val="22"/>
          <w:vertAlign w:val="superscript"/>
        </w:rPr>
        <w:t>Ly</w:t>
      </w:r>
      <w:proofErr w:type="spellEnd"/>
      <w:r w:rsidR="004F4004">
        <w:rPr>
          <w:rFonts w:asciiTheme="minorBidi" w:hAnsiTheme="minorBidi"/>
          <w:sz w:val="22"/>
          <w:szCs w:val="22"/>
        </w:rPr>
        <w:t>), and myeloid/granulocyte and monocyte biased (MPP</w:t>
      </w:r>
      <w:r w:rsidR="004F4004" w:rsidRPr="00B14E8B">
        <w:rPr>
          <w:rFonts w:asciiTheme="minorBidi" w:hAnsiTheme="minorBidi"/>
          <w:sz w:val="22"/>
          <w:szCs w:val="22"/>
          <w:vertAlign w:val="superscript"/>
        </w:rPr>
        <w:t>G/M</w:t>
      </w:r>
      <w:r w:rsidR="004F4004">
        <w:rPr>
          <w:rFonts w:asciiTheme="minorBidi" w:hAnsiTheme="minorBidi"/>
          <w:sz w:val="22"/>
          <w:szCs w:val="22"/>
        </w:rPr>
        <w:t>) MPP populations</w:t>
      </w:r>
      <w:r w:rsidR="000A7E80">
        <w:rPr>
          <w:rFonts w:asciiTheme="minorBidi" w:hAnsiTheme="minorBidi"/>
          <w:sz w:val="22"/>
          <w:szCs w:val="22"/>
        </w:rPr>
        <w:t xml:space="preserve">. </w:t>
      </w:r>
      <w:r w:rsidR="00406F1C">
        <w:rPr>
          <w:rFonts w:ascii="Helvetica" w:hAnsi="Helvetica" w:cs="Helvetica"/>
          <w:sz w:val="22"/>
          <w:szCs w:val="22"/>
        </w:rPr>
        <w:t>Mean</w:t>
      </w:r>
      <w:r w:rsidR="00CB4BCE" w:rsidRPr="00D53CDE">
        <w:rPr>
          <w:rFonts w:ascii="Helvetica" w:eastAsia="Times New Roman" w:hAnsi="Helvetica" w:cs="Helvetica"/>
          <w:sz w:val="22"/>
          <w:szCs w:val="22"/>
        </w:rPr>
        <w:t xml:space="preserve"> ± S.E.M</w:t>
      </w:r>
      <w:r w:rsidR="00CB4BCE">
        <w:rPr>
          <w:rFonts w:ascii="Helvetica" w:eastAsia="Times New Roman" w:hAnsi="Helvetica" w:cs="Helvetica"/>
          <w:sz w:val="22"/>
          <w:szCs w:val="22"/>
        </w:rPr>
        <w:t>.</w:t>
      </w:r>
      <w:r w:rsidR="00CB4BCE" w:rsidRPr="009A0269">
        <w:rPr>
          <w:rFonts w:ascii="Arial" w:eastAsia="Times New Roman" w:hAnsi="Arial" w:cs="Arial"/>
          <w:sz w:val="22"/>
          <w:szCs w:val="22"/>
        </w:rPr>
        <w:t xml:space="preserve">, </w:t>
      </w:r>
      <w:r w:rsidR="00CB4BCE" w:rsidRPr="009A0269">
        <w:rPr>
          <w:rFonts w:asciiTheme="minorBidi" w:hAnsiTheme="minorBidi"/>
          <w:sz w:val="22"/>
          <w:szCs w:val="22"/>
        </w:rPr>
        <w:t>2-way ANOVA with Tukey’s correction test</w:t>
      </w:r>
      <w:r w:rsidR="00CB4BCE" w:rsidRPr="009A0269">
        <w:rPr>
          <w:rFonts w:ascii="Arial" w:eastAsia="Times New Roman" w:hAnsi="Arial" w:cs="Arial"/>
          <w:sz w:val="22"/>
          <w:szCs w:val="22"/>
        </w:rPr>
        <w:t>;</w:t>
      </w:r>
      <w:r w:rsidR="00CB4BCE" w:rsidRPr="009A0269">
        <w:rPr>
          <w:rFonts w:ascii="Arial" w:hAnsi="Arial" w:cs="Arial"/>
          <w:sz w:val="22"/>
          <w:szCs w:val="22"/>
        </w:rPr>
        <w:t xml:space="preserve"> </w:t>
      </w:r>
      <w:r w:rsidR="00CB4BCE" w:rsidRPr="009A0269">
        <w:rPr>
          <w:rFonts w:ascii="Arial" w:eastAsia="Times New Roman" w:hAnsi="Arial" w:cs="Arial"/>
          <w:sz w:val="22"/>
          <w:szCs w:val="22"/>
        </w:rPr>
        <w:t>*</w:t>
      </w:r>
      <w:r w:rsidR="00CB4BCE">
        <w:rPr>
          <w:rFonts w:ascii="Arial" w:eastAsia="Times New Roman" w:hAnsi="Arial" w:cs="Arial"/>
          <w:sz w:val="22"/>
          <w:szCs w:val="22"/>
        </w:rPr>
        <w:t>*</w:t>
      </w:r>
      <w:r w:rsidR="00CB4BCE" w:rsidRPr="009A0269">
        <w:rPr>
          <w:rFonts w:ascii="Arial" w:eastAsia="Times New Roman" w:hAnsi="Arial" w:cs="Arial"/>
          <w:i/>
          <w:iCs/>
          <w:sz w:val="22"/>
          <w:szCs w:val="22"/>
        </w:rPr>
        <w:t>P</w:t>
      </w:r>
      <w:r w:rsidR="00CB4BCE" w:rsidRPr="009A0269">
        <w:rPr>
          <w:rFonts w:ascii="Arial" w:eastAsia="Times New Roman" w:hAnsi="Arial" w:cs="Arial"/>
          <w:sz w:val="22"/>
          <w:szCs w:val="22"/>
        </w:rPr>
        <w:t>&lt;0.0</w:t>
      </w:r>
      <w:r w:rsidR="00CB4BCE">
        <w:rPr>
          <w:rFonts w:ascii="Arial" w:eastAsia="Times New Roman" w:hAnsi="Arial" w:cs="Arial"/>
          <w:sz w:val="22"/>
          <w:szCs w:val="22"/>
        </w:rPr>
        <w:t xml:space="preserve">1 and </w:t>
      </w:r>
      <w:r w:rsidR="00CB4BCE" w:rsidRPr="009A0269">
        <w:rPr>
          <w:rFonts w:ascii="Arial" w:hAnsi="Arial" w:cs="Arial"/>
          <w:sz w:val="22"/>
          <w:szCs w:val="22"/>
        </w:rPr>
        <w:t>***</w:t>
      </w:r>
      <w:r w:rsidR="00CB4BCE" w:rsidRPr="009A0269">
        <w:rPr>
          <w:rFonts w:ascii="Arial" w:hAnsi="Arial" w:cs="Arial"/>
          <w:i/>
          <w:iCs/>
          <w:sz w:val="22"/>
          <w:szCs w:val="22"/>
        </w:rPr>
        <w:t>P</w:t>
      </w:r>
      <w:r w:rsidR="00CB4BCE" w:rsidRPr="009A0269">
        <w:rPr>
          <w:rFonts w:ascii="Arial" w:hAnsi="Arial" w:cs="Arial"/>
          <w:sz w:val="22"/>
          <w:szCs w:val="22"/>
        </w:rPr>
        <w:t xml:space="preserve">&lt;0.001 compared </w:t>
      </w:r>
      <w:r w:rsidR="00CB4BCE" w:rsidRPr="009A0269">
        <w:rPr>
          <w:rFonts w:asciiTheme="minorBidi" w:eastAsia="Times New Roman" w:hAnsiTheme="minorBidi"/>
          <w:sz w:val="22"/>
          <w:szCs w:val="22"/>
        </w:rPr>
        <w:t>to</w:t>
      </w:r>
      <w:r w:rsidR="00CB4BCE">
        <w:rPr>
          <w:rFonts w:asciiTheme="minorBidi" w:eastAsia="Times New Roman" w:hAnsiTheme="minorBidi"/>
          <w:sz w:val="22"/>
          <w:szCs w:val="22"/>
        </w:rPr>
        <w:t xml:space="preserve"> vehicle-treated controls</w:t>
      </w:r>
      <w:r w:rsidR="00CB4BCE" w:rsidRPr="009A0269">
        <w:rPr>
          <w:rFonts w:asciiTheme="minorBidi" w:eastAsia="Times New Roman" w:hAnsiTheme="minorBidi"/>
          <w:sz w:val="22"/>
          <w:szCs w:val="22"/>
        </w:rPr>
        <w:t>.</w:t>
      </w:r>
      <w:r w:rsidR="0095209A">
        <w:rPr>
          <w:rFonts w:asciiTheme="minorBidi" w:eastAsia="Times New Roman" w:hAnsiTheme="minorBidi"/>
          <w:sz w:val="22"/>
          <w:szCs w:val="22"/>
        </w:rPr>
        <w:t xml:space="preserve"> </w:t>
      </w:r>
      <w:r w:rsidR="0095209A" w:rsidRPr="00E26898">
        <w:rPr>
          <w:rFonts w:asciiTheme="minorBidi" w:eastAsia="Times New Roman" w:hAnsiTheme="minorBidi"/>
          <w:b/>
          <w:bCs/>
          <w:sz w:val="22"/>
          <w:szCs w:val="22"/>
        </w:rPr>
        <w:t>C</w:t>
      </w:r>
      <w:r w:rsidR="0095209A">
        <w:rPr>
          <w:rFonts w:ascii="Helvetica" w:hAnsi="Helvetica" w:cs="Helvetica"/>
          <w:sz w:val="22"/>
          <w:szCs w:val="22"/>
        </w:rPr>
        <w:t xml:space="preserve">, Absolute numbers of T-cell populations in the thymus of </w:t>
      </w:r>
      <w:r w:rsidR="0095209A">
        <w:rPr>
          <w:rFonts w:ascii="Helvetica" w:hAnsi="Helvetica" w:cs="Helvetica"/>
          <w:sz w:val="22"/>
          <w:szCs w:val="22"/>
          <w:lang w:val="en-CA"/>
        </w:rPr>
        <w:t xml:space="preserve">mice four weeks post-TAM treatment. </w:t>
      </w:r>
      <w:r w:rsidR="0095209A" w:rsidRPr="005971AC">
        <w:rPr>
          <w:rFonts w:ascii="Helvetica" w:hAnsi="Helvetica" w:cs="Helvetica"/>
          <w:sz w:val="22"/>
          <w:szCs w:val="22"/>
          <w:lang w:val="en-CA"/>
        </w:rPr>
        <w:t xml:space="preserve"> </w:t>
      </w:r>
      <w:r w:rsidR="0095209A">
        <w:rPr>
          <w:rFonts w:asciiTheme="minorBidi" w:hAnsiTheme="minorBidi"/>
          <w:sz w:val="22"/>
          <w:szCs w:val="22"/>
        </w:rPr>
        <w:t>CD4</w:t>
      </w:r>
      <w:r w:rsidR="0095209A" w:rsidRPr="000A7E80">
        <w:rPr>
          <w:rFonts w:asciiTheme="minorBidi" w:hAnsiTheme="minorBidi"/>
          <w:sz w:val="22"/>
          <w:szCs w:val="22"/>
          <w:vertAlign w:val="superscript"/>
        </w:rPr>
        <w:t>-</w:t>
      </w:r>
      <w:r w:rsidR="0095209A">
        <w:rPr>
          <w:rFonts w:asciiTheme="minorBidi" w:hAnsiTheme="minorBidi"/>
          <w:sz w:val="22"/>
          <w:szCs w:val="22"/>
        </w:rPr>
        <w:t>CD8</w:t>
      </w:r>
      <w:r w:rsidR="0095209A" w:rsidRPr="000A7E80">
        <w:rPr>
          <w:rFonts w:asciiTheme="minorBidi" w:hAnsiTheme="minorBidi"/>
          <w:sz w:val="22"/>
          <w:szCs w:val="22"/>
          <w:vertAlign w:val="superscript"/>
        </w:rPr>
        <w:t>-</w:t>
      </w:r>
      <w:r w:rsidR="0095209A">
        <w:rPr>
          <w:rFonts w:asciiTheme="minorBidi" w:hAnsiTheme="minorBidi"/>
          <w:sz w:val="22"/>
          <w:szCs w:val="22"/>
        </w:rPr>
        <w:t xml:space="preserve"> double-negative (DN); CD4</w:t>
      </w:r>
      <w:r w:rsidR="0095209A" w:rsidRPr="000A7E80">
        <w:rPr>
          <w:rFonts w:asciiTheme="minorBidi" w:hAnsiTheme="minorBidi"/>
          <w:sz w:val="22"/>
          <w:szCs w:val="22"/>
          <w:vertAlign w:val="superscript"/>
        </w:rPr>
        <w:t>+</w:t>
      </w:r>
      <w:r w:rsidR="0095209A">
        <w:rPr>
          <w:rFonts w:asciiTheme="minorBidi" w:hAnsiTheme="minorBidi"/>
          <w:sz w:val="22"/>
          <w:szCs w:val="22"/>
        </w:rPr>
        <w:t>CD8</w:t>
      </w:r>
      <w:r w:rsidR="0095209A" w:rsidRPr="000A7E80">
        <w:rPr>
          <w:rFonts w:asciiTheme="minorBidi" w:hAnsiTheme="minorBidi"/>
          <w:sz w:val="22"/>
          <w:szCs w:val="22"/>
          <w:vertAlign w:val="superscript"/>
        </w:rPr>
        <w:t>+</w:t>
      </w:r>
      <w:r w:rsidR="0095209A">
        <w:rPr>
          <w:rFonts w:asciiTheme="minorBidi" w:hAnsiTheme="minorBidi"/>
          <w:sz w:val="22"/>
          <w:szCs w:val="22"/>
        </w:rPr>
        <w:t xml:space="preserve"> double-positive (DP), CD4</w:t>
      </w:r>
      <w:r w:rsidR="0095209A" w:rsidRPr="000A7E80">
        <w:rPr>
          <w:rFonts w:asciiTheme="minorBidi" w:hAnsiTheme="minorBidi"/>
          <w:sz w:val="22"/>
          <w:szCs w:val="22"/>
          <w:vertAlign w:val="superscript"/>
        </w:rPr>
        <w:t>+</w:t>
      </w:r>
      <w:r w:rsidR="0095209A">
        <w:rPr>
          <w:rFonts w:asciiTheme="minorBidi" w:hAnsiTheme="minorBidi"/>
          <w:sz w:val="22"/>
          <w:szCs w:val="22"/>
        </w:rPr>
        <w:t>/CD8</w:t>
      </w:r>
      <w:r w:rsidR="0095209A" w:rsidRPr="000A7E80">
        <w:rPr>
          <w:rFonts w:asciiTheme="minorBidi" w:hAnsiTheme="minorBidi"/>
          <w:sz w:val="22"/>
          <w:szCs w:val="22"/>
          <w:vertAlign w:val="superscript"/>
        </w:rPr>
        <w:t>+</w:t>
      </w:r>
      <w:r w:rsidR="0095209A">
        <w:rPr>
          <w:rFonts w:asciiTheme="minorBidi" w:hAnsiTheme="minorBidi"/>
          <w:sz w:val="22"/>
          <w:szCs w:val="22"/>
        </w:rPr>
        <w:t xml:space="preserve"> single-positive (SP4/8) populations. </w:t>
      </w:r>
      <w:r w:rsidR="0095209A">
        <w:rPr>
          <w:rFonts w:ascii="Helvetica" w:hAnsi="Helvetica" w:cs="Helvetica"/>
          <w:sz w:val="22"/>
          <w:szCs w:val="22"/>
        </w:rPr>
        <w:t>Mean</w:t>
      </w:r>
      <w:r w:rsidR="0095209A" w:rsidRPr="00D53CDE">
        <w:rPr>
          <w:rFonts w:ascii="Helvetica" w:eastAsia="Times New Roman" w:hAnsi="Helvetica" w:cs="Helvetica"/>
          <w:sz w:val="22"/>
          <w:szCs w:val="22"/>
        </w:rPr>
        <w:t xml:space="preserve"> ± S.E.M</w:t>
      </w:r>
      <w:r w:rsidR="0095209A">
        <w:rPr>
          <w:rFonts w:ascii="Helvetica" w:eastAsia="Times New Roman" w:hAnsi="Helvetica" w:cs="Helvetica"/>
          <w:sz w:val="22"/>
          <w:szCs w:val="22"/>
        </w:rPr>
        <w:t>.</w:t>
      </w:r>
      <w:r w:rsidR="0095209A" w:rsidRPr="009A0269">
        <w:rPr>
          <w:rFonts w:ascii="Arial" w:eastAsia="Times New Roman" w:hAnsi="Arial" w:cs="Arial"/>
          <w:sz w:val="22"/>
          <w:szCs w:val="22"/>
        </w:rPr>
        <w:t xml:space="preserve">, </w:t>
      </w:r>
      <w:r w:rsidR="0095209A" w:rsidRPr="009A0269">
        <w:rPr>
          <w:rFonts w:asciiTheme="minorBidi" w:hAnsiTheme="minorBidi"/>
          <w:sz w:val="22"/>
          <w:szCs w:val="22"/>
        </w:rPr>
        <w:t>2-way ANOVA with Tukey’s correction test</w:t>
      </w:r>
      <w:r w:rsidR="0095209A" w:rsidRPr="009A0269">
        <w:rPr>
          <w:rFonts w:ascii="Arial" w:eastAsia="Times New Roman" w:hAnsi="Arial" w:cs="Arial"/>
          <w:sz w:val="22"/>
          <w:szCs w:val="22"/>
        </w:rPr>
        <w:t>;</w:t>
      </w:r>
      <w:r w:rsidR="0095209A" w:rsidRPr="009A0269">
        <w:rPr>
          <w:rFonts w:ascii="Arial" w:hAnsi="Arial" w:cs="Arial"/>
          <w:sz w:val="22"/>
          <w:szCs w:val="22"/>
        </w:rPr>
        <w:t xml:space="preserve"> compared </w:t>
      </w:r>
      <w:r w:rsidR="0095209A" w:rsidRPr="009A0269">
        <w:rPr>
          <w:rFonts w:asciiTheme="minorBidi" w:eastAsia="Times New Roman" w:hAnsiTheme="minorBidi"/>
          <w:sz w:val="22"/>
          <w:szCs w:val="22"/>
        </w:rPr>
        <w:t>to</w:t>
      </w:r>
      <w:r w:rsidR="0095209A">
        <w:rPr>
          <w:rFonts w:asciiTheme="minorBidi" w:eastAsia="Times New Roman" w:hAnsiTheme="minorBidi"/>
          <w:sz w:val="22"/>
          <w:szCs w:val="22"/>
        </w:rPr>
        <w:t xml:space="preserve"> vehicle-treated controls</w:t>
      </w:r>
      <w:r w:rsidR="0095209A" w:rsidRPr="009A0269">
        <w:rPr>
          <w:rFonts w:asciiTheme="minorBidi" w:eastAsia="Times New Roman" w:hAnsiTheme="minorBidi"/>
          <w:sz w:val="22"/>
          <w:szCs w:val="22"/>
        </w:rPr>
        <w:t>.</w:t>
      </w:r>
      <w:r w:rsidR="0095209A">
        <w:rPr>
          <w:rFonts w:asciiTheme="minorBidi" w:hAnsiTheme="minorBidi"/>
          <w:sz w:val="22"/>
          <w:szCs w:val="22"/>
        </w:rPr>
        <w:t xml:space="preserve"> </w:t>
      </w:r>
    </w:p>
    <w:p w14:paraId="0CE5A9D0" w14:textId="54961209" w:rsidR="00D45A10" w:rsidRPr="00CB4BCE" w:rsidRDefault="00D45A10" w:rsidP="00CB4BCE">
      <w:pPr>
        <w:spacing w:after="120" w:line="480" w:lineRule="auto"/>
        <w:jc w:val="both"/>
        <w:rPr>
          <w:rFonts w:asciiTheme="minorBidi" w:eastAsia="Times New Roman" w:hAnsiTheme="minorBidi"/>
          <w:sz w:val="22"/>
          <w:szCs w:val="22"/>
        </w:rPr>
      </w:pPr>
    </w:p>
    <w:p w14:paraId="460D4562" w14:textId="1CE166FC" w:rsidR="004F4004" w:rsidRDefault="004F4004" w:rsidP="00BE0818">
      <w:pPr>
        <w:spacing w:line="480" w:lineRule="auto"/>
        <w:jc w:val="both"/>
        <w:rPr>
          <w:rFonts w:asciiTheme="minorBidi" w:hAnsiTheme="minorBidi"/>
          <w:b/>
          <w:noProof/>
          <w:sz w:val="22"/>
          <w:szCs w:val="22"/>
        </w:rPr>
      </w:pPr>
      <w:r>
        <w:rPr>
          <w:rFonts w:asciiTheme="minorBidi" w:hAnsiTheme="minorBidi"/>
          <w:b/>
          <w:noProof/>
          <w:sz w:val="22"/>
          <w:szCs w:val="22"/>
        </w:rPr>
        <w:br w:type="page"/>
      </w:r>
    </w:p>
    <w:p w14:paraId="0E388075" w14:textId="196B0117" w:rsidR="004550EC" w:rsidRDefault="004F4004" w:rsidP="00BE0818">
      <w:pPr>
        <w:spacing w:line="480" w:lineRule="auto"/>
        <w:jc w:val="both"/>
        <w:rPr>
          <w:rFonts w:asciiTheme="minorBidi" w:hAnsiTheme="minorBidi"/>
          <w:b/>
          <w:sz w:val="22"/>
          <w:szCs w:val="22"/>
        </w:rPr>
      </w:pPr>
      <w:r>
        <w:rPr>
          <w:rFonts w:asciiTheme="minorBidi" w:hAnsiTheme="minorBidi"/>
          <w:b/>
          <w:noProof/>
          <w:sz w:val="22"/>
          <w:szCs w:val="22"/>
        </w:rPr>
        <w:lastRenderedPageBreak/>
        <w:drawing>
          <wp:inline distT="0" distB="0" distL="0" distR="0" wp14:anchorId="39159244" wp14:editId="3AC6BB88">
            <wp:extent cx="6120765" cy="3870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87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20A3E" w14:textId="684050FD" w:rsidR="00387FA2" w:rsidRPr="000A7E80" w:rsidRDefault="007F2CA2" w:rsidP="00387FA2">
      <w:pPr>
        <w:spacing w:line="480" w:lineRule="auto"/>
        <w:jc w:val="both"/>
        <w:rPr>
          <w:rFonts w:ascii="Helvetica" w:hAnsi="Helvetica" w:cs="Helvetica"/>
          <w:sz w:val="22"/>
          <w:szCs w:val="22"/>
        </w:rPr>
      </w:pPr>
      <w:r w:rsidRPr="005971AC">
        <w:rPr>
          <w:rFonts w:ascii="Helvetica" w:hAnsi="Helvetica" w:cs="Helvetica"/>
          <w:b/>
          <w:sz w:val="22"/>
          <w:szCs w:val="22"/>
        </w:rPr>
        <w:t xml:space="preserve">Supplementary Figure </w:t>
      </w:r>
      <w:r w:rsidR="002B4EE7" w:rsidRPr="005971AC">
        <w:rPr>
          <w:rFonts w:ascii="Helvetica" w:hAnsi="Helvetica" w:cs="Helvetica"/>
          <w:b/>
          <w:sz w:val="22"/>
          <w:szCs w:val="22"/>
        </w:rPr>
        <w:t>2</w:t>
      </w:r>
      <w:r w:rsidR="00D45A10" w:rsidRPr="005971AC">
        <w:rPr>
          <w:rFonts w:ascii="Helvetica" w:hAnsi="Helvetica" w:cs="Helvetica"/>
          <w:b/>
          <w:sz w:val="22"/>
          <w:szCs w:val="22"/>
        </w:rPr>
        <w:t xml:space="preserve">. </w:t>
      </w:r>
      <w:r w:rsidR="009C1389" w:rsidRPr="005971AC">
        <w:rPr>
          <w:rFonts w:ascii="Helvetica" w:hAnsi="Helvetica" w:cs="Helvetica"/>
          <w:b/>
          <w:sz w:val="22"/>
          <w:szCs w:val="22"/>
        </w:rPr>
        <w:t xml:space="preserve">Hematopoietic phenotype of </w:t>
      </w:r>
      <w:r w:rsidR="001352D2" w:rsidRPr="001352D2">
        <w:rPr>
          <w:rFonts w:ascii="Helvetica" w:hAnsi="Helvetica" w:cs="Helvetica"/>
          <w:b/>
          <w:i/>
          <w:sz w:val="22"/>
          <w:szCs w:val="22"/>
        </w:rPr>
        <w:t>Lyl1</w:t>
      </w:r>
      <w:r w:rsidR="001352D2">
        <w:rPr>
          <w:rFonts w:ascii="Helvetica" w:hAnsi="Helvetica" w:cs="Helvetica"/>
          <w:b/>
          <w:sz w:val="22"/>
          <w:szCs w:val="22"/>
        </w:rPr>
        <w:t xml:space="preserve"> </w:t>
      </w:r>
      <w:r w:rsidR="00B672A5">
        <w:rPr>
          <w:rFonts w:ascii="Helvetica" w:hAnsi="Helvetica" w:cs="Helvetica"/>
          <w:b/>
          <w:bCs/>
          <w:sz w:val="22"/>
          <w:szCs w:val="22"/>
        </w:rPr>
        <w:t>d</w:t>
      </w:r>
      <w:r w:rsidR="00152C0B" w:rsidRPr="005971AC">
        <w:rPr>
          <w:rFonts w:ascii="Helvetica" w:hAnsi="Helvetica" w:cs="Helvetica"/>
          <w:b/>
          <w:bCs/>
          <w:sz w:val="22"/>
          <w:szCs w:val="22"/>
        </w:rPr>
        <w:t xml:space="preserve">eletion </w:t>
      </w:r>
      <w:r w:rsidR="009C1389" w:rsidRPr="005971AC">
        <w:rPr>
          <w:rFonts w:ascii="Helvetica" w:hAnsi="Helvetica" w:cs="Helvetica"/>
          <w:b/>
          <w:bCs/>
          <w:sz w:val="22"/>
          <w:szCs w:val="22"/>
        </w:rPr>
        <w:t>in</w:t>
      </w:r>
      <w:r w:rsidR="002B4EE7" w:rsidRPr="005971AC">
        <w:rPr>
          <w:rFonts w:ascii="Helvetica" w:hAnsi="Helvetica" w:cs="Helvetica"/>
          <w:b/>
          <w:bCs/>
          <w:sz w:val="22"/>
          <w:szCs w:val="22"/>
        </w:rPr>
        <w:t xml:space="preserve"> adult </w:t>
      </w:r>
      <w:r w:rsidR="009C1389" w:rsidRPr="005971AC">
        <w:rPr>
          <w:rFonts w:ascii="Helvetica" w:hAnsi="Helvetica" w:cs="Helvetica"/>
          <w:b/>
          <w:bCs/>
          <w:sz w:val="22"/>
          <w:szCs w:val="22"/>
        </w:rPr>
        <w:t>HSPCs</w:t>
      </w:r>
      <w:r w:rsidR="00D45A10" w:rsidRPr="005971AC">
        <w:rPr>
          <w:rFonts w:ascii="Helvetica" w:hAnsi="Helvetica" w:cs="Helvetica"/>
          <w:b/>
          <w:sz w:val="22"/>
          <w:szCs w:val="22"/>
        </w:rPr>
        <w:t xml:space="preserve">. </w:t>
      </w:r>
      <w:r w:rsidR="00152C0B" w:rsidRPr="005971AC">
        <w:rPr>
          <w:rFonts w:ascii="Helvetica" w:hAnsi="Helvetica" w:cs="Helvetica"/>
          <w:b/>
          <w:bCs/>
          <w:sz w:val="22"/>
          <w:szCs w:val="22"/>
        </w:rPr>
        <w:t>A</w:t>
      </w:r>
      <w:r w:rsidR="00D45A10" w:rsidRPr="005971AC">
        <w:rPr>
          <w:rFonts w:ascii="Helvetica" w:hAnsi="Helvetica" w:cs="Helvetica"/>
          <w:sz w:val="22"/>
          <w:szCs w:val="22"/>
        </w:rPr>
        <w:t>,</w:t>
      </w:r>
      <w:r w:rsidR="007C1B3E" w:rsidRPr="005971AC">
        <w:rPr>
          <w:rFonts w:ascii="Helvetica" w:hAnsi="Helvetica" w:cs="Helvetica"/>
          <w:sz w:val="22"/>
          <w:szCs w:val="22"/>
          <w:lang w:val="en-CA"/>
        </w:rPr>
        <w:t xml:space="preserve"> </w:t>
      </w:r>
      <w:r w:rsidR="005971AC" w:rsidRPr="005971AC">
        <w:rPr>
          <w:rFonts w:ascii="Helvetica" w:hAnsi="Helvetica" w:cs="Helvetica"/>
          <w:sz w:val="22"/>
          <w:szCs w:val="22"/>
          <w:lang w:val="en-CA"/>
        </w:rPr>
        <w:t xml:space="preserve">Longitudinal assessment of the relative representation (%) </w:t>
      </w:r>
      <w:r w:rsidR="007C1B3E" w:rsidRPr="005971AC">
        <w:rPr>
          <w:rFonts w:ascii="Helvetica" w:hAnsi="Helvetica" w:cs="Helvetica"/>
          <w:sz w:val="22"/>
          <w:szCs w:val="22"/>
          <w:lang w:val="en-CA"/>
        </w:rPr>
        <w:t>of donor-derived (Cd45.2</w:t>
      </w:r>
      <w:r w:rsidR="007C1B3E" w:rsidRPr="005971AC">
        <w:rPr>
          <w:rFonts w:ascii="Helvetica" w:hAnsi="Helvetica" w:cs="Helvetica"/>
          <w:sz w:val="22"/>
          <w:szCs w:val="22"/>
          <w:vertAlign w:val="superscript"/>
          <w:lang w:val="en-CA"/>
        </w:rPr>
        <w:t>+</w:t>
      </w:r>
      <w:r w:rsidR="007C1B3E" w:rsidRPr="005971AC">
        <w:rPr>
          <w:rFonts w:ascii="Helvetica" w:hAnsi="Helvetica" w:cs="Helvetica"/>
          <w:sz w:val="22"/>
          <w:szCs w:val="22"/>
          <w:lang w:val="en-CA"/>
        </w:rPr>
        <w:t xml:space="preserve">) cells in the peripheral blood </w:t>
      </w:r>
      <w:r w:rsidR="005971AC" w:rsidRPr="005971AC">
        <w:rPr>
          <w:rFonts w:ascii="Helvetica" w:hAnsi="Helvetica" w:cs="Helvetica"/>
          <w:sz w:val="22"/>
          <w:szCs w:val="22"/>
          <w:lang w:val="en-CA"/>
        </w:rPr>
        <w:t xml:space="preserve">of recipients transplanted with bone marrow (BM) of </w:t>
      </w:r>
      <w:r w:rsidR="005971AC" w:rsidRPr="005971AC">
        <w:rPr>
          <w:rFonts w:ascii="Helvetica" w:hAnsi="Helvetica" w:cs="Helvetica"/>
          <w:i/>
          <w:iCs/>
          <w:sz w:val="22"/>
          <w:szCs w:val="22"/>
        </w:rPr>
        <w:t>E; Lyl1</w:t>
      </w:r>
      <w:r w:rsidR="005971AC" w:rsidRPr="005971AC">
        <w:rPr>
          <w:rFonts w:ascii="Helvetica" w:hAnsi="Helvetica" w:cs="Helvetica"/>
          <w:i/>
          <w:iCs/>
          <w:sz w:val="22"/>
          <w:szCs w:val="22"/>
          <w:vertAlign w:val="superscript"/>
        </w:rPr>
        <w:t>+/+</w:t>
      </w:r>
      <w:r w:rsidR="005971AC" w:rsidRPr="005971AC">
        <w:rPr>
          <w:rFonts w:ascii="Helvetica" w:hAnsi="Helvetica" w:cs="Helvetica"/>
          <w:sz w:val="22"/>
          <w:szCs w:val="22"/>
        </w:rPr>
        <w:t xml:space="preserve"> (control) and </w:t>
      </w:r>
      <w:r w:rsidR="005971AC" w:rsidRPr="005971AC">
        <w:rPr>
          <w:rFonts w:ascii="Helvetica" w:hAnsi="Helvetica" w:cs="Helvetica"/>
          <w:i/>
          <w:sz w:val="22"/>
          <w:szCs w:val="22"/>
        </w:rPr>
        <w:t>E;</w:t>
      </w:r>
      <w:r w:rsidR="005971AC" w:rsidRPr="005971AC">
        <w:rPr>
          <w:rFonts w:ascii="Helvetica" w:hAnsi="Helvetica" w:cs="Helvetica"/>
          <w:sz w:val="22"/>
          <w:szCs w:val="22"/>
          <w:vertAlign w:val="superscript"/>
        </w:rPr>
        <w:t xml:space="preserve"> </w:t>
      </w:r>
      <w:r w:rsidR="005971AC" w:rsidRPr="005971AC">
        <w:rPr>
          <w:rFonts w:ascii="Helvetica" w:hAnsi="Helvetica" w:cs="Helvetica"/>
          <w:i/>
          <w:sz w:val="22"/>
          <w:szCs w:val="22"/>
        </w:rPr>
        <w:t>Lyl1</w:t>
      </w:r>
      <w:r w:rsidR="005971AC" w:rsidRPr="005971AC">
        <w:rPr>
          <w:rFonts w:ascii="Helvetica" w:hAnsi="Helvetica" w:cs="Helvetica"/>
          <w:sz w:val="22"/>
          <w:szCs w:val="22"/>
          <w:vertAlign w:val="superscript"/>
        </w:rPr>
        <w:t>f/f</w:t>
      </w:r>
      <w:r w:rsidR="005971AC" w:rsidRPr="005971AC">
        <w:rPr>
          <w:rFonts w:ascii="Helvetica" w:hAnsi="Helvetica" w:cs="Helvetica"/>
          <w:sz w:val="22"/>
          <w:szCs w:val="22"/>
        </w:rPr>
        <w:t xml:space="preserve"> (</w:t>
      </w:r>
      <w:r w:rsidR="005971AC" w:rsidRPr="005971AC">
        <w:rPr>
          <w:rFonts w:ascii="Helvetica" w:hAnsi="Helvetica" w:cs="Helvetica"/>
          <w:i/>
          <w:sz w:val="22"/>
          <w:szCs w:val="22"/>
        </w:rPr>
        <w:t>Lyl1</w:t>
      </w:r>
      <w:r w:rsidR="005971AC" w:rsidRPr="005971AC">
        <w:rPr>
          <w:rFonts w:ascii="Helvetica" w:hAnsi="Helvetica" w:cs="Helvetica"/>
          <w:sz w:val="22"/>
          <w:szCs w:val="22"/>
        </w:rPr>
        <w:t>cKO) mice. Dashed line represents 50% engraftment.</w:t>
      </w:r>
      <w:r w:rsidR="000A7E80">
        <w:rPr>
          <w:rFonts w:ascii="Helvetica" w:hAnsi="Helvetica" w:cs="Helvetica"/>
          <w:sz w:val="22"/>
          <w:szCs w:val="22"/>
        </w:rPr>
        <w:t xml:space="preserve"> </w:t>
      </w:r>
      <w:r w:rsidR="005971AC" w:rsidRPr="005971AC">
        <w:rPr>
          <w:rFonts w:ascii="Helvetica" w:hAnsi="Helvetica" w:cs="Helvetica"/>
          <w:b/>
          <w:sz w:val="22"/>
          <w:szCs w:val="22"/>
        </w:rPr>
        <w:t>B-C</w:t>
      </w:r>
      <w:r w:rsidR="005971AC" w:rsidRPr="005971AC">
        <w:rPr>
          <w:rFonts w:ascii="Helvetica" w:hAnsi="Helvetica" w:cs="Helvetica"/>
          <w:sz w:val="22"/>
          <w:szCs w:val="22"/>
        </w:rPr>
        <w:t xml:space="preserve">, Proportion (%) of </w:t>
      </w:r>
      <w:r w:rsidR="005971AC" w:rsidRPr="005971AC">
        <w:rPr>
          <w:rFonts w:ascii="Helvetica" w:hAnsi="Helvetica" w:cs="Helvetica"/>
          <w:i/>
          <w:sz w:val="22"/>
          <w:szCs w:val="22"/>
        </w:rPr>
        <w:t>E;</w:t>
      </w:r>
      <w:r w:rsidR="005971AC" w:rsidRPr="005971AC">
        <w:rPr>
          <w:rFonts w:ascii="Helvetica" w:hAnsi="Helvetica" w:cs="Helvetica"/>
          <w:sz w:val="22"/>
          <w:szCs w:val="22"/>
          <w:vertAlign w:val="superscript"/>
        </w:rPr>
        <w:t xml:space="preserve"> </w:t>
      </w:r>
      <w:r w:rsidR="005971AC" w:rsidRPr="005971AC">
        <w:rPr>
          <w:rFonts w:ascii="Helvetica" w:hAnsi="Helvetica" w:cs="Helvetica"/>
          <w:i/>
          <w:sz w:val="22"/>
          <w:szCs w:val="22"/>
        </w:rPr>
        <w:t>Lyl1</w:t>
      </w:r>
      <w:r w:rsidR="005971AC" w:rsidRPr="005971AC">
        <w:rPr>
          <w:rFonts w:ascii="Helvetica" w:hAnsi="Helvetica" w:cs="Helvetica"/>
          <w:sz w:val="22"/>
          <w:szCs w:val="22"/>
          <w:vertAlign w:val="superscript"/>
        </w:rPr>
        <w:t>f/f</w:t>
      </w:r>
      <w:r w:rsidR="005971AC" w:rsidRPr="005971AC">
        <w:rPr>
          <w:rFonts w:ascii="Helvetica" w:hAnsi="Helvetica" w:cs="Helvetica"/>
          <w:sz w:val="22"/>
          <w:szCs w:val="22"/>
        </w:rPr>
        <w:t xml:space="preserve"> </w:t>
      </w:r>
      <w:r w:rsidR="007C1B3E" w:rsidRPr="005971AC">
        <w:rPr>
          <w:rFonts w:ascii="Helvetica" w:hAnsi="Helvetica" w:cs="Helvetica"/>
          <w:sz w:val="22"/>
          <w:szCs w:val="22"/>
        </w:rPr>
        <w:t>Lineage-negative Sca-1- and Kit-positive (LSK) cells (</w:t>
      </w:r>
      <w:r w:rsidR="005971AC" w:rsidRPr="005971AC">
        <w:rPr>
          <w:rFonts w:ascii="Helvetica" w:hAnsi="Helvetica" w:cs="Helvetica"/>
          <w:b/>
          <w:sz w:val="22"/>
          <w:szCs w:val="22"/>
        </w:rPr>
        <w:t>B</w:t>
      </w:r>
      <w:r w:rsidR="007C1B3E" w:rsidRPr="005971AC">
        <w:rPr>
          <w:rFonts w:ascii="Helvetica" w:hAnsi="Helvetica" w:cs="Helvetica"/>
          <w:sz w:val="22"/>
          <w:szCs w:val="22"/>
        </w:rPr>
        <w:t>), and t</w:t>
      </w:r>
      <w:r w:rsidR="007C1B3E" w:rsidRPr="005971AC">
        <w:rPr>
          <w:rFonts w:ascii="Helvetica" w:hAnsi="Helvetica" w:cs="Helvetica"/>
          <w:sz w:val="22"/>
          <w:szCs w:val="22"/>
          <w:lang w:val="en-CA"/>
        </w:rPr>
        <w:t xml:space="preserve">the different subsets of hematopoietic stem and </w:t>
      </w:r>
      <w:r w:rsidR="007C1B3E" w:rsidRPr="005971AC">
        <w:rPr>
          <w:rFonts w:ascii="Helvetica" w:hAnsi="Helvetica" w:cs="Helvetica"/>
          <w:sz w:val="22"/>
          <w:szCs w:val="22"/>
        </w:rPr>
        <w:t>progenitor</w:t>
      </w:r>
      <w:r w:rsidR="005971AC" w:rsidRPr="005971AC">
        <w:rPr>
          <w:rFonts w:ascii="Helvetica" w:hAnsi="Helvetica" w:cs="Helvetica"/>
          <w:sz w:val="22"/>
          <w:szCs w:val="22"/>
        </w:rPr>
        <w:t xml:space="preserve"> cell</w:t>
      </w:r>
      <w:r w:rsidR="007C1B3E" w:rsidRPr="005971AC">
        <w:rPr>
          <w:rFonts w:ascii="Helvetica" w:hAnsi="Helvetica" w:cs="Helvetica"/>
          <w:sz w:val="22"/>
          <w:szCs w:val="22"/>
        </w:rPr>
        <w:t>s in the LSK population</w:t>
      </w:r>
      <w:r w:rsidR="007C1B3E" w:rsidRPr="005971AC">
        <w:rPr>
          <w:rFonts w:ascii="Helvetica" w:hAnsi="Helvetica" w:cs="Helvetica"/>
          <w:sz w:val="22"/>
          <w:szCs w:val="22"/>
          <w:lang w:val="en-CA"/>
        </w:rPr>
        <w:t xml:space="preserve"> (</w:t>
      </w:r>
      <w:r w:rsidR="005971AC" w:rsidRPr="005971AC">
        <w:rPr>
          <w:rFonts w:ascii="Helvetica" w:hAnsi="Helvetica" w:cs="Helvetica"/>
          <w:b/>
          <w:sz w:val="22"/>
          <w:szCs w:val="22"/>
          <w:lang w:val="en-CA"/>
        </w:rPr>
        <w:t>C</w:t>
      </w:r>
      <w:r w:rsidR="007C1B3E" w:rsidRPr="005971AC">
        <w:rPr>
          <w:rFonts w:ascii="Helvetica" w:hAnsi="Helvetica" w:cs="Helvetica"/>
          <w:sz w:val="22"/>
          <w:szCs w:val="22"/>
          <w:lang w:val="en-CA"/>
        </w:rPr>
        <w:t xml:space="preserve">), </w:t>
      </w:r>
      <w:r w:rsidR="005971AC" w:rsidRPr="005971AC">
        <w:rPr>
          <w:rFonts w:ascii="Helvetica" w:hAnsi="Helvetica" w:cs="Helvetica"/>
          <w:sz w:val="22"/>
          <w:szCs w:val="22"/>
          <w:lang w:val="en-CA"/>
        </w:rPr>
        <w:t>from the BM of recipients at twenty-</w:t>
      </w:r>
      <w:r w:rsidR="007C1B3E" w:rsidRPr="005971AC">
        <w:rPr>
          <w:rFonts w:ascii="Helvetica" w:hAnsi="Helvetica" w:cs="Helvetica"/>
          <w:sz w:val="22"/>
          <w:szCs w:val="22"/>
        </w:rPr>
        <w:t xml:space="preserve">four weeks after </w:t>
      </w:r>
      <w:r w:rsidR="005971AC" w:rsidRPr="005971AC">
        <w:rPr>
          <w:rFonts w:ascii="Helvetica" w:hAnsi="Helvetica" w:cs="Helvetica"/>
          <w:sz w:val="22"/>
          <w:szCs w:val="22"/>
        </w:rPr>
        <w:t>transplantation</w:t>
      </w:r>
      <w:r w:rsidR="007C1B3E" w:rsidRPr="005971AC">
        <w:rPr>
          <w:rFonts w:ascii="Helvetica" w:hAnsi="Helvetica" w:cs="Helvetica"/>
          <w:sz w:val="22"/>
          <w:szCs w:val="22"/>
        </w:rPr>
        <w:t>.</w:t>
      </w:r>
      <w:r w:rsidR="005971AC">
        <w:rPr>
          <w:rFonts w:ascii="Helvetica" w:hAnsi="Helvetica" w:cs="Helvetica"/>
          <w:sz w:val="22"/>
          <w:szCs w:val="22"/>
        </w:rPr>
        <w:t xml:space="preserve"> </w:t>
      </w:r>
      <w:r w:rsidR="005971AC">
        <w:rPr>
          <w:rFonts w:ascii="Helvetica" w:hAnsi="Helvetica" w:cs="Helvetica"/>
          <w:b/>
          <w:sz w:val="22"/>
          <w:szCs w:val="22"/>
        </w:rPr>
        <w:t>D</w:t>
      </w:r>
      <w:r w:rsidR="005971AC" w:rsidRPr="005971AC">
        <w:rPr>
          <w:rFonts w:ascii="Helvetica" w:hAnsi="Helvetica" w:cs="Helvetica"/>
          <w:b/>
          <w:sz w:val="22"/>
          <w:szCs w:val="22"/>
        </w:rPr>
        <w:t>-</w:t>
      </w:r>
      <w:r w:rsidR="005971AC">
        <w:rPr>
          <w:rFonts w:ascii="Helvetica" w:hAnsi="Helvetica" w:cs="Helvetica"/>
          <w:b/>
          <w:sz w:val="22"/>
          <w:szCs w:val="22"/>
        </w:rPr>
        <w:t>E</w:t>
      </w:r>
      <w:r w:rsidR="005971AC" w:rsidRPr="005971AC">
        <w:rPr>
          <w:rFonts w:ascii="Helvetica" w:hAnsi="Helvetica" w:cs="Helvetica"/>
          <w:sz w:val="22"/>
          <w:szCs w:val="22"/>
        </w:rPr>
        <w:t>,</w:t>
      </w:r>
      <w:r w:rsidR="005971AC">
        <w:rPr>
          <w:rFonts w:ascii="Helvetica" w:hAnsi="Helvetica" w:cs="Helvetica"/>
          <w:sz w:val="22"/>
          <w:szCs w:val="22"/>
        </w:rPr>
        <w:t xml:space="preserve"> Percentage of </w:t>
      </w:r>
      <w:r w:rsidR="00817434" w:rsidRPr="005971AC">
        <w:rPr>
          <w:rFonts w:ascii="Helvetica" w:hAnsi="Helvetica" w:cs="Helvetica"/>
          <w:i/>
          <w:sz w:val="22"/>
          <w:szCs w:val="22"/>
        </w:rPr>
        <w:t>E;</w:t>
      </w:r>
      <w:r w:rsidR="00817434" w:rsidRPr="005971AC">
        <w:rPr>
          <w:rFonts w:ascii="Helvetica" w:hAnsi="Helvetica" w:cs="Helvetica"/>
          <w:sz w:val="22"/>
          <w:szCs w:val="22"/>
          <w:vertAlign w:val="superscript"/>
        </w:rPr>
        <w:t xml:space="preserve"> </w:t>
      </w:r>
      <w:r w:rsidR="00817434" w:rsidRPr="005971AC">
        <w:rPr>
          <w:rFonts w:ascii="Helvetica" w:hAnsi="Helvetica" w:cs="Helvetica"/>
          <w:i/>
          <w:sz w:val="22"/>
          <w:szCs w:val="22"/>
        </w:rPr>
        <w:t>Lyl1</w:t>
      </w:r>
      <w:r w:rsidR="00817434" w:rsidRPr="005971AC">
        <w:rPr>
          <w:rFonts w:ascii="Helvetica" w:hAnsi="Helvetica" w:cs="Helvetica"/>
          <w:sz w:val="22"/>
          <w:szCs w:val="22"/>
          <w:vertAlign w:val="superscript"/>
        </w:rPr>
        <w:t>f/f</w:t>
      </w:r>
      <w:r w:rsidR="00817434" w:rsidRPr="005971AC">
        <w:rPr>
          <w:rFonts w:ascii="Helvetica" w:hAnsi="Helvetica" w:cs="Helvetica"/>
          <w:sz w:val="22"/>
          <w:szCs w:val="22"/>
        </w:rPr>
        <w:t xml:space="preserve"> </w:t>
      </w:r>
      <w:r w:rsidR="00817434">
        <w:rPr>
          <w:rFonts w:ascii="Helvetica" w:hAnsi="Helvetica" w:cs="Helvetica"/>
          <w:sz w:val="22"/>
          <w:szCs w:val="22"/>
        </w:rPr>
        <w:t>mature myeloid, B- and T-cells in the peripheral blood over time (</w:t>
      </w:r>
      <w:r w:rsidR="00817434" w:rsidRPr="00817434">
        <w:rPr>
          <w:rFonts w:ascii="Helvetica" w:hAnsi="Helvetica" w:cs="Helvetica"/>
          <w:b/>
          <w:sz w:val="22"/>
          <w:szCs w:val="22"/>
        </w:rPr>
        <w:t>D</w:t>
      </w:r>
      <w:r w:rsidR="00817434">
        <w:rPr>
          <w:rFonts w:ascii="Helvetica" w:hAnsi="Helvetica" w:cs="Helvetica"/>
          <w:sz w:val="22"/>
          <w:szCs w:val="22"/>
        </w:rPr>
        <w:t xml:space="preserve">) and in the BM </w:t>
      </w:r>
      <w:r w:rsidR="00817434" w:rsidRPr="005971AC">
        <w:rPr>
          <w:rFonts w:ascii="Helvetica" w:hAnsi="Helvetica" w:cs="Helvetica"/>
          <w:sz w:val="22"/>
          <w:szCs w:val="22"/>
          <w:lang w:val="en-CA"/>
        </w:rPr>
        <w:t>at twenty-</w:t>
      </w:r>
      <w:r w:rsidR="00817434" w:rsidRPr="005971AC">
        <w:rPr>
          <w:rFonts w:ascii="Helvetica" w:hAnsi="Helvetica" w:cs="Helvetica"/>
          <w:sz w:val="22"/>
          <w:szCs w:val="22"/>
        </w:rPr>
        <w:t>four weeks after transplantation</w:t>
      </w:r>
      <w:r w:rsidR="00817434">
        <w:rPr>
          <w:rFonts w:ascii="Helvetica" w:hAnsi="Helvetica" w:cs="Helvetica"/>
          <w:sz w:val="22"/>
          <w:szCs w:val="22"/>
        </w:rPr>
        <w:t xml:space="preserve"> (</w:t>
      </w:r>
      <w:r w:rsidR="00817434" w:rsidRPr="00817434">
        <w:rPr>
          <w:rFonts w:ascii="Helvetica" w:hAnsi="Helvetica" w:cs="Helvetica"/>
          <w:b/>
          <w:sz w:val="22"/>
          <w:szCs w:val="22"/>
        </w:rPr>
        <w:t>E</w:t>
      </w:r>
      <w:r w:rsidR="00817434">
        <w:rPr>
          <w:rFonts w:ascii="Helvetica" w:hAnsi="Helvetica" w:cs="Helvetica"/>
          <w:sz w:val="22"/>
          <w:szCs w:val="22"/>
        </w:rPr>
        <w:t xml:space="preserve">). </w:t>
      </w:r>
      <w:r w:rsidR="00817434" w:rsidRPr="005971AC">
        <w:rPr>
          <w:rFonts w:ascii="Helvetica" w:hAnsi="Helvetica" w:cs="Helvetica"/>
          <w:sz w:val="22"/>
          <w:szCs w:val="22"/>
        </w:rPr>
        <w:t>Dashed line represents 50% engraftment.</w:t>
      </w:r>
      <w:r w:rsidR="000A7E80">
        <w:rPr>
          <w:rFonts w:ascii="Helvetica" w:hAnsi="Helvetica" w:cs="Helvetica"/>
          <w:sz w:val="22"/>
          <w:szCs w:val="22"/>
        </w:rPr>
        <w:t xml:space="preserve"> </w:t>
      </w:r>
      <w:r w:rsidR="000A7E80" w:rsidRPr="000A7E80">
        <w:rPr>
          <w:rFonts w:ascii="Helvetica" w:hAnsi="Helvetica" w:cs="Helvetica"/>
          <w:b/>
          <w:sz w:val="22"/>
          <w:szCs w:val="22"/>
        </w:rPr>
        <w:t>F-G</w:t>
      </w:r>
      <w:r w:rsidR="000A7E80">
        <w:rPr>
          <w:rFonts w:ascii="Helvetica" w:hAnsi="Helvetica" w:cs="Helvetica"/>
          <w:sz w:val="22"/>
          <w:szCs w:val="22"/>
        </w:rPr>
        <w:t xml:space="preserve">, Relative representation (%) of </w:t>
      </w:r>
      <w:r w:rsidR="0029722F">
        <w:rPr>
          <w:rFonts w:ascii="Helvetica" w:hAnsi="Helvetica" w:cs="Helvetica"/>
          <w:sz w:val="22"/>
          <w:szCs w:val="22"/>
        </w:rPr>
        <w:t xml:space="preserve">donor-derived </w:t>
      </w:r>
      <w:r w:rsidR="000A7E80" w:rsidRPr="005971AC">
        <w:rPr>
          <w:rFonts w:ascii="Helvetica" w:hAnsi="Helvetica" w:cs="Helvetica"/>
          <w:i/>
          <w:sz w:val="22"/>
          <w:szCs w:val="22"/>
        </w:rPr>
        <w:t>E;</w:t>
      </w:r>
      <w:r w:rsidR="000A7E80" w:rsidRPr="005971AC">
        <w:rPr>
          <w:rFonts w:ascii="Helvetica" w:hAnsi="Helvetica" w:cs="Helvetica"/>
          <w:sz w:val="22"/>
          <w:szCs w:val="22"/>
          <w:vertAlign w:val="superscript"/>
        </w:rPr>
        <w:t xml:space="preserve"> </w:t>
      </w:r>
      <w:r w:rsidR="000A7E80" w:rsidRPr="005971AC">
        <w:rPr>
          <w:rFonts w:ascii="Helvetica" w:hAnsi="Helvetica" w:cs="Helvetica"/>
          <w:i/>
          <w:sz w:val="22"/>
          <w:szCs w:val="22"/>
        </w:rPr>
        <w:t>Lyl1</w:t>
      </w:r>
      <w:r w:rsidR="000A7E80" w:rsidRPr="005971AC">
        <w:rPr>
          <w:rFonts w:ascii="Helvetica" w:hAnsi="Helvetica" w:cs="Helvetica"/>
          <w:sz w:val="22"/>
          <w:szCs w:val="22"/>
          <w:vertAlign w:val="superscript"/>
        </w:rPr>
        <w:t>f/f</w:t>
      </w:r>
      <w:r w:rsidR="000A7E80" w:rsidRPr="005971AC">
        <w:rPr>
          <w:rFonts w:ascii="Helvetica" w:hAnsi="Helvetica" w:cs="Helvetica"/>
          <w:sz w:val="22"/>
          <w:szCs w:val="22"/>
        </w:rPr>
        <w:t xml:space="preserve"> </w:t>
      </w:r>
      <w:r w:rsidR="000A7E80">
        <w:rPr>
          <w:rFonts w:ascii="Helvetica" w:hAnsi="Helvetica" w:cs="Helvetica"/>
          <w:sz w:val="22"/>
          <w:szCs w:val="22"/>
        </w:rPr>
        <w:t>B-cell populations in the BM (</w:t>
      </w:r>
      <w:r w:rsidR="000A7E80" w:rsidRPr="000A7E80">
        <w:rPr>
          <w:rFonts w:ascii="Helvetica" w:hAnsi="Helvetica" w:cs="Helvetica"/>
          <w:b/>
          <w:sz w:val="22"/>
          <w:szCs w:val="22"/>
        </w:rPr>
        <w:t>F</w:t>
      </w:r>
      <w:r w:rsidR="000A7E80">
        <w:rPr>
          <w:rFonts w:ascii="Helvetica" w:hAnsi="Helvetica" w:cs="Helvetica"/>
          <w:sz w:val="22"/>
          <w:szCs w:val="22"/>
        </w:rPr>
        <w:t>), and T-cell populations in the thymus (</w:t>
      </w:r>
      <w:r w:rsidR="000A7E80" w:rsidRPr="000A7E80">
        <w:rPr>
          <w:rFonts w:ascii="Helvetica" w:hAnsi="Helvetica" w:cs="Helvetica"/>
          <w:b/>
          <w:sz w:val="22"/>
          <w:szCs w:val="22"/>
        </w:rPr>
        <w:t>G</w:t>
      </w:r>
      <w:r w:rsidR="000A7E80">
        <w:rPr>
          <w:rFonts w:ascii="Helvetica" w:hAnsi="Helvetica" w:cs="Helvetica"/>
          <w:sz w:val="22"/>
          <w:szCs w:val="22"/>
        </w:rPr>
        <w:t xml:space="preserve">) of </w:t>
      </w:r>
      <w:r w:rsidR="000A7E80" w:rsidRPr="005971AC">
        <w:rPr>
          <w:rFonts w:ascii="Helvetica" w:hAnsi="Helvetica" w:cs="Helvetica"/>
          <w:sz w:val="22"/>
          <w:szCs w:val="22"/>
          <w:lang w:val="en-CA"/>
        </w:rPr>
        <w:t>recipients at twenty-</w:t>
      </w:r>
      <w:r w:rsidR="000A7E80" w:rsidRPr="005971AC">
        <w:rPr>
          <w:rFonts w:ascii="Helvetica" w:hAnsi="Helvetica" w:cs="Helvetica"/>
          <w:sz w:val="22"/>
          <w:szCs w:val="22"/>
        </w:rPr>
        <w:t>four weeks after transplantation.</w:t>
      </w:r>
      <w:r w:rsidR="000A7E80">
        <w:rPr>
          <w:rFonts w:ascii="Helvetica" w:hAnsi="Helvetica" w:cs="Helvetica"/>
          <w:sz w:val="22"/>
          <w:szCs w:val="22"/>
        </w:rPr>
        <w:t xml:space="preserve"> Tamoxifen (TAM); </w:t>
      </w:r>
      <w:r w:rsidR="004F4004">
        <w:rPr>
          <w:rFonts w:asciiTheme="minorBidi" w:hAnsiTheme="minorBidi"/>
          <w:sz w:val="22"/>
          <w:szCs w:val="22"/>
        </w:rPr>
        <w:t>hematopoietic stem cell (HSC) and multipotent progenitor (MPP) populations; megakaryocyte and erythroid biased (</w:t>
      </w:r>
      <w:proofErr w:type="spellStart"/>
      <w:r w:rsidR="004F4004">
        <w:rPr>
          <w:rFonts w:asciiTheme="minorBidi" w:hAnsiTheme="minorBidi"/>
          <w:sz w:val="22"/>
          <w:szCs w:val="22"/>
        </w:rPr>
        <w:t>MPP</w:t>
      </w:r>
      <w:r w:rsidR="004F4004" w:rsidRPr="00B14E8B">
        <w:rPr>
          <w:rFonts w:asciiTheme="minorBidi" w:hAnsiTheme="minorBidi"/>
          <w:sz w:val="22"/>
          <w:szCs w:val="22"/>
          <w:vertAlign w:val="superscript"/>
        </w:rPr>
        <w:t>Mk</w:t>
      </w:r>
      <w:proofErr w:type="spellEnd"/>
      <w:r w:rsidR="004F4004" w:rsidRPr="00B14E8B">
        <w:rPr>
          <w:rFonts w:asciiTheme="minorBidi" w:hAnsiTheme="minorBidi"/>
          <w:sz w:val="22"/>
          <w:szCs w:val="22"/>
          <w:vertAlign w:val="superscript"/>
        </w:rPr>
        <w:t>/E</w:t>
      </w:r>
      <w:r w:rsidR="004F4004">
        <w:rPr>
          <w:rFonts w:asciiTheme="minorBidi" w:hAnsiTheme="minorBidi"/>
          <w:sz w:val="22"/>
          <w:szCs w:val="22"/>
        </w:rPr>
        <w:t>), lymphoid-primed (</w:t>
      </w:r>
      <w:proofErr w:type="spellStart"/>
      <w:r w:rsidR="004F4004">
        <w:rPr>
          <w:rFonts w:asciiTheme="minorBidi" w:hAnsiTheme="minorBidi"/>
          <w:sz w:val="22"/>
          <w:szCs w:val="22"/>
        </w:rPr>
        <w:t>MPP</w:t>
      </w:r>
      <w:r w:rsidR="004F4004" w:rsidRPr="00B14E8B">
        <w:rPr>
          <w:rFonts w:asciiTheme="minorBidi" w:hAnsiTheme="minorBidi"/>
          <w:sz w:val="22"/>
          <w:szCs w:val="22"/>
          <w:vertAlign w:val="superscript"/>
        </w:rPr>
        <w:t>Ly</w:t>
      </w:r>
      <w:proofErr w:type="spellEnd"/>
      <w:r w:rsidR="004F4004">
        <w:rPr>
          <w:rFonts w:asciiTheme="minorBidi" w:hAnsiTheme="minorBidi"/>
          <w:sz w:val="22"/>
          <w:szCs w:val="22"/>
        </w:rPr>
        <w:t>), and myeloid/granulocyte and monocyte biased (MPP</w:t>
      </w:r>
      <w:r w:rsidR="004F4004" w:rsidRPr="00B14E8B">
        <w:rPr>
          <w:rFonts w:asciiTheme="minorBidi" w:hAnsiTheme="minorBidi"/>
          <w:sz w:val="22"/>
          <w:szCs w:val="22"/>
          <w:vertAlign w:val="superscript"/>
        </w:rPr>
        <w:t>G/M</w:t>
      </w:r>
      <w:r w:rsidR="004F4004">
        <w:rPr>
          <w:rFonts w:asciiTheme="minorBidi" w:hAnsiTheme="minorBidi"/>
          <w:sz w:val="22"/>
          <w:szCs w:val="22"/>
        </w:rPr>
        <w:t>) MPP populations</w:t>
      </w:r>
      <w:r w:rsidR="000A7E80">
        <w:rPr>
          <w:rFonts w:asciiTheme="minorBidi" w:hAnsiTheme="minorBidi"/>
          <w:sz w:val="22"/>
          <w:szCs w:val="22"/>
        </w:rPr>
        <w:t>; CD4</w:t>
      </w:r>
      <w:r w:rsidR="000A7E80" w:rsidRPr="000A7E80">
        <w:rPr>
          <w:rFonts w:asciiTheme="minorBidi" w:hAnsiTheme="minorBidi"/>
          <w:sz w:val="22"/>
          <w:szCs w:val="22"/>
          <w:vertAlign w:val="superscript"/>
        </w:rPr>
        <w:t>-</w:t>
      </w:r>
      <w:r w:rsidR="000A7E80">
        <w:rPr>
          <w:rFonts w:asciiTheme="minorBidi" w:hAnsiTheme="minorBidi"/>
          <w:sz w:val="22"/>
          <w:szCs w:val="22"/>
        </w:rPr>
        <w:t>CD8</w:t>
      </w:r>
      <w:r w:rsidR="000A7E80" w:rsidRPr="000A7E80">
        <w:rPr>
          <w:rFonts w:asciiTheme="minorBidi" w:hAnsiTheme="minorBidi"/>
          <w:sz w:val="22"/>
          <w:szCs w:val="22"/>
          <w:vertAlign w:val="superscript"/>
        </w:rPr>
        <w:t>-</w:t>
      </w:r>
      <w:r w:rsidR="000A7E80">
        <w:rPr>
          <w:rFonts w:asciiTheme="minorBidi" w:hAnsiTheme="minorBidi"/>
          <w:sz w:val="22"/>
          <w:szCs w:val="22"/>
        </w:rPr>
        <w:t xml:space="preserve"> double-negative (DN); CD4</w:t>
      </w:r>
      <w:r w:rsidR="000A7E80" w:rsidRPr="000A7E80">
        <w:rPr>
          <w:rFonts w:asciiTheme="minorBidi" w:hAnsiTheme="minorBidi"/>
          <w:sz w:val="22"/>
          <w:szCs w:val="22"/>
          <w:vertAlign w:val="superscript"/>
        </w:rPr>
        <w:t>+</w:t>
      </w:r>
      <w:r w:rsidR="000A7E80">
        <w:rPr>
          <w:rFonts w:asciiTheme="minorBidi" w:hAnsiTheme="minorBidi"/>
          <w:sz w:val="22"/>
          <w:szCs w:val="22"/>
        </w:rPr>
        <w:t>CD8</w:t>
      </w:r>
      <w:r w:rsidR="000A7E80" w:rsidRPr="000A7E80">
        <w:rPr>
          <w:rFonts w:asciiTheme="minorBidi" w:hAnsiTheme="minorBidi"/>
          <w:sz w:val="22"/>
          <w:szCs w:val="22"/>
          <w:vertAlign w:val="superscript"/>
        </w:rPr>
        <w:t>+</w:t>
      </w:r>
      <w:r w:rsidR="000A7E80">
        <w:rPr>
          <w:rFonts w:asciiTheme="minorBidi" w:hAnsiTheme="minorBidi"/>
          <w:sz w:val="22"/>
          <w:szCs w:val="22"/>
        </w:rPr>
        <w:t xml:space="preserve"> double-positive (DP), CD4</w:t>
      </w:r>
      <w:r w:rsidR="000A7E80" w:rsidRPr="000A7E80">
        <w:rPr>
          <w:rFonts w:asciiTheme="minorBidi" w:hAnsiTheme="minorBidi"/>
          <w:sz w:val="22"/>
          <w:szCs w:val="22"/>
          <w:vertAlign w:val="superscript"/>
        </w:rPr>
        <w:t>+</w:t>
      </w:r>
      <w:r w:rsidR="000A7E80">
        <w:rPr>
          <w:rFonts w:asciiTheme="minorBidi" w:hAnsiTheme="minorBidi"/>
          <w:sz w:val="22"/>
          <w:szCs w:val="22"/>
        </w:rPr>
        <w:t>/CD8</w:t>
      </w:r>
      <w:r w:rsidR="000A7E80" w:rsidRPr="000A7E80">
        <w:rPr>
          <w:rFonts w:asciiTheme="minorBidi" w:hAnsiTheme="minorBidi"/>
          <w:sz w:val="22"/>
          <w:szCs w:val="22"/>
          <w:vertAlign w:val="superscript"/>
        </w:rPr>
        <w:t>+</w:t>
      </w:r>
      <w:r w:rsidR="000A7E80">
        <w:rPr>
          <w:rFonts w:asciiTheme="minorBidi" w:hAnsiTheme="minorBidi"/>
          <w:sz w:val="22"/>
          <w:szCs w:val="22"/>
        </w:rPr>
        <w:t xml:space="preserve"> single-positive (SP4/8) populations. </w:t>
      </w:r>
      <w:r w:rsidR="00406F1C">
        <w:rPr>
          <w:rFonts w:ascii="Helvetica" w:hAnsi="Helvetica" w:cs="Helvetica"/>
          <w:sz w:val="22"/>
          <w:szCs w:val="22"/>
        </w:rPr>
        <w:t>Mean</w:t>
      </w:r>
      <w:r w:rsidR="000A7E80" w:rsidRPr="00D53CDE">
        <w:rPr>
          <w:rFonts w:ascii="Helvetica" w:eastAsia="Times New Roman" w:hAnsi="Helvetica" w:cs="Helvetica"/>
          <w:sz w:val="22"/>
          <w:szCs w:val="22"/>
        </w:rPr>
        <w:t xml:space="preserve"> ± </w:t>
      </w:r>
      <w:r w:rsidR="000A7E80" w:rsidRPr="00D53CDE">
        <w:rPr>
          <w:rFonts w:ascii="Helvetica" w:eastAsia="Times New Roman" w:hAnsi="Helvetica" w:cs="Helvetica"/>
          <w:sz w:val="22"/>
          <w:szCs w:val="22"/>
        </w:rPr>
        <w:lastRenderedPageBreak/>
        <w:t>S.E.M</w:t>
      </w:r>
      <w:r w:rsidR="000A7E80">
        <w:rPr>
          <w:rFonts w:ascii="Helvetica" w:eastAsia="Times New Roman" w:hAnsi="Helvetica" w:cs="Helvetica"/>
          <w:sz w:val="22"/>
          <w:szCs w:val="22"/>
        </w:rPr>
        <w:t>.</w:t>
      </w:r>
      <w:r w:rsidR="000A7E80" w:rsidRPr="009A0269">
        <w:rPr>
          <w:rFonts w:ascii="Arial" w:eastAsia="Times New Roman" w:hAnsi="Arial" w:cs="Arial"/>
          <w:sz w:val="22"/>
          <w:szCs w:val="22"/>
        </w:rPr>
        <w:t xml:space="preserve">, </w:t>
      </w:r>
      <w:r w:rsidR="000A7E80" w:rsidRPr="009A0269">
        <w:rPr>
          <w:rFonts w:asciiTheme="minorBidi" w:hAnsiTheme="minorBidi"/>
          <w:sz w:val="22"/>
          <w:szCs w:val="22"/>
        </w:rPr>
        <w:t>2-way ANOVA with Tukey’s correction test</w:t>
      </w:r>
      <w:r w:rsidR="000A7E80" w:rsidRPr="009A0269">
        <w:rPr>
          <w:rFonts w:ascii="Arial" w:eastAsia="Times New Roman" w:hAnsi="Arial" w:cs="Arial"/>
          <w:sz w:val="22"/>
          <w:szCs w:val="22"/>
        </w:rPr>
        <w:t>;</w:t>
      </w:r>
      <w:r w:rsidR="000A7E80" w:rsidRPr="009A0269">
        <w:rPr>
          <w:rFonts w:ascii="Arial" w:hAnsi="Arial" w:cs="Arial"/>
          <w:sz w:val="22"/>
          <w:szCs w:val="22"/>
        </w:rPr>
        <w:t xml:space="preserve"> </w:t>
      </w:r>
      <w:r w:rsidR="00470A20">
        <w:rPr>
          <w:rFonts w:ascii="Arial" w:eastAsia="Times New Roman" w:hAnsi="Arial" w:cs="Arial"/>
          <w:sz w:val="22"/>
          <w:szCs w:val="22"/>
        </w:rPr>
        <w:t>*</w:t>
      </w:r>
      <w:r w:rsidR="00470A20" w:rsidRPr="009A0269">
        <w:rPr>
          <w:rFonts w:ascii="Arial" w:eastAsia="Times New Roman" w:hAnsi="Arial" w:cs="Arial"/>
          <w:i/>
          <w:iCs/>
          <w:sz w:val="22"/>
          <w:szCs w:val="22"/>
        </w:rPr>
        <w:t>P</w:t>
      </w:r>
      <w:r w:rsidR="00470A20" w:rsidRPr="009A0269">
        <w:rPr>
          <w:rFonts w:ascii="Arial" w:eastAsia="Times New Roman" w:hAnsi="Arial" w:cs="Arial"/>
          <w:sz w:val="22"/>
          <w:szCs w:val="22"/>
        </w:rPr>
        <w:t>&lt;0.0</w:t>
      </w:r>
      <w:r w:rsidR="00470A20">
        <w:rPr>
          <w:rFonts w:ascii="Arial" w:eastAsia="Times New Roman" w:hAnsi="Arial" w:cs="Arial"/>
          <w:sz w:val="22"/>
          <w:szCs w:val="22"/>
        </w:rPr>
        <w:t xml:space="preserve">5, </w:t>
      </w:r>
      <w:r w:rsidR="000A7E80" w:rsidRPr="009A0269">
        <w:rPr>
          <w:rFonts w:ascii="Arial" w:eastAsia="Times New Roman" w:hAnsi="Arial" w:cs="Arial"/>
          <w:sz w:val="22"/>
          <w:szCs w:val="22"/>
        </w:rPr>
        <w:t>*</w:t>
      </w:r>
      <w:r w:rsidR="000A7E80">
        <w:rPr>
          <w:rFonts w:ascii="Arial" w:eastAsia="Times New Roman" w:hAnsi="Arial" w:cs="Arial"/>
          <w:sz w:val="22"/>
          <w:szCs w:val="22"/>
        </w:rPr>
        <w:t>*</w:t>
      </w:r>
      <w:r w:rsidR="000A7E80" w:rsidRPr="009A0269">
        <w:rPr>
          <w:rFonts w:ascii="Arial" w:eastAsia="Times New Roman" w:hAnsi="Arial" w:cs="Arial"/>
          <w:i/>
          <w:iCs/>
          <w:sz w:val="22"/>
          <w:szCs w:val="22"/>
        </w:rPr>
        <w:t>P</w:t>
      </w:r>
      <w:r w:rsidR="000A7E80" w:rsidRPr="009A0269">
        <w:rPr>
          <w:rFonts w:ascii="Arial" w:eastAsia="Times New Roman" w:hAnsi="Arial" w:cs="Arial"/>
          <w:sz w:val="22"/>
          <w:szCs w:val="22"/>
        </w:rPr>
        <w:t>&lt;0.0</w:t>
      </w:r>
      <w:r w:rsidR="000A7E80">
        <w:rPr>
          <w:rFonts w:ascii="Arial" w:eastAsia="Times New Roman" w:hAnsi="Arial" w:cs="Arial"/>
          <w:sz w:val="22"/>
          <w:szCs w:val="22"/>
        </w:rPr>
        <w:t xml:space="preserve">1 and </w:t>
      </w:r>
      <w:r w:rsidR="000A7E80" w:rsidRPr="009A0269">
        <w:rPr>
          <w:rFonts w:ascii="Arial" w:hAnsi="Arial" w:cs="Arial"/>
          <w:sz w:val="22"/>
          <w:szCs w:val="22"/>
        </w:rPr>
        <w:t>***</w:t>
      </w:r>
      <w:r w:rsidR="000A7E80" w:rsidRPr="009A0269">
        <w:rPr>
          <w:rFonts w:ascii="Arial" w:hAnsi="Arial" w:cs="Arial"/>
          <w:i/>
          <w:iCs/>
          <w:sz w:val="22"/>
          <w:szCs w:val="22"/>
        </w:rPr>
        <w:t>P</w:t>
      </w:r>
      <w:r w:rsidR="000A7E80" w:rsidRPr="009A0269">
        <w:rPr>
          <w:rFonts w:ascii="Arial" w:hAnsi="Arial" w:cs="Arial"/>
          <w:sz w:val="22"/>
          <w:szCs w:val="22"/>
        </w:rPr>
        <w:t xml:space="preserve">&lt;0.001 compared </w:t>
      </w:r>
      <w:r w:rsidR="000A7E80" w:rsidRPr="009A0269">
        <w:rPr>
          <w:rFonts w:asciiTheme="minorBidi" w:eastAsia="Times New Roman" w:hAnsiTheme="minorBidi"/>
          <w:sz w:val="22"/>
          <w:szCs w:val="22"/>
        </w:rPr>
        <w:t>to</w:t>
      </w:r>
      <w:r w:rsidR="000A7E80">
        <w:rPr>
          <w:rFonts w:asciiTheme="minorBidi" w:eastAsia="Times New Roman" w:hAnsiTheme="minorBidi"/>
          <w:sz w:val="22"/>
          <w:szCs w:val="22"/>
        </w:rPr>
        <w:t xml:space="preserve"> vehicle-treated controls</w:t>
      </w:r>
      <w:r w:rsidR="000A7E80" w:rsidRPr="009A0269">
        <w:rPr>
          <w:rFonts w:asciiTheme="minorBidi" w:eastAsia="Times New Roman" w:hAnsiTheme="minorBidi"/>
          <w:sz w:val="22"/>
          <w:szCs w:val="22"/>
        </w:rPr>
        <w:t>.</w:t>
      </w:r>
      <w:r w:rsidR="000A7E80">
        <w:rPr>
          <w:rFonts w:asciiTheme="minorBidi" w:hAnsiTheme="minorBidi"/>
          <w:sz w:val="22"/>
          <w:szCs w:val="22"/>
        </w:rPr>
        <w:t xml:space="preserve"> </w:t>
      </w:r>
    </w:p>
    <w:sectPr w:rsidR="00387FA2" w:rsidRPr="000A7E80" w:rsidSect="00311167">
      <w:footerReference w:type="default" r:id="rId9"/>
      <w:pgSz w:w="11906" w:h="16838"/>
      <w:pgMar w:top="1440" w:right="1133" w:bottom="127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648D5" w14:textId="77777777" w:rsidR="00E36CA6" w:rsidRDefault="00E36CA6" w:rsidP="00391B0D">
      <w:r>
        <w:separator/>
      </w:r>
    </w:p>
  </w:endnote>
  <w:endnote w:type="continuationSeparator" w:id="0">
    <w:p w14:paraId="1803AA14" w14:textId="77777777" w:rsidR="00E36CA6" w:rsidRDefault="00E36CA6" w:rsidP="0039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55098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1028321" w14:textId="2040D10B" w:rsidR="00391B0D" w:rsidRPr="00391B0D" w:rsidRDefault="00391B0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391B0D">
          <w:rPr>
            <w:rFonts w:ascii="Arial" w:hAnsi="Arial" w:cs="Arial"/>
            <w:sz w:val="20"/>
            <w:szCs w:val="20"/>
          </w:rPr>
          <w:fldChar w:fldCharType="begin"/>
        </w:r>
        <w:r w:rsidRPr="00391B0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91B0D">
          <w:rPr>
            <w:rFonts w:ascii="Arial" w:hAnsi="Arial" w:cs="Arial"/>
            <w:sz w:val="20"/>
            <w:szCs w:val="20"/>
          </w:rPr>
          <w:fldChar w:fldCharType="separate"/>
        </w:r>
        <w:r w:rsidR="00BE0818">
          <w:rPr>
            <w:rFonts w:ascii="Arial" w:hAnsi="Arial" w:cs="Arial"/>
            <w:noProof/>
            <w:sz w:val="20"/>
            <w:szCs w:val="20"/>
          </w:rPr>
          <w:t>3</w:t>
        </w:r>
        <w:r w:rsidRPr="00391B0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081BFA2" w14:textId="77777777" w:rsidR="00391B0D" w:rsidRDefault="00391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7B2CD" w14:textId="77777777" w:rsidR="00E36CA6" w:rsidRDefault="00E36CA6" w:rsidP="00391B0D">
      <w:r>
        <w:separator/>
      </w:r>
    </w:p>
  </w:footnote>
  <w:footnote w:type="continuationSeparator" w:id="0">
    <w:p w14:paraId="11443221" w14:textId="77777777" w:rsidR="00E36CA6" w:rsidRDefault="00E36CA6" w:rsidP="00391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eukemi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9afstrv05900desvvjxpavqzpafw092f9ta&quot;&gt;My EndNote Library-Converted&lt;record-ids&gt;&lt;item&gt;359&lt;/item&gt;&lt;item&gt;360&lt;/item&gt;&lt;item&gt;367&lt;/item&gt;&lt;item&gt;477&lt;/item&gt;&lt;/record-ids&gt;&lt;/item&gt;&lt;/Libraries&gt;"/>
  </w:docVars>
  <w:rsids>
    <w:rsidRoot w:val="009D54FE"/>
    <w:rsid w:val="00002AD2"/>
    <w:rsid w:val="00003D94"/>
    <w:rsid w:val="00007EB1"/>
    <w:rsid w:val="00035B7D"/>
    <w:rsid w:val="00036DE3"/>
    <w:rsid w:val="000415C8"/>
    <w:rsid w:val="00041B0B"/>
    <w:rsid w:val="00043670"/>
    <w:rsid w:val="00044975"/>
    <w:rsid w:val="00051EF7"/>
    <w:rsid w:val="00062FC3"/>
    <w:rsid w:val="00070CF9"/>
    <w:rsid w:val="00072DD5"/>
    <w:rsid w:val="00073827"/>
    <w:rsid w:val="00077A3C"/>
    <w:rsid w:val="00083CC3"/>
    <w:rsid w:val="0008635B"/>
    <w:rsid w:val="00097C14"/>
    <w:rsid w:val="000A6281"/>
    <w:rsid w:val="000A7E80"/>
    <w:rsid w:val="000B3278"/>
    <w:rsid w:val="000C0CBF"/>
    <w:rsid w:val="000C4729"/>
    <w:rsid w:val="000D0B9F"/>
    <w:rsid w:val="000D3C5B"/>
    <w:rsid w:val="000D565A"/>
    <w:rsid w:val="000E4AEA"/>
    <w:rsid w:val="000F3247"/>
    <w:rsid w:val="00107AB5"/>
    <w:rsid w:val="001352D2"/>
    <w:rsid w:val="0014076D"/>
    <w:rsid w:val="00147C77"/>
    <w:rsid w:val="001514B6"/>
    <w:rsid w:val="00152C0B"/>
    <w:rsid w:val="00154982"/>
    <w:rsid w:val="0016084A"/>
    <w:rsid w:val="00174992"/>
    <w:rsid w:val="00175C2D"/>
    <w:rsid w:val="001838C9"/>
    <w:rsid w:val="00191CC4"/>
    <w:rsid w:val="001A02D2"/>
    <w:rsid w:val="001A657E"/>
    <w:rsid w:val="001B7C61"/>
    <w:rsid w:val="001C232B"/>
    <w:rsid w:val="001C65BE"/>
    <w:rsid w:val="001D3774"/>
    <w:rsid w:val="001D578B"/>
    <w:rsid w:val="001E44DD"/>
    <w:rsid w:val="001E7D7D"/>
    <w:rsid w:val="001F216E"/>
    <w:rsid w:val="001F26D9"/>
    <w:rsid w:val="001F7F2D"/>
    <w:rsid w:val="00201437"/>
    <w:rsid w:val="00205951"/>
    <w:rsid w:val="00215D6E"/>
    <w:rsid w:val="002163BE"/>
    <w:rsid w:val="00232BB6"/>
    <w:rsid w:val="00233991"/>
    <w:rsid w:val="00240F2C"/>
    <w:rsid w:val="00245D86"/>
    <w:rsid w:val="00246941"/>
    <w:rsid w:val="00247E80"/>
    <w:rsid w:val="00264FDC"/>
    <w:rsid w:val="00283DEC"/>
    <w:rsid w:val="002843EF"/>
    <w:rsid w:val="00285C22"/>
    <w:rsid w:val="002917DD"/>
    <w:rsid w:val="002938A6"/>
    <w:rsid w:val="0029722F"/>
    <w:rsid w:val="002A617A"/>
    <w:rsid w:val="002B0C81"/>
    <w:rsid w:val="002B3033"/>
    <w:rsid w:val="002B4EE7"/>
    <w:rsid w:val="002B6CC0"/>
    <w:rsid w:val="002C4C7A"/>
    <w:rsid w:val="002E186E"/>
    <w:rsid w:val="002F25EF"/>
    <w:rsid w:val="00311167"/>
    <w:rsid w:val="00317DA8"/>
    <w:rsid w:val="00322024"/>
    <w:rsid w:val="003234FD"/>
    <w:rsid w:val="00323FB2"/>
    <w:rsid w:val="00333739"/>
    <w:rsid w:val="00343888"/>
    <w:rsid w:val="00351412"/>
    <w:rsid w:val="00360241"/>
    <w:rsid w:val="00360C01"/>
    <w:rsid w:val="00367DDA"/>
    <w:rsid w:val="003727B9"/>
    <w:rsid w:val="0037391A"/>
    <w:rsid w:val="00374EF7"/>
    <w:rsid w:val="0037602D"/>
    <w:rsid w:val="00380833"/>
    <w:rsid w:val="00381ADE"/>
    <w:rsid w:val="003857A5"/>
    <w:rsid w:val="00387FA2"/>
    <w:rsid w:val="00391B0D"/>
    <w:rsid w:val="003B5C75"/>
    <w:rsid w:val="003C45C1"/>
    <w:rsid w:val="003C665B"/>
    <w:rsid w:val="003D0B83"/>
    <w:rsid w:val="003D1C68"/>
    <w:rsid w:val="003D21C2"/>
    <w:rsid w:val="003D55B0"/>
    <w:rsid w:val="003D5E74"/>
    <w:rsid w:val="003E1579"/>
    <w:rsid w:val="003F4E64"/>
    <w:rsid w:val="00406F1C"/>
    <w:rsid w:val="00410183"/>
    <w:rsid w:val="0041411E"/>
    <w:rsid w:val="004333D9"/>
    <w:rsid w:val="00434078"/>
    <w:rsid w:val="004368B8"/>
    <w:rsid w:val="0043739A"/>
    <w:rsid w:val="00442F5C"/>
    <w:rsid w:val="004467A9"/>
    <w:rsid w:val="004528CB"/>
    <w:rsid w:val="004550EC"/>
    <w:rsid w:val="004614BE"/>
    <w:rsid w:val="00463664"/>
    <w:rsid w:val="00470A20"/>
    <w:rsid w:val="004722A2"/>
    <w:rsid w:val="00484A22"/>
    <w:rsid w:val="004863E9"/>
    <w:rsid w:val="00487E22"/>
    <w:rsid w:val="00494BA1"/>
    <w:rsid w:val="004A08CA"/>
    <w:rsid w:val="004A59F3"/>
    <w:rsid w:val="004C6D11"/>
    <w:rsid w:val="004D05CD"/>
    <w:rsid w:val="004D08ED"/>
    <w:rsid w:val="004E6D6D"/>
    <w:rsid w:val="004F4004"/>
    <w:rsid w:val="004F5625"/>
    <w:rsid w:val="00501DF9"/>
    <w:rsid w:val="00511714"/>
    <w:rsid w:val="00511D69"/>
    <w:rsid w:val="00512BCA"/>
    <w:rsid w:val="005140CD"/>
    <w:rsid w:val="00533B77"/>
    <w:rsid w:val="0054215D"/>
    <w:rsid w:val="00552E72"/>
    <w:rsid w:val="005568DA"/>
    <w:rsid w:val="00560689"/>
    <w:rsid w:val="005757F0"/>
    <w:rsid w:val="005859D3"/>
    <w:rsid w:val="005951ED"/>
    <w:rsid w:val="005971AC"/>
    <w:rsid w:val="005A6E4C"/>
    <w:rsid w:val="005D08E4"/>
    <w:rsid w:val="005E0D58"/>
    <w:rsid w:val="005E32D7"/>
    <w:rsid w:val="005F7A85"/>
    <w:rsid w:val="00600255"/>
    <w:rsid w:val="00602FFB"/>
    <w:rsid w:val="00610F28"/>
    <w:rsid w:val="00612E9D"/>
    <w:rsid w:val="00615242"/>
    <w:rsid w:val="00624EA2"/>
    <w:rsid w:val="00625589"/>
    <w:rsid w:val="00627082"/>
    <w:rsid w:val="00627DC7"/>
    <w:rsid w:val="00627EDA"/>
    <w:rsid w:val="00641B34"/>
    <w:rsid w:val="00664183"/>
    <w:rsid w:val="00664E68"/>
    <w:rsid w:val="006665F4"/>
    <w:rsid w:val="006706BD"/>
    <w:rsid w:val="006778ED"/>
    <w:rsid w:val="00683CFE"/>
    <w:rsid w:val="006A16D6"/>
    <w:rsid w:val="006B42BE"/>
    <w:rsid w:val="006C0E8B"/>
    <w:rsid w:val="006E04B3"/>
    <w:rsid w:val="006E4870"/>
    <w:rsid w:val="006F3D1A"/>
    <w:rsid w:val="006F74C6"/>
    <w:rsid w:val="00701C08"/>
    <w:rsid w:val="00722D77"/>
    <w:rsid w:val="00731721"/>
    <w:rsid w:val="00731889"/>
    <w:rsid w:val="007358B1"/>
    <w:rsid w:val="00743817"/>
    <w:rsid w:val="00746D4A"/>
    <w:rsid w:val="0078127A"/>
    <w:rsid w:val="00785A56"/>
    <w:rsid w:val="00787232"/>
    <w:rsid w:val="007951AB"/>
    <w:rsid w:val="0079642C"/>
    <w:rsid w:val="007B4475"/>
    <w:rsid w:val="007B473C"/>
    <w:rsid w:val="007C1B3E"/>
    <w:rsid w:val="007C2396"/>
    <w:rsid w:val="007D30C0"/>
    <w:rsid w:val="007E11E0"/>
    <w:rsid w:val="007F1E3E"/>
    <w:rsid w:val="007F2CA2"/>
    <w:rsid w:val="00805F60"/>
    <w:rsid w:val="00806E5B"/>
    <w:rsid w:val="0081539D"/>
    <w:rsid w:val="00817434"/>
    <w:rsid w:val="00820CF7"/>
    <w:rsid w:val="00823003"/>
    <w:rsid w:val="00830BCD"/>
    <w:rsid w:val="00833CA1"/>
    <w:rsid w:val="00841295"/>
    <w:rsid w:val="0084701F"/>
    <w:rsid w:val="0086159F"/>
    <w:rsid w:val="008616B1"/>
    <w:rsid w:val="008716F8"/>
    <w:rsid w:val="00876EE2"/>
    <w:rsid w:val="00877A99"/>
    <w:rsid w:val="00877ED2"/>
    <w:rsid w:val="008F00E4"/>
    <w:rsid w:val="008F78E8"/>
    <w:rsid w:val="00907A25"/>
    <w:rsid w:val="00910456"/>
    <w:rsid w:val="009413D6"/>
    <w:rsid w:val="009470D6"/>
    <w:rsid w:val="0095199E"/>
    <w:rsid w:val="00951FAC"/>
    <w:rsid w:val="0095209A"/>
    <w:rsid w:val="0095506E"/>
    <w:rsid w:val="00960FC1"/>
    <w:rsid w:val="009737B4"/>
    <w:rsid w:val="00983848"/>
    <w:rsid w:val="00996254"/>
    <w:rsid w:val="009A0C19"/>
    <w:rsid w:val="009A21A4"/>
    <w:rsid w:val="009B4AD6"/>
    <w:rsid w:val="009B6D8A"/>
    <w:rsid w:val="009C1389"/>
    <w:rsid w:val="009C4788"/>
    <w:rsid w:val="009C7705"/>
    <w:rsid w:val="009D4409"/>
    <w:rsid w:val="009D54FE"/>
    <w:rsid w:val="009D69D9"/>
    <w:rsid w:val="009D7138"/>
    <w:rsid w:val="009F7F29"/>
    <w:rsid w:val="00A000C5"/>
    <w:rsid w:val="00A20969"/>
    <w:rsid w:val="00A23F66"/>
    <w:rsid w:val="00A32AA6"/>
    <w:rsid w:val="00A34DD9"/>
    <w:rsid w:val="00A3622C"/>
    <w:rsid w:val="00A44A0C"/>
    <w:rsid w:val="00A5136E"/>
    <w:rsid w:val="00A62B7C"/>
    <w:rsid w:val="00A66F15"/>
    <w:rsid w:val="00A70BA2"/>
    <w:rsid w:val="00A72D8A"/>
    <w:rsid w:val="00A95757"/>
    <w:rsid w:val="00A970C0"/>
    <w:rsid w:val="00AC211D"/>
    <w:rsid w:val="00AC746B"/>
    <w:rsid w:val="00AD5F85"/>
    <w:rsid w:val="00AF4D5C"/>
    <w:rsid w:val="00B000CF"/>
    <w:rsid w:val="00B06435"/>
    <w:rsid w:val="00B16608"/>
    <w:rsid w:val="00B23E63"/>
    <w:rsid w:val="00B245BC"/>
    <w:rsid w:val="00B36570"/>
    <w:rsid w:val="00B54D25"/>
    <w:rsid w:val="00B579EE"/>
    <w:rsid w:val="00B672A5"/>
    <w:rsid w:val="00B8174D"/>
    <w:rsid w:val="00B83A86"/>
    <w:rsid w:val="00B92E19"/>
    <w:rsid w:val="00B93C4A"/>
    <w:rsid w:val="00B968D6"/>
    <w:rsid w:val="00B96EB4"/>
    <w:rsid w:val="00BB102A"/>
    <w:rsid w:val="00BD00A4"/>
    <w:rsid w:val="00BD4168"/>
    <w:rsid w:val="00BE0818"/>
    <w:rsid w:val="00BE0851"/>
    <w:rsid w:val="00BE6E27"/>
    <w:rsid w:val="00BF06CD"/>
    <w:rsid w:val="00BF198E"/>
    <w:rsid w:val="00C00260"/>
    <w:rsid w:val="00C06520"/>
    <w:rsid w:val="00C103E5"/>
    <w:rsid w:val="00C1472A"/>
    <w:rsid w:val="00C1688A"/>
    <w:rsid w:val="00C25A18"/>
    <w:rsid w:val="00C334F5"/>
    <w:rsid w:val="00C344B0"/>
    <w:rsid w:val="00C366B8"/>
    <w:rsid w:val="00C43DCF"/>
    <w:rsid w:val="00C51036"/>
    <w:rsid w:val="00C61779"/>
    <w:rsid w:val="00C6298A"/>
    <w:rsid w:val="00C630A0"/>
    <w:rsid w:val="00C73616"/>
    <w:rsid w:val="00C747BC"/>
    <w:rsid w:val="00C775CC"/>
    <w:rsid w:val="00C8164E"/>
    <w:rsid w:val="00C86115"/>
    <w:rsid w:val="00C87EE9"/>
    <w:rsid w:val="00CA01CE"/>
    <w:rsid w:val="00CA2946"/>
    <w:rsid w:val="00CA46C0"/>
    <w:rsid w:val="00CB4BCE"/>
    <w:rsid w:val="00CB503C"/>
    <w:rsid w:val="00CC1D10"/>
    <w:rsid w:val="00CC4390"/>
    <w:rsid w:val="00CC4C8B"/>
    <w:rsid w:val="00CD1320"/>
    <w:rsid w:val="00CD29B3"/>
    <w:rsid w:val="00CF2945"/>
    <w:rsid w:val="00CF3056"/>
    <w:rsid w:val="00D12D2E"/>
    <w:rsid w:val="00D134EA"/>
    <w:rsid w:val="00D237BC"/>
    <w:rsid w:val="00D23EEA"/>
    <w:rsid w:val="00D25321"/>
    <w:rsid w:val="00D31E62"/>
    <w:rsid w:val="00D34FB5"/>
    <w:rsid w:val="00D45A10"/>
    <w:rsid w:val="00D54C87"/>
    <w:rsid w:val="00D56317"/>
    <w:rsid w:val="00D6298C"/>
    <w:rsid w:val="00D648F1"/>
    <w:rsid w:val="00D6659F"/>
    <w:rsid w:val="00D76476"/>
    <w:rsid w:val="00D86824"/>
    <w:rsid w:val="00D87787"/>
    <w:rsid w:val="00D94A58"/>
    <w:rsid w:val="00DA468C"/>
    <w:rsid w:val="00DC26CC"/>
    <w:rsid w:val="00DD330E"/>
    <w:rsid w:val="00DE2D76"/>
    <w:rsid w:val="00DE31F4"/>
    <w:rsid w:val="00DF20B8"/>
    <w:rsid w:val="00DF563C"/>
    <w:rsid w:val="00E06362"/>
    <w:rsid w:val="00E1304D"/>
    <w:rsid w:val="00E214BC"/>
    <w:rsid w:val="00E2367F"/>
    <w:rsid w:val="00E26898"/>
    <w:rsid w:val="00E31543"/>
    <w:rsid w:val="00E36CA6"/>
    <w:rsid w:val="00E42F2C"/>
    <w:rsid w:val="00E467E9"/>
    <w:rsid w:val="00E5254D"/>
    <w:rsid w:val="00E63569"/>
    <w:rsid w:val="00E83DA9"/>
    <w:rsid w:val="00E844CE"/>
    <w:rsid w:val="00E848C6"/>
    <w:rsid w:val="00E91F90"/>
    <w:rsid w:val="00E93139"/>
    <w:rsid w:val="00E932D7"/>
    <w:rsid w:val="00E935D2"/>
    <w:rsid w:val="00EA53D8"/>
    <w:rsid w:val="00EA6C18"/>
    <w:rsid w:val="00EA7A3C"/>
    <w:rsid w:val="00EB0E8E"/>
    <w:rsid w:val="00EC4672"/>
    <w:rsid w:val="00EC5415"/>
    <w:rsid w:val="00EC5490"/>
    <w:rsid w:val="00EC7830"/>
    <w:rsid w:val="00ED6069"/>
    <w:rsid w:val="00ED7B81"/>
    <w:rsid w:val="00EE2A82"/>
    <w:rsid w:val="00EE5FDA"/>
    <w:rsid w:val="00EF0778"/>
    <w:rsid w:val="00EF1CC5"/>
    <w:rsid w:val="00EF4D53"/>
    <w:rsid w:val="00EF7A9C"/>
    <w:rsid w:val="00F1384B"/>
    <w:rsid w:val="00F14BD5"/>
    <w:rsid w:val="00F364E8"/>
    <w:rsid w:val="00F40785"/>
    <w:rsid w:val="00F47528"/>
    <w:rsid w:val="00F53FAE"/>
    <w:rsid w:val="00F554F9"/>
    <w:rsid w:val="00F574C4"/>
    <w:rsid w:val="00F60ED5"/>
    <w:rsid w:val="00F61B77"/>
    <w:rsid w:val="00F65E59"/>
    <w:rsid w:val="00F73D7F"/>
    <w:rsid w:val="00F75E12"/>
    <w:rsid w:val="00F81C32"/>
    <w:rsid w:val="00F83833"/>
    <w:rsid w:val="00F83DB9"/>
    <w:rsid w:val="00F84812"/>
    <w:rsid w:val="00F84C1B"/>
    <w:rsid w:val="00F87427"/>
    <w:rsid w:val="00F906EB"/>
    <w:rsid w:val="00F95658"/>
    <w:rsid w:val="00FB6EF8"/>
    <w:rsid w:val="00FC0DC9"/>
    <w:rsid w:val="00FC3994"/>
    <w:rsid w:val="00FC5DCC"/>
    <w:rsid w:val="00FD34AC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C6B3"/>
  <w15:chartTrackingRefBased/>
  <w15:docId w15:val="{A0FD03DA-C2DF-47FD-BA8D-06158AA7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4FE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E04B3"/>
    <w:rPr>
      <w:i/>
      <w:iCs/>
    </w:rPr>
  </w:style>
  <w:style w:type="character" w:customStyle="1" w:styleId="st">
    <w:name w:val="st"/>
    <w:basedOn w:val="DefaultParagraphFont"/>
    <w:rsid w:val="006E04B3"/>
  </w:style>
  <w:style w:type="paragraph" w:customStyle="1" w:styleId="EndNoteBibliographyTitle">
    <w:name w:val="EndNote Bibliography Title"/>
    <w:basedOn w:val="Normal"/>
    <w:link w:val="EndNoteBibliographyTitleChar"/>
    <w:rsid w:val="00484A22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84A22"/>
    <w:rPr>
      <w:rFonts w:ascii="Calibri" w:hAnsi="Calibri" w:cs="Calibri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484A22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84A22"/>
    <w:rPr>
      <w:rFonts w:ascii="Calibri" w:hAnsi="Calibri" w:cs="Calibri"/>
      <w:noProof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91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B0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1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B0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0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0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8CFB-A823-4754-AECD-05D9154E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Tremblay</dc:creator>
  <cp:keywords/>
  <dc:description/>
  <cp:lastModifiedBy>Cedric Tremblay</cp:lastModifiedBy>
  <cp:revision>2</cp:revision>
  <cp:lastPrinted>2018-01-30T04:46:00Z</cp:lastPrinted>
  <dcterms:created xsi:type="dcterms:W3CDTF">2025-10-20T00:50:00Z</dcterms:created>
  <dcterms:modified xsi:type="dcterms:W3CDTF">2025-10-20T00:50:00Z</dcterms:modified>
</cp:coreProperties>
</file>