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D8F1ED5" w:rsidP="5BCEE550" w:rsidRDefault="1D8F1ED5" w14:paraId="3E7DEA01" w14:textId="1717B995">
      <w:pPr>
        <w:jc w:val="center"/>
        <w:rPr>
          <w:b w:val="1"/>
          <w:bCs w:val="1"/>
          <w:sz w:val="24"/>
          <w:szCs w:val="24"/>
        </w:rPr>
      </w:pPr>
      <w:r w:rsidRPr="5BCEE550" w:rsidR="1D8F1ED5">
        <w:rPr>
          <w:b w:val="1"/>
          <w:bCs w:val="1"/>
          <w:sz w:val="24"/>
          <w:szCs w:val="24"/>
        </w:rPr>
        <w:t>APPENDIX 3 TABLE OF ERAS BEHAVIOURS</w:t>
      </w:r>
    </w:p>
    <w:p w:rsidRPr="00F2280C" w:rsidR="00D13D6D" w:rsidRDefault="00F2280C" w14:paraId="1F16474A" w14:textId="22BB0E7E">
      <w:pPr>
        <w:rPr>
          <w:b/>
          <w:bCs/>
          <w:sz w:val="24"/>
          <w:szCs w:val="24"/>
        </w:rPr>
      </w:pPr>
      <w:r w:rsidRPr="007E63C9">
        <w:rPr>
          <w:b/>
          <w:bCs/>
          <w:sz w:val="24"/>
          <w:szCs w:val="24"/>
          <w:highlight w:val="green"/>
        </w:rPr>
        <w:t>Colorectal Guidelines</w:t>
      </w:r>
      <w:r>
        <w:rPr>
          <w:b/>
          <w:bCs/>
          <w:sz w:val="24"/>
          <w:szCs w:val="24"/>
        </w:rPr>
        <w:t xml:space="preserve"> </w:t>
      </w:r>
    </w:p>
    <w:tbl>
      <w:tblPr>
        <w:tblW w:w="922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4961"/>
        <w:gridCol w:w="1701"/>
      </w:tblGrid>
      <w:tr w:rsidRPr="007E63C9" w:rsidR="00A604EE" w:rsidTr="294AF721" w14:paraId="7B442FA9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11EE1FF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ERAS recommendation</w:t>
            </w:r>
            <w:r w:rsidRPr="00A604EE">
              <w:rPr>
                <w:rFonts w:eastAsia="Times New Roman" w:cstheme="minorHAnsi"/>
                <w:color w:val="0078D4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74DD3A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Summary of recommendation</w:t>
            </w:r>
            <w:r w:rsidRPr="00A604EE">
              <w:rPr>
                <w:rFonts w:eastAsia="Times New Roman" w:cstheme="minorHAnsi"/>
                <w:color w:val="0078D4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66EBB323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Clinician/patient managed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</w:tr>
      <w:tr w:rsidRPr="007E63C9" w:rsidR="00A604EE" w:rsidTr="294AF721" w14:paraId="3F62B220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1E5607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color w:val="212121"/>
                <w:kern w:val="0"/>
                <w:lang w:eastAsia="en-AU"/>
                <w14:ligatures w14:val="none"/>
              </w:rPr>
              <w:t>Preadmission information, education, and counseling</w:t>
            </w:r>
            <w:r w:rsidRPr="00A604EE">
              <w:rPr>
                <w:rFonts w:eastAsia="Times New Roman" w:cstheme="minorHAnsi"/>
                <w:color w:val="0078D4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57B217EF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Patients should receive detailed preoperative counseling.</w:t>
            </w:r>
            <w:r w:rsidRPr="00A604EE">
              <w:rPr>
                <w:rFonts w:eastAsia="Times New Roman" w:cstheme="minorHAnsi"/>
                <w:color w:val="0078D4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57BE6CD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50213D47" w14:textId="77777777">
        <w:trPr>
          <w:trHeight w:val="296"/>
        </w:trPr>
        <w:tc>
          <w:tcPr>
            <w:tcW w:w="2560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485841AD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color w:val="212121"/>
                <w:kern w:val="0"/>
                <w:highlight w:val="yellow"/>
                <w:lang w:eastAsia="en-AU"/>
                <w14:ligatures w14:val="none"/>
              </w:rPr>
              <w:t>Preoperative optimization</w:t>
            </w:r>
            <w:r w:rsidRPr="00A604EE">
              <w:rPr>
                <w:rFonts w:eastAsia="Times New Roman" w:cstheme="minorHAnsi"/>
                <w:color w:val="0078D4"/>
                <w:kern w:val="0"/>
                <w:highlight w:val="yellow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CDC71B2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highlight w:val="yellow"/>
                <w:lang w:eastAsia="en-AU"/>
                <w14:ligatures w14:val="none"/>
              </w:rPr>
              <w:t>Daily smokers should cease at least 4 weeks preoperatively to reduce respiratory and wound healing complications. </w:t>
            </w:r>
            <w:r w:rsidRPr="00A604EE">
              <w:rPr>
                <w:rFonts w:eastAsia="Times New Roman" w:cstheme="minorHAnsi"/>
                <w:color w:val="0078D4"/>
                <w:kern w:val="0"/>
                <w:highlight w:val="yellow"/>
                <w:lang w:eastAsia="en-A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472E23D3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  <w:t>Patient </w:t>
            </w:r>
          </w:p>
        </w:tc>
      </w:tr>
      <w:tr w:rsidRPr="007E63C9" w:rsidR="00A604EE" w:rsidTr="294AF721" w14:paraId="010727F9" w14:textId="77777777">
        <w:trPr>
          <w:trHeight w:val="296"/>
        </w:trPr>
        <w:tc>
          <w:tcPr>
            <w:tcW w:w="2560" w:type="dxa"/>
            <w:vMerge/>
            <w:tcBorders/>
            <w:tcMar/>
            <w:vAlign w:val="center"/>
            <w:hideMark/>
          </w:tcPr>
          <w:p w:rsidRPr="00A604EE" w:rsidR="00A604EE" w:rsidP="00A604EE" w:rsidRDefault="00A604EE" w14:paraId="2638AEA7" w14:textId="77777777">
            <w:pPr>
              <w:spacing w:after="0" w:line="240" w:lineRule="auto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6790F8AF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highlight w:val="yellow"/>
                <w:lang w:eastAsia="en-AU"/>
                <w14:ligatures w14:val="none"/>
              </w:rPr>
              <w:t>For alcohol users, 1 month of abstinence before surgery is beneficial</w:t>
            </w:r>
            <w:r w:rsidRPr="00A604EE">
              <w:rPr>
                <w:rFonts w:eastAsia="Times New Roman" w:cstheme="minorHAnsi"/>
                <w:color w:val="0078D4"/>
                <w:kern w:val="0"/>
                <w:highlight w:val="yellow"/>
                <w:u w:val="single"/>
                <w:lang w:eastAsia="en-AU"/>
                <w14:ligatures w14:val="none"/>
              </w:rPr>
              <w:t>.</w:t>
            </w:r>
            <w:r w:rsidRPr="00A604EE">
              <w:rPr>
                <w:rFonts w:eastAsia="Times New Roman" w:cstheme="minorHAnsi"/>
                <w:color w:val="212121"/>
                <w:kern w:val="0"/>
                <w:highlight w:val="yellow"/>
                <w:lang w:eastAsia="en-A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3A198B7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  <w:t>Patient </w:t>
            </w:r>
          </w:p>
        </w:tc>
      </w:tr>
      <w:tr w:rsidRPr="007E63C9" w:rsidR="00A604EE" w:rsidTr="294AF721" w14:paraId="2324F2A5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A953E9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highlight w:val="yellow"/>
                <w:lang w:eastAsia="en-AU"/>
                <w14:ligatures w14:val="none"/>
              </w:rPr>
              <w:t>Prehabilitation </w:t>
            </w:r>
            <w:r w:rsidRPr="00A604EE"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1A8F1D7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highlight w:val="yellow"/>
                <w:lang w:eastAsia="en-AU"/>
                <w14:ligatures w14:val="none"/>
              </w:rPr>
              <w:t>Physical and psychological intervention to reduce future impairments.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FEA1B4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  <w:t>Patient </w:t>
            </w:r>
          </w:p>
        </w:tc>
      </w:tr>
      <w:tr w:rsidRPr="007E63C9" w:rsidR="00A604EE" w:rsidTr="294AF721" w14:paraId="52D4F453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5B7D6FD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Nutrition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6388B61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Nutrition screening to identify at risk patients and to correct malnutrition. 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5B89DC4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4250232E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4EADEE2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Management of anaemia 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195BAB1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Attempts to correct anaemia should be made prior to surgery.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316874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7583F1D6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17626FB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Prevention of nausea and vomiting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36643DF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Patients with 1-2 risk factors should be offered 2 drug combination and those with &gt;2 risk factors should receive 2-3 antiemetics.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020630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25E08F33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61E186F8" w14:textId="73AE16E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Pre-</w:t>
            </w:r>
            <w:r w:rsidRPr="007E63C9" w:rsidR="008644E9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anaesthetic</w:t>
            </w: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 xml:space="preserve"> medication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2403B36F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Preoperative education to reduce patient anxiety. Opioid sparing medications.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B35B15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32F816FD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32E26D6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Antimicrobial prophylaxis and skin preparation 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338B9BAD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Intravenous antibiotic prophylaxis given within 60 mins of surgery. Skin disinfection performed. 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124317E3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12528A54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296B23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Bowel preparation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1A40AF32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Mechanical bowel preparation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F9500F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0603C9CC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3916B6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Preoperative fluid and electrolyte therapy 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CD1C1F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Patients should have a normal amount of fluid in the body preoperatively. Fluid or electrolyte issues should be corrected pre-op.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263CCFF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33CFC453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5A614304" w14:textId="228386AF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 xml:space="preserve">Standard </w:t>
            </w:r>
            <w:r w:rsidRPr="007E63C9" w:rsidR="008644E9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anaesthetic</w:t>
            </w: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 xml:space="preserve"> protocol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6054DB39" w14:textId="08DF9B0F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 xml:space="preserve">Short acting </w:t>
            </w:r>
            <w:r w:rsidRPr="007E63C9" w:rsidR="008644E9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anaesthetics</w:t>
            </w: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 xml:space="preserve"> to be used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1F0F94E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0CD8DBEC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44AB614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Intraoperative and electrolyte therapy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DC05C7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Maintain fluid homeostasis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542AE67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780D36A7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6799B0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Preventing intraoperative hypothermia 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323DB23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Maintaining a temperature of 36 degrees or over.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1FC2323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1840161C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2DF69A3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Surgical access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6887A31F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A minimally invasive approach to be taken.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2C7B7B9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2CB652BD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6D9CFEF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Drainage of the peritoneal cavity and pelvis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3AEF59C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Pelvic and peritoneal drains should not be routinely used.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65B6ECB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15491384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6990F333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Nasogastric intubation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8CEE3D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Should not be used routinely and if used should be removed prior to patient waking.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F38E8D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7B9CBF8E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2F7E642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highlight w:val="yellow"/>
                <w:lang w:eastAsia="en-AU"/>
                <w14:ligatures w14:val="none"/>
              </w:rPr>
              <w:t>Post operative analgesia</w:t>
            </w: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 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1ED504A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highlight w:val="yellow"/>
                <w:lang w:eastAsia="en-AU"/>
                <w14:ligatures w14:val="none"/>
              </w:rPr>
              <w:t>Preferred pain management is multimodal analgesia and avoid opioids where possible. 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2D504611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  <w:t>Patient </w:t>
            </w:r>
          </w:p>
        </w:tc>
      </w:tr>
      <w:tr w:rsidRPr="007E63C9" w:rsidR="00A604EE" w:rsidTr="294AF721" w14:paraId="45FAE9D7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294AF721" w:rsidRDefault="00A604EE" w14:paraId="476DB26E" w14:textId="77777777" w14:noSpellErr="1">
            <w:pPr>
              <w:spacing w:after="0" w:line="240" w:lineRule="auto"/>
              <w:textAlignment w:val="baseline"/>
              <w:rPr>
                <w:rFonts w:eastAsia="Times New Roman" w:cs="Calibri" w:cstheme="minorAscii"/>
                <w:kern w:val="0"/>
                <w:highlight w:val="yellow"/>
                <w:lang w:eastAsia="en-AU"/>
                <w14:ligatures w14:val="none"/>
              </w:rPr>
            </w:pPr>
            <w:r w:rsidRPr="294AF721" w:rsidR="00A604EE">
              <w:rPr>
                <w:rFonts w:eastAsia="Times New Roman" w:cs="Calibri" w:cstheme="minorAscii"/>
                <w:b w:val="1"/>
                <w:bCs w:val="1"/>
                <w:kern w:val="0"/>
                <w:highlight w:val="yellow"/>
                <w:lang w:eastAsia="en-AU"/>
                <w14:ligatures w14:val="none"/>
              </w:rPr>
              <w:t>Thromboprophylaxis</w:t>
            </w:r>
            <w:r w:rsidRPr="294AF721" w:rsidR="00A604EE">
              <w:rPr>
                <w:rFonts w:eastAsia="Times New Roman" w:cs="Calibri" w:cstheme="minorAscii"/>
                <w:kern w:val="0"/>
                <w:highlight w:val="yellow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294AF721" w:rsidRDefault="00A604EE" w14:paraId="56630BF0" w14:textId="77777777" w14:noSpellErr="1">
            <w:pPr>
              <w:spacing w:after="0" w:line="240" w:lineRule="auto"/>
              <w:textAlignment w:val="baseline"/>
              <w:rPr>
                <w:rFonts w:eastAsia="Times New Roman" w:cs="Calibri" w:cstheme="minorAscii"/>
                <w:kern w:val="0"/>
                <w:highlight w:val="yellow"/>
                <w:lang w:eastAsia="en-AU"/>
                <w14:ligatures w14:val="none"/>
              </w:rPr>
            </w:pPr>
            <w:r w:rsidRPr="294AF721" w:rsidR="00A604EE">
              <w:rPr>
                <w:rFonts w:eastAsia="Times New Roman" w:cs="Calibri" w:cstheme="minorAscii"/>
                <w:color w:val="212121"/>
                <w:kern w:val="0"/>
                <w:highlight w:val="yellow"/>
                <w:lang w:eastAsia="en-AU"/>
                <w14:ligatures w14:val="none"/>
              </w:rPr>
              <w:t>Patients should be wearing well fitted compression stockings post operatively.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294AF721" w:rsidRDefault="00A604EE" w14:paraId="66362373" w14:textId="77777777">
            <w:pPr>
              <w:spacing w:after="0" w:line="240" w:lineRule="auto"/>
              <w:textAlignment w:val="baseline"/>
              <w:rPr>
                <w:rFonts w:eastAsia="Times New Roman" w:cs="Calibri" w:cstheme="minorAscii"/>
                <w:kern w:val="0"/>
                <w:highlight w:val="yellow"/>
                <w:lang w:eastAsia="en-AU"/>
                <w14:ligatures w14:val="none"/>
              </w:rPr>
            </w:pPr>
            <w:r w:rsidRPr="294AF721" w:rsidR="0334FD0A">
              <w:rPr>
                <w:rFonts w:eastAsia="Times New Roman" w:cs="Calibri" w:cstheme="minorAscii"/>
                <w:kern w:val="0"/>
                <w:highlight w:val="yellow"/>
                <w:lang w:eastAsia="en-AU"/>
                <w14:ligatures w14:val="none"/>
              </w:rPr>
              <w:t>Patient</w:t>
            </w:r>
          </w:p>
        </w:tc>
      </w:tr>
      <w:tr w:rsidRPr="007E63C9" w:rsidR="00A604EE" w:rsidTr="294AF721" w14:paraId="7F441FE9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45E9A8A2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Post operative fluid and electrolyte therapy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2FF72C4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Fluid and electrolyte balance should be maintained.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51FD58C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2D301790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389286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Urinary drainage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6FDED91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Catheterization recommended for 1-3 days. Low risk patients should have this removed 1 day post op.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35698C1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342DD2C9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2904B48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t>Prevention of post operative ileus 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348F3268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To minimize the prolonged absence of bowel function, limit opioid administration and eliminate routine placement of naso gastric tubes.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4BC3DE23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66C6ADD0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5CFC3C57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lang w:eastAsia="en-AU"/>
                <w14:ligatures w14:val="none"/>
              </w:rPr>
              <w:lastRenderedPageBreak/>
              <w:t>Post operative glycaemic control</w:t>
            </w: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53A3AED8" w14:textId="059572F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Interventions in the ERAS protocol that</w:t>
            </w:r>
            <w:r w:rsidRPr="007E63C9" w:rsidR="00C56D5F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 xml:space="preserve"> prevent</w:t>
            </w: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 xml:space="preserve"> </w:t>
            </w:r>
            <w:r w:rsidRPr="007E63C9" w:rsidR="00C56D5F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hyperglycaemia</w:t>
            </w: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 xml:space="preserve"> should be used. Several ERAS items prevent </w:t>
            </w:r>
            <w:r w:rsidRPr="007E63C9" w:rsidR="00C56D5F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insulin</w:t>
            </w: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 xml:space="preserve"> resistance and should be used to reduce the risk of </w:t>
            </w:r>
            <w:r w:rsidRPr="007E63C9" w:rsidR="00C56D5F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hypoglycaemia</w:t>
            </w:r>
            <w:r w:rsidRPr="00A604EE">
              <w:rPr>
                <w:rFonts w:eastAsia="Times New Roman" w:cstheme="minorHAnsi"/>
                <w:color w:val="212121"/>
                <w:kern w:val="0"/>
                <w:lang w:eastAsia="en-AU"/>
                <w14:ligatures w14:val="none"/>
              </w:rPr>
              <w:t>. 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3204373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lang w:eastAsia="en-AU"/>
                <w14:ligatures w14:val="none"/>
              </w:rPr>
              <w:t>Clinician </w:t>
            </w:r>
          </w:p>
        </w:tc>
      </w:tr>
      <w:tr w:rsidRPr="007E63C9" w:rsidR="00A604EE" w:rsidTr="294AF721" w14:paraId="6BF768A3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6F07024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highlight w:val="yellow"/>
                <w:lang w:eastAsia="en-AU"/>
                <w14:ligatures w14:val="none"/>
              </w:rPr>
              <w:t>Post operative nutritional care</w:t>
            </w:r>
            <w:r w:rsidRPr="00A604EE"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7AEFC924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highlight w:val="yellow"/>
                <w:lang w:eastAsia="en-AU"/>
                <w14:ligatures w14:val="none"/>
              </w:rPr>
              <w:t>Rapid resumption of oral intake should be encouraged post operatively. 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607954D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  <w:t>Patient </w:t>
            </w:r>
          </w:p>
        </w:tc>
      </w:tr>
      <w:tr w:rsidRPr="007E63C9" w:rsidR="00A604EE" w:rsidTr="294AF721" w14:paraId="59BF7538" w14:textId="77777777">
        <w:trPr>
          <w:trHeight w:val="296"/>
        </w:trPr>
        <w:tc>
          <w:tcPr>
            <w:tcW w:w="2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604EE" w:rsidR="00A604EE" w:rsidP="00A604EE" w:rsidRDefault="00A604EE" w14:paraId="0D7621DD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b/>
                <w:bCs/>
                <w:kern w:val="0"/>
                <w:highlight w:val="yellow"/>
                <w:lang w:eastAsia="en-AU"/>
                <w14:ligatures w14:val="none"/>
              </w:rPr>
              <w:t>Early mobilization</w:t>
            </w:r>
            <w:r w:rsidRPr="00A604EE"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  <w:t> </w:t>
            </w:r>
          </w:p>
        </w:tc>
        <w:tc>
          <w:tcPr>
            <w:tcW w:w="4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hideMark/>
          </w:tcPr>
          <w:p w:rsidRPr="00A604EE" w:rsidR="00A604EE" w:rsidP="00A604EE" w:rsidRDefault="00A604EE" w14:paraId="07FDDD73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color w:val="212121"/>
                <w:kern w:val="0"/>
                <w:highlight w:val="yellow"/>
                <w:lang w:eastAsia="en-AU"/>
                <w14:ligatures w14:val="none"/>
              </w:rPr>
              <w:t>Patients should be mobilized within the first 24 hours after surgery.</w:t>
            </w:r>
            <w:r w:rsidRPr="00A604EE">
              <w:rPr>
                <w:rFonts w:eastAsia="Times New Roman" w:cstheme="minorHAnsi"/>
                <w:color w:val="0078D4"/>
                <w:kern w:val="0"/>
                <w:highlight w:val="yellow"/>
                <w:lang w:eastAsia="en-A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hideMark/>
          </w:tcPr>
          <w:p w:rsidRPr="00A604EE" w:rsidR="00A604EE" w:rsidP="00A604EE" w:rsidRDefault="00A604EE" w14:paraId="5CD1052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kern w:val="0"/>
                <w:highlight w:val="yellow"/>
                <w:lang w:eastAsia="en-AU"/>
                <w14:ligatures w14:val="none"/>
              </w:rPr>
            </w:pPr>
            <w:r w:rsidRPr="00A604EE">
              <w:rPr>
                <w:rFonts w:eastAsia="Times New Roman" w:cstheme="minorHAnsi"/>
                <w:kern w:val="0"/>
                <w:highlight w:val="yellow"/>
                <w:lang w:eastAsia="en-AU"/>
                <w14:ligatures w14:val="none"/>
              </w:rPr>
              <w:t>Patient </w:t>
            </w:r>
          </w:p>
        </w:tc>
      </w:tr>
    </w:tbl>
    <w:p w:rsidRPr="007E63C9" w:rsidR="00664E3D" w:rsidP="007E63C9" w:rsidRDefault="0091653A" w14:paraId="3F509C50" w14:textId="3132F15C">
      <w:pPr>
        <w:rPr>
          <w:rFonts w:cstheme="minorHAnsi"/>
          <w:b/>
          <w:bCs/>
          <w:u w:val="single"/>
        </w:rPr>
      </w:pPr>
      <w:r w:rsidRPr="007E63C9">
        <w:rPr>
          <w:rFonts w:cstheme="minorHAnsi"/>
        </w:rPr>
        <w:br/>
      </w:r>
      <w:r w:rsidRPr="007E63C9" w:rsidR="007E63C9">
        <w:rPr>
          <w:rFonts w:cstheme="minorHAnsi"/>
          <w:b/>
          <w:bCs/>
          <w:u w:val="single"/>
        </w:rPr>
        <w:t xml:space="preserve"> </w:t>
      </w:r>
      <w:r w:rsidRPr="007E63C9" w:rsidR="006F59DF">
        <w:rPr>
          <w:rFonts w:cstheme="minorHAnsi"/>
          <w:b/>
          <w:bCs/>
          <w:u w:val="single"/>
        </w:rPr>
        <w:t xml:space="preserve">Additional Patient-Led Behaviours </w:t>
      </w:r>
      <w:r w:rsidRPr="007E63C9" w:rsidR="007E63C9">
        <w:rPr>
          <w:rFonts w:cstheme="minorHAnsi"/>
          <w:b/>
          <w:bCs/>
          <w:u w:val="single"/>
        </w:rPr>
        <w:br/>
      </w:r>
      <w:r w:rsidRPr="007E63C9" w:rsidR="009A795B">
        <w:rPr>
          <w:rFonts w:cstheme="minorHAnsi"/>
          <w:b/>
          <w:bCs/>
          <w:u w:val="single"/>
        </w:rPr>
        <w:br/>
      </w:r>
      <w:r w:rsidRPr="007E63C9">
        <w:rPr>
          <w:rFonts w:cstheme="minorHAnsi"/>
          <w:b/>
          <w:bCs/>
          <w:highlight w:val="green"/>
        </w:rPr>
        <w:t>Anaesthesia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Pr="007E63C9" w:rsidR="00664E3D" w:rsidTr="00664E3D" w14:paraId="5D1545B9" w14:textId="77777777">
        <w:tc>
          <w:tcPr>
            <w:tcW w:w="3080" w:type="dxa"/>
          </w:tcPr>
          <w:p w:rsidRPr="007E63C9" w:rsidR="00664E3D" w:rsidRDefault="00664E3D" w14:paraId="1AB11599" w14:textId="5B5FA480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ERAS recommendation </w:t>
            </w:r>
          </w:p>
        </w:tc>
        <w:tc>
          <w:tcPr>
            <w:tcW w:w="3081" w:type="dxa"/>
          </w:tcPr>
          <w:p w:rsidRPr="007E63C9" w:rsidR="00664E3D" w:rsidRDefault="00664E3D" w14:paraId="169657F1" w14:textId="517B8CB4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Summary of recommendation </w:t>
            </w:r>
          </w:p>
        </w:tc>
        <w:tc>
          <w:tcPr>
            <w:tcW w:w="3081" w:type="dxa"/>
          </w:tcPr>
          <w:p w:rsidRPr="007E63C9" w:rsidR="00664E3D" w:rsidRDefault="00664E3D" w14:paraId="20B8655C" w14:textId="12792E7A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Clinician/patient managed </w:t>
            </w:r>
          </w:p>
        </w:tc>
      </w:tr>
      <w:tr w:rsidRPr="007E63C9" w:rsidR="00664E3D" w:rsidTr="00664E3D" w14:paraId="1FA1D8D0" w14:textId="77777777">
        <w:tc>
          <w:tcPr>
            <w:tcW w:w="3080" w:type="dxa"/>
          </w:tcPr>
          <w:p w:rsidRPr="007E63C9" w:rsidR="00664E3D" w:rsidRDefault="00664E3D" w14:paraId="1420B91B" w14:textId="3807EDF2">
            <w:pPr>
              <w:rPr>
                <w:rFonts w:cstheme="minorHAnsi"/>
                <w:b/>
                <w:bCs/>
                <w:highlight w:val="yellow"/>
              </w:rPr>
            </w:pPr>
            <w:r w:rsidRPr="007E63C9">
              <w:rPr>
                <w:rFonts w:cstheme="minorHAnsi"/>
                <w:b/>
                <w:bCs/>
                <w:highlight w:val="yellow"/>
              </w:rPr>
              <w:t xml:space="preserve">Preoperative fasting and carbohydrate loading </w:t>
            </w:r>
          </w:p>
        </w:tc>
        <w:tc>
          <w:tcPr>
            <w:tcW w:w="3081" w:type="dxa"/>
          </w:tcPr>
          <w:p w:rsidRPr="007E63C9" w:rsidR="00664E3D" w:rsidRDefault="00F46E4F" w14:paraId="4669EDB1" w14:textId="0F25C46A">
            <w:pPr>
              <w:rPr>
                <w:rFonts w:cstheme="minorHAnsi"/>
                <w:b/>
                <w:bCs/>
                <w:highlight w:val="yellow"/>
              </w:rPr>
            </w:pPr>
            <w:r w:rsidRPr="007E63C9">
              <w:rPr>
                <w:rFonts w:cstheme="minorHAnsi"/>
                <w:color w:val="000000"/>
                <w:highlight w:val="yellow"/>
                <w:shd w:val="clear" w:color="auto" w:fill="FFFFFF"/>
              </w:rPr>
              <w:t xml:space="preserve">Intake of clear fluids should be allowed until 2 h before induction of anaesthesia. Solids should be allowed until 6 h. </w:t>
            </w:r>
          </w:p>
        </w:tc>
        <w:tc>
          <w:tcPr>
            <w:tcW w:w="3081" w:type="dxa"/>
          </w:tcPr>
          <w:p w:rsidRPr="007E63C9" w:rsidR="00664E3D" w:rsidRDefault="00F46E4F" w14:paraId="68D07192" w14:textId="2CFB81DB">
            <w:pPr>
              <w:rPr>
                <w:rFonts w:cstheme="minorHAnsi"/>
                <w:highlight w:val="yellow"/>
              </w:rPr>
            </w:pPr>
            <w:r w:rsidRPr="007E63C9">
              <w:rPr>
                <w:rFonts w:cstheme="minorHAnsi"/>
                <w:highlight w:val="yellow"/>
              </w:rPr>
              <w:t>Patient</w:t>
            </w:r>
          </w:p>
        </w:tc>
      </w:tr>
    </w:tbl>
    <w:p w:rsidRPr="007E63C9" w:rsidR="0091653A" w:rsidRDefault="001B0F4F" w14:paraId="7E035E2E" w14:textId="3D3EEB68">
      <w:pPr>
        <w:rPr>
          <w:rFonts w:cstheme="minorHAnsi"/>
          <w:b/>
          <w:bCs/>
        </w:rPr>
      </w:pPr>
      <w:r w:rsidRPr="007E63C9">
        <w:rPr>
          <w:rFonts w:cstheme="minorHAnsi"/>
          <w:b/>
          <w:bCs/>
        </w:rPr>
        <w:br/>
      </w:r>
      <w:r w:rsidRPr="007E63C9" w:rsidR="0091653A">
        <w:rPr>
          <w:rFonts w:cstheme="minorHAnsi"/>
          <w:b/>
          <w:bCs/>
          <w:highlight w:val="green"/>
        </w:rPr>
        <w:t>Bariatric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Pr="007E63C9" w:rsidR="001B0F4F" w:rsidTr="0056493B" w14:paraId="6B48C19C" w14:textId="77777777">
        <w:tc>
          <w:tcPr>
            <w:tcW w:w="3080" w:type="dxa"/>
          </w:tcPr>
          <w:p w:rsidRPr="007E63C9" w:rsidR="001B0F4F" w:rsidP="0056493B" w:rsidRDefault="001B0F4F" w14:paraId="362DA097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ERAS recommendation </w:t>
            </w:r>
          </w:p>
        </w:tc>
        <w:tc>
          <w:tcPr>
            <w:tcW w:w="3081" w:type="dxa"/>
          </w:tcPr>
          <w:p w:rsidRPr="007E63C9" w:rsidR="001B0F4F" w:rsidP="0056493B" w:rsidRDefault="001B0F4F" w14:paraId="0F76906F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Summary of recommendation </w:t>
            </w:r>
          </w:p>
        </w:tc>
        <w:tc>
          <w:tcPr>
            <w:tcW w:w="3081" w:type="dxa"/>
          </w:tcPr>
          <w:p w:rsidRPr="007E63C9" w:rsidR="001B0F4F" w:rsidP="0056493B" w:rsidRDefault="001B0F4F" w14:paraId="528FA20E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Clinician/patient managed </w:t>
            </w:r>
          </w:p>
        </w:tc>
      </w:tr>
      <w:tr w:rsidRPr="007E63C9" w:rsidR="001B0F4F" w:rsidTr="0056493B" w14:paraId="52BE585C" w14:textId="77777777">
        <w:tc>
          <w:tcPr>
            <w:tcW w:w="3080" w:type="dxa"/>
          </w:tcPr>
          <w:p w:rsidRPr="007E63C9" w:rsidR="001B0F4F" w:rsidP="0056493B" w:rsidRDefault="001B0F4F" w14:paraId="6138654C" w14:textId="429F07FF">
            <w:pPr>
              <w:rPr>
                <w:rFonts w:cstheme="minorHAnsi"/>
                <w:b/>
                <w:bCs/>
                <w:highlight w:val="yellow"/>
              </w:rPr>
            </w:pPr>
            <w:r w:rsidRPr="007E63C9">
              <w:rPr>
                <w:rFonts w:cstheme="minorHAnsi"/>
                <w:b/>
                <w:bCs/>
                <w:color w:val="222222"/>
                <w:highlight w:val="yellow"/>
                <w:shd w:val="clear" w:color="auto" w:fill="FFFFFF"/>
              </w:rPr>
              <w:t>Preoperative weight loss</w:t>
            </w:r>
            <w:r w:rsidRPr="007E63C9">
              <w:rPr>
                <w:rFonts w:cstheme="minorHAnsi"/>
                <w:b/>
                <w:bCs/>
                <w:color w:val="222222"/>
                <w:highlight w:val="yellow"/>
                <w:shd w:val="clear" w:color="auto" w:fill="FFFFFF"/>
              </w:rPr>
              <w:br/>
            </w:r>
          </w:p>
        </w:tc>
        <w:tc>
          <w:tcPr>
            <w:tcW w:w="3081" w:type="dxa"/>
          </w:tcPr>
          <w:p w:rsidRPr="007E63C9" w:rsidR="001B0F4F" w:rsidP="0056493B" w:rsidRDefault="001B0F4F" w14:paraId="4B92F68A" w14:textId="2E564615">
            <w:pPr>
              <w:rPr>
                <w:rFonts w:cstheme="minorHAnsi"/>
                <w:b/>
                <w:bCs/>
                <w:highlight w:val="yellow"/>
              </w:rPr>
            </w:pPr>
            <w:r w:rsidRPr="007E63C9">
              <w:rPr>
                <w:rFonts w:cstheme="minorHAnsi"/>
                <w:color w:val="222222"/>
                <w:highlight w:val="yellow"/>
                <w:shd w:val="clear" w:color="auto" w:fill="FFFFFF"/>
              </w:rPr>
              <w:t>Preoperative weight loss using very low or low-calorie diet prior to bariatric surgery should be recommended</w:t>
            </w:r>
          </w:p>
        </w:tc>
        <w:tc>
          <w:tcPr>
            <w:tcW w:w="3081" w:type="dxa"/>
          </w:tcPr>
          <w:p w:rsidRPr="007E63C9" w:rsidR="001B0F4F" w:rsidP="0056493B" w:rsidRDefault="001B0F4F" w14:paraId="6008F57B" w14:textId="77777777">
            <w:pPr>
              <w:rPr>
                <w:rFonts w:cstheme="minorHAnsi"/>
                <w:highlight w:val="yellow"/>
              </w:rPr>
            </w:pPr>
            <w:r w:rsidRPr="007E63C9">
              <w:rPr>
                <w:rFonts w:cstheme="minorHAnsi"/>
                <w:highlight w:val="yellow"/>
              </w:rPr>
              <w:t>Patient</w:t>
            </w:r>
          </w:p>
        </w:tc>
      </w:tr>
    </w:tbl>
    <w:p w:rsidRPr="007E63C9" w:rsidR="0091653A" w:rsidRDefault="0091653A" w14:paraId="74E91B38" w14:textId="28524669">
      <w:pPr>
        <w:rPr>
          <w:rFonts w:cstheme="minorHAnsi"/>
          <w:b/>
          <w:bCs/>
        </w:rPr>
      </w:pPr>
      <w:r w:rsidRPr="007E63C9">
        <w:rPr>
          <w:rFonts w:cstheme="minorHAnsi"/>
          <w:b/>
          <w:bCs/>
          <w:highlight w:val="green"/>
        </w:rPr>
        <w:t>Breast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Pr="007E63C9" w:rsidR="009A795B" w:rsidTr="0056493B" w14:paraId="3CB62E4C" w14:textId="77777777">
        <w:tc>
          <w:tcPr>
            <w:tcW w:w="3080" w:type="dxa"/>
          </w:tcPr>
          <w:p w:rsidRPr="007E63C9" w:rsidR="009A795B" w:rsidP="0056493B" w:rsidRDefault="009A795B" w14:paraId="144C0AAB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ERAS recommendation </w:t>
            </w:r>
          </w:p>
        </w:tc>
        <w:tc>
          <w:tcPr>
            <w:tcW w:w="3081" w:type="dxa"/>
          </w:tcPr>
          <w:p w:rsidRPr="007E63C9" w:rsidR="009A795B" w:rsidP="0056493B" w:rsidRDefault="009A795B" w14:paraId="4441EF3A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Summary of recommendation </w:t>
            </w:r>
          </w:p>
        </w:tc>
        <w:tc>
          <w:tcPr>
            <w:tcW w:w="3081" w:type="dxa"/>
          </w:tcPr>
          <w:p w:rsidRPr="007E63C9" w:rsidR="009A795B" w:rsidP="0056493B" w:rsidRDefault="009A795B" w14:paraId="30836B3F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Clinician/patient managed </w:t>
            </w:r>
          </w:p>
        </w:tc>
      </w:tr>
      <w:tr w:rsidRPr="007E63C9" w:rsidR="009A795B" w:rsidTr="0056493B" w14:paraId="14698710" w14:textId="77777777">
        <w:tc>
          <w:tcPr>
            <w:tcW w:w="3080" w:type="dxa"/>
          </w:tcPr>
          <w:p w:rsidRPr="007E63C9" w:rsidR="009A795B" w:rsidP="0056493B" w:rsidRDefault="009A795B" w14:paraId="341AEE5B" w14:textId="40125813">
            <w:pPr>
              <w:rPr>
                <w:rFonts w:cstheme="minorHAnsi"/>
                <w:b/>
                <w:bCs/>
                <w:highlight w:val="yellow"/>
              </w:rPr>
            </w:pPr>
            <w:r w:rsidRPr="007E63C9">
              <w:rPr>
                <w:rFonts w:cstheme="minorHAnsi"/>
                <w:b/>
                <w:bCs/>
                <w:highlight w:val="yellow"/>
              </w:rPr>
              <w:t>Early feeding</w:t>
            </w:r>
          </w:p>
        </w:tc>
        <w:tc>
          <w:tcPr>
            <w:tcW w:w="3081" w:type="dxa"/>
          </w:tcPr>
          <w:p w:rsidRPr="007E63C9" w:rsidR="009A795B" w:rsidP="009A795B" w:rsidRDefault="009A795B" w14:paraId="0836DD3F" w14:textId="6F101418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E63C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Patients should be encouraged to take fluids and food orally as soon as possible, preferably within 24 hours after surgery. </w:t>
            </w:r>
          </w:p>
        </w:tc>
        <w:tc>
          <w:tcPr>
            <w:tcW w:w="3081" w:type="dxa"/>
          </w:tcPr>
          <w:p w:rsidRPr="007E63C9" w:rsidR="009A795B" w:rsidP="0056493B" w:rsidRDefault="009A795B" w14:paraId="3BD2789A" w14:textId="77777777">
            <w:pPr>
              <w:rPr>
                <w:rFonts w:cstheme="minorHAnsi"/>
                <w:highlight w:val="yellow"/>
              </w:rPr>
            </w:pPr>
            <w:r w:rsidRPr="007E63C9">
              <w:rPr>
                <w:rFonts w:cstheme="minorHAnsi"/>
                <w:highlight w:val="yellow"/>
              </w:rPr>
              <w:t>Patient</w:t>
            </w:r>
          </w:p>
        </w:tc>
      </w:tr>
      <w:tr w:rsidRPr="007E63C9" w:rsidR="009A795B" w:rsidTr="0056493B" w14:paraId="666E4960" w14:textId="77777777">
        <w:tc>
          <w:tcPr>
            <w:tcW w:w="3080" w:type="dxa"/>
          </w:tcPr>
          <w:p w:rsidRPr="007E63C9" w:rsidR="009A795B" w:rsidP="009A795B" w:rsidRDefault="009A795B" w14:paraId="64E22260" w14:textId="7777777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7E63C9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 xml:space="preserve">Post discharge home support and physiotherapy </w:t>
            </w:r>
          </w:p>
          <w:p w:rsidRPr="007E63C9" w:rsidR="009A795B" w:rsidP="0056493B" w:rsidRDefault="009A795B" w14:paraId="74E94DF3" w14:textId="77777777">
            <w:pPr>
              <w:rPr>
                <w:rFonts w:cstheme="minorHAnsi"/>
                <w:b/>
                <w:bCs/>
                <w:highlight w:val="yellow"/>
              </w:rPr>
            </w:pPr>
          </w:p>
        </w:tc>
        <w:tc>
          <w:tcPr>
            <w:tcW w:w="3081" w:type="dxa"/>
          </w:tcPr>
          <w:p w:rsidRPr="007E63C9" w:rsidR="009A795B" w:rsidP="009A795B" w:rsidRDefault="009A795B" w14:paraId="46F61163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E63C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Early physiotherapy, supervised exercise programs, and other supportive care initiatives should be instituted after discharge. </w:t>
            </w:r>
          </w:p>
          <w:p w:rsidRPr="007E63C9" w:rsidR="009A795B" w:rsidP="009A795B" w:rsidRDefault="009A795B" w14:paraId="35605C96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081" w:type="dxa"/>
          </w:tcPr>
          <w:p w:rsidRPr="007E63C9" w:rsidR="009A795B" w:rsidP="0056493B" w:rsidRDefault="009A795B" w14:paraId="4CCCC354" w14:textId="16CA0658">
            <w:pPr>
              <w:rPr>
                <w:rFonts w:cstheme="minorHAnsi"/>
                <w:highlight w:val="yellow"/>
              </w:rPr>
            </w:pPr>
            <w:r w:rsidRPr="007E63C9">
              <w:rPr>
                <w:rFonts w:cstheme="minorHAnsi"/>
                <w:highlight w:val="yellow"/>
              </w:rPr>
              <w:t xml:space="preserve">Patient </w:t>
            </w:r>
          </w:p>
        </w:tc>
      </w:tr>
    </w:tbl>
    <w:p w:rsidRPr="007E63C9" w:rsidR="005E5CA8" w:rsidRDefault="004D3871" w14:paraId="2D9725AB" w14:textId="1C16754A">
      <w:pPr>
        <w:rPr>
          <w:rFonts w:cstheme="minorHAnsi"/>
          <w:b/>
          <w:bCs/>
        </w:rPr>
      </w:pPr>
      <w:r w:rsidRPr="007E63C9">
        <w:rPr>
          <w:rFonts w:cstheme="minorHAnsi"/>
          <w:b/>
          <w:bCs/>
          <w:highlight w:val="green"/>
        </w:rPr>
        <w:t>Cardiac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Pr="007E63C9" w:rsidR="005E5CA8" w:rsidTr="0056493B" w14:paraId="2FD10B4F" w14:textId="77777777">
        <w:tc>
          <w:tcPr>
            <w:tcW w:w="3080" w:type="dxa"/>
          </w:tcPr>
          <w:p w:rsidRPr="007E63C9" w:rsidR="005E5CA8" w:rsidP="0056493B" w:rsidRDefault="005E5CA8" w14:paraId="1A8CE857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ERAS recommendation </w:t>
            </w:r>
          </w:p>
        </w:tc>
        <w:tc>
          <w:tcPr>
            <w:tcW w:w="3081" w:type="dxa"/>
          </w:tcPr>
          <w:p w:rsidRPr="007E63C9" w:rsidR="005E5CA8" w:rsidP="0056493B" w:rsidRDefault="005E5CA8" w14:paraId="2ABA1591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Summary of recommendation </w:t>
            </w:r>
          </w:p>
        </w:tc>
        <w:tc>
          <w:tcPr>
            <w:tcW w:w="3081" w:type="dxa"/>
          </w:tcPr>
          <w:p w:rsidRPr="007E63C9" w:rsidR="005E5CA8" w:rsidP="0056493B" w:rsidRDefault="005E5CA8" w14:paraId="3FDA2BD9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Clinician/patient managed </w:t>
            </w:r>
          </w:p>
        </w:tc>
      </w:tr>
      <w:tr w:rsidRPr="007E63C9" w:rsidR="005E5CA8" w:rsidTr="0056493B" w14:paraId="21DCD048" w14:textId="77777777">
        <w:tc>
          <w:tcPr>
            <w:tcW w:w="3080" w:type="dxa"/>
          </w:tcPr>
          <w:p w:rsidRPr="007E63C9" w:rsidR="005E5CA8" w:rsidP="0056493B" w:rsidRDefault="005E5CA8" w14:paraId="01ABA99F" w14:textId="2F2F2682">
            <w:pPr>
              <w:rPr>
                <w:rFonts w:cstheme="minorHAnsi"/>
                <w:b/>
                <w:bCs/>
                <w:highlight w:val="yellow"/>
              </w:rPr>
            </w:pPr>
            <w:r w:rsidRPr="007E63C9">
              <w:rPr>
                <w:rFonts w:cstheme="minorHAnsi"/>
                <w:b/>
                <w:bCs/>
                <w:highlight w:val="yellow"/>
              </w:rPr>
              <w:t xml:space="preserve">Preoperative carbohydrate loading </w:t>
            </w:r>
          </w:p>
        </w:tc>
        <w:tc>
          <w:tcPr>
            <w:tcW w:w="3081" w:type="dxa"/>
          </w:tcPr>
          <w:p w:rsidRPr="007E63C9" w:rsidR="005E5CA8" w:rsidP="0056493B" w:rsidRDefault="005E5CA8" w14:paraId="3196FD06" w14:textId="25E32036">
            <w:pPr>
              <w:rPr>
                <w:rFonts w:cstheme="minorHAnsi"/>
                <w:b/>
                <w:bCs/>
                <w:highlight w:val="yellow"/>
              </w:rPr>
            </w:pPr>
            <w:r w:rsidRPr="007E63C9">
              <w:rPr>
                <w:rFonts w:cstheme="minorHAnsi"/>
                <w:color w:val="333333"/>
                <w:highlight w:val="yellow"/>
              </w:rPr>
              <w:t>A carbohydrate drink (a 12-ounce clear beverage or a 24-g complex carbohydrate beverage) 2 hours preoperatively reduces insulin resistance and tissue glycosylation, improves postoperative glucose control, and enhances return of gut function.</w:t>
            </w:r>
          </w:p>
        </w:tc>
        <w:tc>
          <w:tcPr>
            <w:tcW w:w="3081" w:type="dxa"/>
          </w:tcPr>
          <w:p w:rsidRPr="007E63C9" w:rsidR="005E5CA8" w:rsidP="0056493B" w:rsidRDefault="005E5CA8" w14:paraId="087594DE" w14:textId="77777777">
            <w:pPr>
              <w:rPr>
                <w:rFonts w:cstheme="minorHAnsi"/>
                <w:highlight w:val="yellow"/>
              </w:rPr>
            </w:pPr>
            <w:r w:rsidRPr="007E63C9">
              <w:rPr>
                <w:rFonts w:cstheme="minorHAnsi"/>
                <w:highlight w:val="yellow"/>
              </w:rPr>
              <w:t>Patient</w:t>
            </w:r>
          </w:p>
        </w:tc>
      </w:tr>
    </w:tbl>
    <w:p w:rsidRPr="007E63C9" w:rsidR="003A45D8" w:rsidP="003A45D8" w:rsidRDefault="003A45D8" w14:paraId="511D0404" w14:textId="792A7BDD">
      <w:pPr>
        <w:rPr>
          <w:rFonts w:cstheme="minorHAnsi"/>
          <w:b/>
          <w:bCs/>
        </w:rPr>
      </w:pPr>
      <w:r w:rsidRPr="003A45D8">
        <w:rPr>
          <w:rFonts w:cstheme="minorHAnsi"/>
          <w:b/>
          <w:bCs/>
          <w:highlight w:val="green"/>
        </w:rPr>
        <w:lastRenderedPageBreak/>
        <w:t>Caesarean</w:t>
      </w:r>
      <w:r>
        <w:rPr>
          <w:rFonts w:cstheme="minorHAnsi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Pr="007E63C9" w:rsidR="003A45D8" w:rsidTr="48717007" w14:paraId="06E63AF2" w14:textId="77777777">
        <w:tc>
          <w:tcPr>
            <w:tcW w:w="3080" w:type="dxa"/>
            <w:tcMar/>
          </w:tcPr>
          <w:p w:rsidRPr="007E63C9" w:rsidR="003A45D8" w:rsidP="0056493B" w:rsidRDefault="003A45D8" w14:paraId="612FF42E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ERAS recommendation </w:t>
            </w:r>
          </w:p>
        </w:tc>
        <w:tc>
          <w:tcPr>
            <w:tcW w:w="3081" w:type="dxa"/>
            <w:tcMar/>
          </w:tcPr>
          <w:p w:rsidRPr="007E63C9" w:rsidR="003A45D8" w:rsidP="0056493B" w:rsidRDefault="003A45D8" w14:paraId="07B763AD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Summary of recommendation </w:t>
            </w:r>
          </w:p>
        </w:tc>
        <w:tc>
          <w:tcPr>
            <w:tcW w:w="3081" w:type="dxa"/>
            <w:tcMar/>
          </w:tcPr>
          <w:p w:rsidRPr="007E63C9" w:rsidR="003A45D8" w:rsidP="0056493B" w:rsidRDefault="003A45D8" w14:paraId="2177AAF5" w14:textId="77777777">
            <w:pPr>
              <w:rPr>
                <w:rFonts w:cstheme="minorHAnsi"/>
                <w:b/>
                <w:bCs/>
              </w:rPr>
            </w:pPr>
            <w:r w:rsidRPr="007E63C9">
              <w:rPr>
                <w:rFonts w:cstheme="minorHAnsi"/>
                <w:b/>
                <w:bCs/>
              </w:rPr>
              <w:t xml:space="preserve">Clinician/patient managed </w:t>
            </w:r>
          </w:p>
        </w:tc>
      </w:tr>
      <w:tr w:rsidRPr="007E63C9" w:rsidR="003A45D8" w:rsidTr="48717007" w14:paraId="32467A55" w14:textId="77777777">
        <w:tc>
          <w:tcPr>
            <w:tcW w:w="3080" w:type="dxa"/>
            <w:tcMar/>
          </w:tcPr>
          <w:p w:rsidRPr="00C654A7" w:rsidR="003A45D8" w:rsidP="0056493B" w:rsidRDefault="003A45D8" w14:paraId="49700365" w14:textId="0F1F9848" w14:noSpellErr="1">
            <w:pPr>
              <w:rPr>
                <w:rFonts w:ascii="Calibri" w:hAnsi="Calibri" w:cs="Calibri"/>
                <w:b w:val="1"/>
                <w:bCs w:val="1"/>
                <w:highlight w:val="yellow"/>
              </w:rPr>
            </w:pPr>
            <w:r w:rsidRPr="48717007" w:rsidR="003A45D8">
              <w:rPr>
                <w:rFonts w:ascii="Calibri" w:hAnsi="Calibri" w:cs="Calibri"/>
                <w:b w:val="1"/>
                <w:bCs w:val="1"/>
                <w:color w:val="1F1F1F"/>
                <w:highlight w:val="yellow"/>
              </w:rPr>
              <w:t>Sham postoperative feeding (chewing gum) after abdominal surgery</w:t>
            </w:r>
          </w:p>
        </w:tc>
        <w:tc>
          <w:tcPr>
            <w:tcW w:w="3081" w:type="dxa"/>
            <w:tcMar/>
          </w:tcPr>
          <w:p w:rsidRPr="00C654A7" w:rsidR="003A45D8" w:rsidP="0056493B" w:rsidRDefault="003A45D8" w14:paraId="693F1D58" w14:textId="2CDA9F8A">
            <w:pPr>
              <w:rPr>
                <w:rFonts w:cstheme="minorHAnsi"/>
                <w:b/>
                <w:bCs/>
                <w:highlight w:val="yellow"/>
              </w:rPr>
            </w:pPr>
            <w:r w:rsidRPr="00C654A7">
              <w:rPr>
                <w:highlight w:val="yellow"/>
              </w:rPr>
              <w:t>Gum chewing appears to be effective and is low risk. It may be a redundant treatment if a policy for early oral intake is being used. However, it should be considered if delayed oral intake is planned.</w:t>
            </w:r>
          </w:p>
        </w:tc>
        <w:tc>
          <w:tcPr>
            <w:tcW w:w="3081" w:type="dxa"/>
            <w:tcMar/>
          </w:tcPr>
          <w:p w:rsidRPr="00C654A7" w:rsidR="003A45D8" w:rsidP="0056493B" w:rsidRDefault="003A45D8" w14:paraId="3555A923" w14:textId="77777777">
            <w:pPr>
              <w:rPr>
                <w:rFonts w:cstheme="minorHAnsi"/>
                <w:highlight w:val="yellow"/>
              </w:rPr>
            </w:pPr>
            <w:r w:rsidRPr="00C654A7">
              <w:rPr>
                <w:rFonts w:cstheme="minorHAnsi"/>
                <w:highlight w:val="yellow"/>
              </w:rPr>
              <w:t>Patient</w:t>
            </w:r>
          </w:p>
        </w:tc>
      </w:tr>
    </w:tbl>
    <w:p w:rsidR="003A45D8" w:rsidRDefault="003A45D8" w14:paraId="18DC2026" w14:textId="77777777">
      <w:pPr>
        <w:rPr>
          <w:rFonts w:cstheme="minorHAnsi"/>
          <w:b/>
          <w:bCs/>
          <w:highlight w:val="green"/>
        </w:rPr>
      </w:pPr>
    </w:p>
    <w:p w:rsidR="003A45D8" w:rsidRDefault="003A45D8" w14:paraId="176F87D8" w14:textId="77777777">
      <w:pPr>
        <w:rPr>
          <w:rFonts w:cstheme="minorHAnsi"/>
          <w:b/>
          <w:bCs/>
          <w:highlight w:val="green"/>
        </w:rPr>
      </w:pPr>
    </w:p>
    <w:p w:rsidRPr="007E63C9" w:rsidR="006E6CFD" w:rsidRDefault="006E6CFD" w14:paraId="10EC72D0" w14:textId="53E03016">
      <w:pPr>
        <w:rPr>
          <w:rFonts w:cstheme="minorHAnsi"/>
          <w:b/>
          <w:bCs/>
        </w:rPr>
      </w:pPr>
      <w:r w:rsidRPr="007E63C9">
        <w:rPr>
          <w:rFonts w:cstheme="minorHAnsi"/>
          <w:b/>
          <w:bCs/>
        </w:rPr>
        <w:t xml:space="preserve"> </w:t>
      </w:r>
    </w:p>
    <w:sectPr w:rsidRPr="007E63C9" w:rsidR="006E6CFD" w:rsidSect="00A604E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4EE"/>
    <w:rsid w:val="000D1DD7"/>
    <w:rsid w:val="001B0F4F"/>
    <w:rsid w:val="003A45D8"/>
    <w:rsid w:val="004D3871"/>
    <w:rsid w:val="005E5CA8"/>
    <w:rsid w:val="00664E3D"/>
    <w:rsid w:val="006916FD"/>
    <w:rsid w:val="006E6CFD"/>
    <w:rsid w:val="006F59DF"/>
    <w:rsid w:val="007055B7"/>
    <w:rsid w:val="007E63C9"/>
    <w:rsid w:val="008644E9"/>
    <w:rsid w:val="008A3B32"/>
    <w:rsid w:val="0091653A"/>
    <w:rsid w:val="009802C7"/>
    <w:rsid w:val="009A795B"/>
    <w:rsid w:val="00A604EE"/>
    <w:rsid w:val="00AB6450"/>
    <w:rsid w:val="00C56D5F"/>
    <w:rsid w:val="00C654A7"/>
    <w:rsid w:val="00D13D6D"/>
    <w:rsid w:val="00DF6353"/>
    <w:rsid w:val="00F2280C"/>
    <w:rsid w:val="00F46E4F"/>
    <w:rsid w:val="00FF4CF9"/>
    <w:rsid w:val="0334FD0A"/>
    <w:rsid w:val="1D8F1ED5"/>
    <w:rsid w:val="294AF721"/>
    <w:rsid w:val="48717007"/>
    <w:rsid w:val="5BCEE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B6D5A"/>
  <w15:chartTrackingRefBased/>
  <w15:docId w15:val="{73E9FD4F-2764-4B35-B93A-E37FB1D0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A604E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AU"/>
    </w:rPr>
  </w:style>
  <w:style w:type="character" w:styleId="normaltextrun" w:customStyle="1">
    <w:name w:val="normaltextrun"/>
    <w:basedOn w:val="DefaultParagraphFont"/>
    <w:rsid w:val="00A604EE"/>
  </w:style>
  <w:style w:type="character" w:styleId="eop" w:customStyle="1">
    <w:name w:val="eop"/>
    <w:basedOn w:val="DefaultParagraphFont"/>
    <w:rsid w:val="00A604EE"/>
  </w:style>
  <w:style w:type="table" w:styleId="TableGrid">
    <w:name w:val="Table Grid"/>
    <w:basedOn w:val="TableNormal"/>
    <w:uiPriority w:val="39"/>
    <w:rsid w:val="00664E3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9A79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3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2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1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4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0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3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3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8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3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9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3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87AF452286C4EB5DFB6927CB8075E" ma:contentTypeVersion="15" ma:contentTypeDescription="Create a new document." ma:contentTypeScope="" ma:versionID="152f1fed36d982367b395342afafe9bd">
  <xsd:schema xmlns:xsd="http://www.w3.org/2001/XMLSchema" xmlns:xs="http://www.w3.org/2001/XMLSchema" xmlns:p="http://schemas.microsoft.com/office/2006/metadata/properties" xmlns:ns2="d3c625d9-595f-4182-b382-68917ca4e797" xmlns:ns3="56be9c22-6d61-4aeb-be23-8f74aa3451a1" targetNamespace="http://schemas.microsoft.com/office/2006/metadata/properties" ma:root="true" ma:fieldsID="792357901fb04d5b2623767b4cdb2150" ns2:_="" ns3:_="">
    <xsd:import namespace="d3c625d9-595f-4182-b382-68917ca4e797"/>
    <xsd:import namespace="56be9c22-6d61-4aeb-be23-8f74aa345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625d9-595f-4182-b382-68917ca4e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e9c22-6d61-4aeb-be23-8f74aa345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a69143e-5f21-4c56-9cca-b1da7056bb73}" ma:internalName="TaxCatchAll" ma:showField="CatchAllData" ma:web="56be9c22-6d61-4aeb-be23-8f74aa345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be9c22-6d61-4aeb-be23-8f74aa3451a1" xsi:nil="true"/>
    <lcf76f155ced4ddcb4097134ff3c332f xmlns="d3c625d9-595f-4182-b382-68917ca4e7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BE961E-13D9-4C5E-8E4B-12D0939F38BC}"/>
</file>

<file path=customXml/itemProps2.xml><?xml version="1.0" encoding="utf-8"?>
<ds:datastoreItem xmlns:ds="http://schemas.openxmlformats.org/officeDocument/2006/customXml" ds:itemID="{DFE9DD4A-CEB0-4D7B-AE0F-1099B8214A0E}"/>
</file>

<file path=customXml/itemProps3.xml><?xml version="1.0" encoding="utf-8"?>
<ds:datastoreItem xmlns:ds="http://schemas.openxmlformats.org/officeDocument/2006/customXml" ds:itemID="{0B63AF8E-1F4C-48D6-A548-F3C5B0F8B65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Sansalone</dc:creator>
  <keywords/>
  <dc:description/>
  <lastModifiedBy>Emma Sansalone</lastModifiedBy>
  <revision>18</revision>
  <dcterms:created xsi:type="dcterms:W3CDTF">2023-11-17T00:54:00.0000000Z</dcterms:created>
  <dcterms:modified xsi:type="dcterms:W3CDTF">2025-10-13T04:59:48.3663411Z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0x0101004DE87AF452286C4EB5DFB6927CB8075E</vt:lpwstr>
  </property>
  <property fmtid="{D5CDD505-2E9C-101B-9397-08002B2CF9AE}" pid="3" name="MediaServiceImageTags">
    <vt:lpwstr/>
  </property>
</Properties>
</file>