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DFAD0" w14:textId="58F6D917" w:rsidR="000C41CA" w:rsidRDefault="000C41CA" w:rsidP="000C41C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296986B" wp14:editId="740504D6">
            <wp:simplePos x="0" y="0"/>
            <wp:positionH relativeFrom="column">
              <wp:posOffset>3313</wp:posOffset>
            </wp:positionH>
            <wp:positionV relativeFrom="paragraph">
              <wp:posOffset>-276</wp:posOffset>
            </wp:positionV>
            <wp:extent cx="6114288" cy="6016752"/>
            <wp:effectExtent l="0" t="0" r="1270" b="317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4288" cy="6016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4BC3">
        <w:rPr>
          <w:rFonts w:ascii="Times New Roman" w:hAnsi="Times New Roman" w:cs="Times New Roman" w:hint="eastAsia"/>
          <w:sz w:val="24"/>
          <w:szCs w:val="24"/>
        </w:rPr>
        <w:t>S</w:t>
      </w:r>
      <w:r w:rsidRPr="00064BC3">
        <w:rPr>
          <w:rFonts w:ascii="Times New Roman" w:hAnsi="Times New Roman" w:cs="Times New Roman"/>
          <w:sz w:val="24"/>
          <w:szCs w:val="24"/>
        </w:rPr>
        <w:t xml:space="preserve">upplementary Figure1. </w:t>
      </w:r>
      <w:r>
        <w:rPr>
          <w:rFonts w:ascii="Times New Roman" w:hAnsi="Times New Roman" w:cs="Times New Roman"/>
          <w:sz w:val="24"/>
          <w:szCs w:val="24"/>
        </w:rPr>
        <w:t>The 71-gene</w:t>
      </w:r>
      <w:r w:rsidRPr="00064BC3">
        <w:rPr>
          <w:rFonts w:ascii="Times New Roman" w:hAnsi="Times New Roman" w:cs="Times New Roman"/>
          <w:sz w:val="24"/>
          <w:szCs w:val="24"/>
        </w:rPr>
        <w:t xml:space="preserve"> score is </w:t>
      </w:r>
      <w:r>
        <w:rPr>
          <w:rFonts w:ascii="Times New Roman" w:hAnsi="Times New Roman" w:cs="Times New Roman"/>
          <w:sz w:val="24"/>
          <w:szCs w:val="24"/>
        </w:rPr>
        <w:t>posi</w:t>
      </w:r>
      <w:r w:rsidRPr="00064BC3">
        <w:rPr>
          <w:rFonts w:ascii="Times New Roman" w:hAnsi="Times New Roman" w:cs="Times New Roman"/>
          <w:sz w:val="24"/>
          <w:szCs w:val="24"/>
        </w:rPr>
        <w:t xml:space="preserve">tively associated with RFS in LGG. A. The difference of </w:t>
      </w:r>
      <w:r>
        <w:rPr>
          <w:rFonts w:ascii="Times New Roman" w:hAnsi="Times New Roman" w:cs="Times New Roman"/>
          <w:sz w:val="24"/>
          <w:szCs w:val="24"/>
        </w:rPr>
        <w:t>the 71-gene</w:t>
      </w:r>
      <w:r w:rsidRPr="00064BC3">
        <w:rPr>
          <w:rFonts w:ascii="Times New Roman" w:hAnsi="Times New Roman" w:cs="Times New Roman"/>
          <w:sz w:val="24"/>
          <w:szCs w:val="24"/>
        </w:rPr>
        <w:t xml:space="preserve"> scores between the LGG patients with relapse and non-relapse in the two cohorts. B. The comparison of Kaplan-Meier survival curves between high and low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71-gene</w:t>
      </w:r>
      <w:r w:rsidRPr="00064BC3">
        <w:rPr>
          <w:rFonts w:ascii="Times New Roman" w:hAnsi="Times New Roman" w:cs="Times New Roman"/>
          <w:sz w:val="24"/>
          <w:szCs w:val="24"/>
        </w:rPr>
        <w:t xml:space="preserve"> score groups in the TCGA cohort. C. The comparison of Kaplan-Meier survival curves between high and low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71-gene</w:t>
      </w:r>
      <w:r w:rsidRPr="00064BC3">
        <w:rPr>
          <w:rFonts w:ascii="Times New Roman" w:hAnsi="Times New Roman" w:cs="Times New Roman"/>
          <w:sz w:val="24"/>
          <w:szCs w:val="24"/>
        </w:rPr>
        <w:t xml:space="preserve"> score groups in the CGGA</w:t>
      </w:r>
      <w:r w:rsidRPr="00064BC3" w:rsidDel="00E4107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64BC3">
        <w:rPr>
          <w:rFonts w:ascii="Times New Roman" w:hAnsi="Times New Roman" w:cs="Times New Roman"/>
          <w:iCs/>
          <w:sz w:val="24"/>
          <w:szCs w:val="24"/>
        </w:rPr>
        <w:t>cohort</w:t>
      </w:r>
      <w:r w:rsidRPr="00064BC3">
        <w:rPr>
          <w:rFonts w:ascii="Times New Roman" w:hAnsi="Times New Roman" w:cs="Times New Roman"/>
          <w:sz w:val="24"/>
          <w:szCs w:val="24"/>
        </w:rPr>
        <w:t xml:space="preserve">. </w:t>
      </w:r>
      <w:r w:rsidR="00DE7479">
        <w:rPr>
          <w:rFonts w:ascii="Times New Roman" w:hAnsi="Times New Roman" w:cs="Times New Roman"/>
          <w:sz w:val="24"/>
          <w:szCs w:val="24"/>
        </w:rPr>
        <w:t>R</w:t>
      </w:r>
      <w:r w:rsidR="00DE7479">
        <w:rPr>
          <w:rFonts w:ascii="Times New Roman" w:hAnsi="Times New Roman" w:cs="Times New Roman" w:hint="eastAsia"/>
          <w:sz w:val="24"/>
          <w:szCs w:val="24"/>
        </w:rPr>
        <w:t>isk</w:t>
      </w:r>
      <w:r w:rsidR="00DE7479">
        <w:rPr>
          <w:rFonts w:ascii="Times New Roman" w:hAnsi="Times New Roman" w:cs="Times New Roman"/>
          <w:sz w:val="24"/>
          <w:szCs w:val="24"/>
        </w:rPr>
        <w:t xml:space="preserve"> score : the 71-gene score.</w:t>
      </w:r>
    </w:p>
    <w:p w14:paraId="20F82CDE" w14:textId="77777777" w:rsidR="000C41CA" w:rsidRDefault="000C41C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084E2E8" w14:textId="41942BA0" w:rsidR="000C41CA" w:rsidRPr="00064BC3" w:rsidRDefault="000C41CA" w:rsidP="000C41CA">
      <w:pPr>
        <w:spacing w:line="440" w:lineRule="exac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w:lastRenderedPageBreak/>
        <w:drawing>
          <wp:anchor distT="0" distB="0" distL="114300" distR="114300" simplePos="0" relativeHeight="251659264" behindDoc="1" locked="0" layoutInCell="1" allowOverlap="1" wp14:anchorId="6C5A82B2" wp14:editId="57835328">
            <wp:simplePos x="0" y="0"/>
            <wp:positionH relativeFrom="column">
              <wp:posOffset>3313</wp:posOffset>
            </wp:positionH>
            <wp:positionV relativeFrom="paragraph">
              <wp:posOffset>-359</wp:posOffset>
            </wp:positionV>
            <wp:extent cx="6188710" cy="6162040"/>
            <wp:effectExtent l="0" t="0" r="2540" b="0"/>
            <wp:wrapTight wrapText="bothSides">
              <wp:wrapPolygon edited="0">
                <wp:start x="0" y="0"/>
                <wp:lineTo x="0" y="21502"/>
                <wp:lineTo x="21542" y="21502"/>
                <wp:lineTo x="21542" y="0"/>
                <wp:lineTo x="0" y="0"/>
              </wp:wrapPolygon>
            </wp:wrapTight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616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3BAF8B" w14:textId="10AAB7B0" w:rsidR="000C41CA" w:rsidRDefault="000C41CA" w:rsidP="000C41C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064BC3">
        <w:rPr>
          <w:rFonts w:ascii="Times New Roman" w:hAnsi="Times New Roman" w:cs="Times New Roman" w:hint="eastAsia"/>
          <w:sz w:val="24"/>
          <w:szCs w:val="24"/>
        </w:rPr>
        <w:t>S</w:t>
      </w:r>
      <w:r w:rsidRPr="00064BC3">
        <w:rPr>
          <w:rFonts w:ascii="Times New Roman" w:hAnsi="Times New Roman" w:cs="Times New Roman"/>
          <w:sz w:val="24"/>
          <w:szCs w:val="24"/>
        </w:rPr>
        <w:t>upplementary Figure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64BC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4BC3">
        <w:rPr>
          <w:rFonts w:ascii="Times New Roman" w:hAnsi="Times New Roman" w:cs="Times New Roman"/>
          <w:sz w:val="24"/>
          <w:szCs w:val="24"/>
        </w:rPr>
        <w:t xml:space="preserve">Kaplan-Meier survival analysis of patients’ OS with </w:t>
      </w:r>
      <w:r w:rsidRPr="00901F5A">
        <w:rPr>
          <w:rFonts w:ascii="Times New Roman" w:hAnsi="Times New Roman" w:cs="Times New Roman"/>
          <w:sz w:val="24"/>
          <w:szCs w:val="24"/>
          <w:lang w:val="en-GB"/>
        </w:rPr>
        <w:t>the 71-gene score</w:t>
      </w:r>
      <w:r w:rsidRPr="00901F5A">
        <w:rPr>
          <w:rFonts w:ascii="Times New Roman" w:hAnsi="Times New Roman" w:cs="Times New Roman"/>
          <w:sz w:val="24"/>
          <w:szCs w:val="24"/>
        </w:rPr>
        <w:t xml:space="preserve"> </w:t>
      </w:r>
      <w:r w:rsidRPr="00064BC3">
        <w:rPr>
          <w:rFonts w:ascii="Times New Roman" w:hAnsi="Times New Roman" w:cs="Times New Roman"/>
          <w:sz w:val="24"/>
          <w:szCs w:val="24"/>
        </w:rPr>
        <w:t xml:space="preserve">in the </w:t>
      </w:r>
      <w:r>
        <w:rPr>
          <w:rFonts w:ascii="Times New Roman" w:hAnsi="Times New Roman" w:cs="Times New Roman"/>
          <w:sz w:val="24"/>
          <w:szCs w:val="24"/>
        </w:rPr>
        <w:t xml:space="preserve">subgroups of LGG patients stratified by patient age, gender and histologic grade (A-F) of the </w:t>
      </w:r>
      <w:r w:rsidRPr="00064BC3">
        <w:rPr>
          <w:rFonts w:ascii="Times New Roman" w:hAnsi="Times New Roman" w:cs="Times New Roman"/>
          <w:sz w:val="24"/>
          <w:szCs w:val="24"/>
        </w:rPr>
        <w:t xml:space="preserve">TCGA cohort. </w:t>
      </w:r>
      <w:r w:rsidR="00DE7479">
        <w:rPr>
          <w:rFonts w:ascii="Times New Roman" w:hAnsi="Times New Roman" w:cs="Times New Roman"/>
          <w:sz w:val="24"/>
          <w:szCs w:val="24"/>
        </w:rPr>
        <w:t>R</w:t>
      </w:r>
      <w:r w:rsidR="00DE7479">
        <w:rPr>
          <w:rFonts w:ascii="Times New Roman" w:hAnsi="Times New Roman" w:cs="Times New Roman" w:hint="eastAsia"/>
          <w:sz w:val="24"/>
          <w:szCs w:val="24"/>
        </w:rPr>
        <w:t>isk</w:t>
      </w:r>
      <w:r w:rsidR="00DE7479">
        <w:rPr>
          <w:rFonts w:ascii="Times New Roman" w:hAnsi="Times New Roman" w:cs="Times New Roman"/>
          <w:sz w:val="24"/>
          <w:szCs w:val="24"/>
        </w:rPr>
        <w:t xml:space="preserve"> score : the 71-gene score.</w:t>
      </w:r>
    </w:p>
    <w:p w14:paraId="3DA33BCB" w14:textId="77777777" w:rsidR="000C41CA" w:rsidRDefault="000C41C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3CA20E3" w14:textId="561A50B2" w:rsidR="000C41CA" w:rsidRDefault="000C41CA" w:rsidP="000C41C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1" locked="0" layoutInCell="1" allowOverlap="1" wp14:anchorId="6357E4F8" wp14:editId="5343806F">
            <wp:simplePos x="0" y="0"/>
            <wp:positionH relativeFrom="column">
              <wp:posOffset>3313</wp:posOffset>
            </wp:positionH>
            <wp:positionV relativeFrom="paragraph">
              <wp:posOffset>-359</wp:posOffset>
            </wp:positionV>
            <wp:extent cx="6188710" cy="6162040"/>
            <wp:effectExtent l="0" t="0" r="2540" b="0"/>
            <wp:wrapTight wrapText="bothSides">
              <wp:wrapPolygon edited="0">
                <wp:start x="0" y="0"/>
                <wp:lineTo x="0" y="21502"/>
                <wp:lineTo x="21542" y="21502"/>
                <wp:lineTo x="21542" y="0"/>
                <wp:lineTo x="0" y="0"/>
              </wp:wrapPolygon>
            </wp:wrapTight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616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4BC3">
        <w:rPr>
          <w:rFonts w:ascii="Times New Roman" w:hAnsi="Times New Roman" w:cs="Times New Roman" w:hint="eastAsia"/>
          <w:sz w:val="24"/>
          <w:szCs w:val="24"/>
        </w:rPr>
        <w:t>S</w:t>
      </w:r>
      <w:r w:rsidRPr="00064BC3">
        <w:rPr>
          <w:rFonts w:ascii="Times New Roman" w:hAnsi="Times New Roman" w:cs="Times New Roman"/>
          <w:sz w:val="24"/>
          <w:szCs w:val="24"/>
        </w:rPr>
        <w:t>upplementary Figure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64BC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4BC3">
        <w:rPr>
          <w:rFonts w:ascii="Times New Roman" w:hAnsi="Times New Roman" w:cs="Times New Roman"/>
          <w:sz w:val="24"/>
          <w:szCs w:val="24"/>
        </w:rPr>
        <w:t xml:space="preserve">Kaplan-Meier survival analysis of patients’ OS with </w:t>
      </w:r>
      <w:r w:rsidRPr="00901F5A">
        <w:rPr>
          <w:rFonts w:ascii="Times New Roman" w:hAnsi="Times New Roman" w:cs="Times New Roman"/>
          <w:sz w:val="24"/>
          <w:szCs w:val="24"/>
          <w:lang w:val="en-GB"/>
        </w:rPr>
        <w:t>the 71-gene score</w:t>
      </w:r>
      <w:r w:rsidRPr="00901F5A">
        <w:rPr>
          <w:rFonts w:ascii="Times New Roman" w:hAnsi="Times New Roman" w:cs="Times New Roman"/>
          <w:sz w:val="24"/>
          <w:szCs w:val="24"/>
        </w:rPr>
        <w:t xml:space="preserve"> </w:t>
      </w:r>
      <w:r w:rsidRPr="00064BC3">
        <w:rPr>
          <w:rFonts w:ascii="Times New Roman" w:hAnsi="Times New Roman" w:cs="Times New Roman"/>
          <w:sz w:val="24"/>
          <w:szCs w:val="24"/>
        </w:rPr>
        <w:t xml:space="preserve">in the </w:t>
      </w:r>
      <w:r>
        <w:rPr>
          <w:rFonts w:ascii="Times New Roman" w:hAnsi="Times New Roman" w:cs="Times New Roman"/>
          <w:sz w:val="24"/>
          <w:szCs w:val="24"/>
        </w:rPr>
        <w:t xml:space="preserve">subgroups of LGG patients stratified by history of cancer, </w:t>
      </w:r>
      <w:r w:rsidRPr="00337780">
        <w:rPr>
          <w:rFonts w:ascii="Times New Roman" w:hAnsi="Times New Roman" w:cs="Times New Roman"/>
          <w:i/>
          <w:iCs/>
          <w:sz w:val="24"/>
          <w:szCs w:val="24"/>
        </w:rPr>
        <w:t>IDH1</w:t>
      </w:r>
      <w:r>
        <w:rPr>
          <w:rFonts w:ascii="Times New Roman" w:hAnsi="Times New Roman" w:cs="Times New Roman"/>
          <w:sz w:val="24"/>
          <w:szCs w:val="24"/>
        </w:rPr>
        <w:t xml:space="preserve"> mutation and radiotherapy (A-F) of the </w:t>
      </w:r>
      <w:r w:rsidRPr="00064BC3">
        <w:rPr>
          <w:rFonts w:ascii="Times New Roman" w:hAnsi="Times New Roman" w:cs="Times New Roman"/>
          <w:sz w:val="24"/>
          <w:szCs w:val="24"/>
        </w:rPr>
        <w:t xml:space="preserve">TCGA cohort. </w:t>
      </w:r>
    </w:p>
    <w:p w14:paraId="4A96A4D0" w14:textId="77777777" w:rsidR="000C41CA" w:rsidRDefault="000C41C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C5CA9EA" w14:textId="08E609CB" w:rsidR="000C41CA" w:rsidRDefault="000C41CA" w:rsidP="000C41C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7EF5CAD8" wp14:editId="14B66140">
            <wp:simplePos x="0" y="0"/>
            <wp:positionH relativeFrom="column">
              <wp:posOffset>3313</wp:posOffset>
            </wp:positionH>
            <wp:positionV relativeFrom="paragraph">
              <wp:posOffset>-359</wp:posOffset>
            </wp:positionV>
            <wp:extent cx="6188710" cy="6162040"/>
            <wp:effectExtent l="0" t="0" r="2540" b="0"/>
            <wp:wrapThrough wrapText="bothSides">
              <wp:wrapPolygon edited="0">
                <wp:start x="0" y="0"/>
                <wp:lineTo x="0" y="21502"/>
                <wp:lineTo x="21542" y="21502"/>
                <wp:lineTo x="21542" y="0"/>
                <wp:lineTo x="0" y="0"/>
              </wp:wrapPolygon>
            </wp:wrapThrough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616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4BC3">
        <w:rPr>
          <w:rFonts w:ascii="Times New Roman" w:hAnsi="Times New Roman" w:cs="Times New Roman" w:hint="eastAsia"/>
          <w:sz w:val="24"/>
          <w:szCs w:val="24"/>
        </w:rPr>
        <w:t>S</w:t>
      </w:r>
      <w:r w:rsidRPr="00064BC3">
        <w:rPr>
          <w:rFonts w:ascii="Times New Roman" w:hAnsi="Times New Roman" w:cs="Times New Roman"/>
          <w:sz w:val="24"/>
          <w:szCs w:val="24"/>
        </w:rPr>
        <w:t>upplementary Figure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64BC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4BC3">
        <w:rPr>
          <w:rFonts w:ascii="Times New Roman" w:hAnsi="Times New Roman" w:cs="Times New Roman"/>
          <w:sz w:val="24"/>
          <w:szCs w:val="24"/>
        </w:rPr>
        <w:t xml:space="preserve">Kaplan-Meier survival analysis of patients’ OS with </w:t>
      </w:r>
      <w:r w:rsidRPr="00901F5A">
        <w:rPr>
          <w:rFonts w:ascii="Times New Roman" w:hAnsi="Times New Roman" w:cs="Times New Roman"/>
          <w:sz w:val="24"/>
          <w:szCs w:val="24"/>
          <w:lang w:val="en-GB"/>
        </w:rPr>
        <w:t>the 71-gene score</w:t>
      </w:r>
      <w:r w:rsidRPr="00901F5A">
        <w:rPr>
          <w:rFonts w:ascii="Times New Roman" w:hAnsi="Times New Roman" w:cs="Times New Roman"/>
          <w:sz w:val="24"/>
          <w:szCs w:val="24"/>
        </w:rPr>
        <w:t xml:space="preserve"> </w:t>
      </w:r>
      <w:r w:rsidRPr="00064BC3">
        <w:rPr>
          <w:rFonts w:ascii="Times New Roman" w:hAnsi="Times New Roman" w:cs="Times New Roman"/>
          <w:sz w:val="24"/>
          <w:szCs w:val="24"/>
        </w:rPr>
        <w:t xml:space="preserve">in the </w:t>
      </w:r>
      <w:r>
        <w:rPr>
          <w:rFonts w:ascii="Times New Roman" w:hAnsi="Times New Roman" w:cs="Times New Roman"/>
          <w:sz w:val="24"/>
          <w:szCs w:val="24"/>
        </w:rPr>
        <w:t xml:space="preserve">subgroups of LGG patients stratified by targeted therapy, </w:t>
      </w:r>
      <w:r w:rsidRPr="00C622C6">
        <w:rPr>
          <w:rFonts w:ascii="Times New Roman" w:hAnsi="Times New Roman" w:cs="Times New Roman"/>
          <w:i/>
          <w:iCs/>
          <w:sz w:val="24"/>
          <w:szCs w:val="24"/>
        </w:rPr>
        <w:t>TP53</w:t>
      </w:r>
      <w:r>
        <w:rPr>
          <w:rFonts w:ascii="Times New Roman" w:hAnsi="Times New Roman" w:cs="Times New Roman"/>
          <w:sz w:val="24"/>
          <w:szCs w:val="24"/>
        </w:rPr>
        <w:t xml:space="preserve"> mutation and tumor weight (A-F) of the </w:t>
      </w:r>
      <w:r w:rsidRPr="00064BC3">
        <w:rPr>
          <w:rFonts w:ascii="Times New Roman" w:hAnsi="Times New Roman" w:cs="Times New Roman"/>
          <w:sz w:val="24"/>
          <w:szCs w:val="24"/>
        </w:rPr>
        <w:t xml:space="preserve">TCGA cohort. </w:t>
      </w:r>
    </w:p>
    <w:p w14:paraId="7C1276A7" w14:textId="77777777" w:rsidR="000C41CA" w:rsidRDefault="000C41C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9EF3CD0" w14:textId="29CD9418" w:rsidR="000C41CA" w:rsidRDefault="000C41CA" w:rsidP="000C41C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1" locked="0" layoutInCell="1" allowOverlap="1" wp14:anchorId="1325CAAC" wp14:editId="7E6A2B2A">
            <wp:simplePos x="0" y="0"/>
            <wp:positionH relativeFrom="column">
              <wp:posOffset>3313</wp:posOffset>
            </wp:positionH>
            <wp:positionV relativeFrom="paragraph">
              <wp:posOffset>-359</wp:posOffset>
            </wp:positionV>
            <wp:extent cx="6188710" cy="6162040"/>
            <wp:effectExtent l="0" t="0" r="2540" b="0"/>
            <wp:wrapTight wrapText="bothSides">
              <wp:wrapPolygon edited="0">
                <wp:start x="0" y="0"/>
                <wp:lineTo x="0" y="21502"/>
                <wp:lineTo x="21542" y="21502"/>
                <wp:lineTo x="21542" y="0"/>
                <wp:lineTo x="0" y="0"/>
              </wp:wrapPolygon>
            </wp:wrapTight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616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4BC3">
        <w:rPr>
          <w:rFonts w:ascii="Times New Roman" w:hAnsi="Times New Roman" w:cs="Times New Roman" w:hint="eastAsia"/>
          <w:sz w:val="24"/>
          <w:szCs w:val="24"/>
        </w:rPr>
        <w:t>S</w:t>
      </w:r>
      <w:r w:rsidRPr="00064BC3">
        <w:rPr>
          <w:rFonts w:ascii="Times New Roman" w:hAnsi="Times New Roman" w:cs="Times New Roman"/>
          <w:sz w:val="24"/>
          <w:szCs w:val="24"/>
        </w:rPr>
        <w:t>upplementary Figure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64BC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4BC3">
        <w:rPr>
          <w:rFonts w:ascii="Times New Roman" w:hAnsi="Times New Roman" w:cs="Times New Roman"/>
          <w:sz w:val="24"/>
          <w:szCs w:val="24"/>
        </w:rPr>
        <w:t xml:space="preserve">Kaplan-Meier survival analysis of patients’ OS with </w:t>
      </w:r>
      <w:r w:rsidRPr="00901F5A">
        <w:rPr>
          <w:rFonts w:ascii="Times New Roman" w:hAnsi="Times New Roman" w:cs="Times New Roman"/>
          <w:sz w:val="24"/>
          <w:szCs w:val="24"/>
          <w:lang w:val="en-GB"/>
        </w:rPr>
        <w:t>the 71-gene score</w:t>
      </w:r>
      <w:r w:rsidRPr="00901F5A">
        <w:rPr>
          <w:rFonts w:ascii="Times New Roman" w:hAnsi="Times New Roman" w:cs="Times New Roman"/>
          <w:sz w:val="24"/>
          <w:szCs w:val="24"/>
        </w:rPr>
        <w:t xml:space="preserve"> </w:t>
      </w:r>
      <w:r w:rsidRPr="00064BC3">
        <w:rPr>
          <w:rFonts w:ascii="Times New Roman" w:hAnsi="Times New Roman" w:cs="Times New Roman"/>
          <w:sz w:val="24"/>
          <w:szCs w:val="24"/>
        </w:rPr>
        <w:t xml:space="preserve">in the </w:t>
      </w:r>
      <w:r>
        <w:rPr>
          <w:rFonts w:ascii="Times New Roman" w:hAnsi="Times New Roman" w:cs="Times New Roman"/>
          <w:sz w:val="24"/>
          <w:szCs w:val="24"/>
        </w:rPr>
        <w:t>subgroups of LGG patients stratified by patient age, gender and histologic grade (A-F) of the CG</w:t>
      </w:r>
      <w:r w:rsidRPr="00064BC3">
        <w:rPr>
          <w:rFonts w:ascii="Times New Roman" w:hAnsi="Times New Roman" w:cs="Times New Roman"/>
          <w:sz w:val="24"/>
          <w:szCs w:val="24"/>
        </w:rPr>
        <w:t xml:space="preserve">GA cohort. </w:t>
      </w:r>
    </w:p>
    <w:p w14:paraId="4EB71C2F" w14:textId="77777777" w:rsidR="000C41CA" w:rsidRDefault="000C41C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9FCEA5A" w14:textId="7B5028C1" w:rsidR="000C41CA" w:rsidRDefault="000C41CA" w:rsidP="000C41C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1" locked="0" layoutInCell="1" allowOverlap="1" wp14:anchorId="5357ECAA" wp14:editId="2AED8B95">
            <wp:simplePos x="0" y="0"/>
            <wp:positionH relativeFrom="column">
              <wp:posOffset>3313</wp:posOffset>
            </wp:positionH>
            <wp:positionV relativeFrom="paragraph">
              <wp:posOffset>-359</wp:posOffset>
            </wp:positionV>
            <wp:extent cx="6188710" cy="6162040"/>
            <wp:effectExtent l="0" t="0" r="2540" b="0"/>
            <wp:wrapTight wrapText="bothSides">
              <wp:wrapPolygon edited="0">
                <wp:start x="0" y="0"/>
                <wp:lineTo x="0" y="21502"/>
                <wp:lineTo x="21542" y="21502"/>
                <wp:lineTo x="21542" y="0"/>
                <wp:lineTo x="0" y="0"/>
              </wp:wrapPolygon>
            </wp:wrapTight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616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4BC3">
        <w:rPr>
          <w:rFonts w:ascii="Times New Roman" w:hAnsi="Times New Roman" w:cs="Times New Roman" w:hint="eastAsia"/>
          <w:sz w:val="24"/>
          <w:szCs w:val="24"/>
        </w:rPr>
        <w:t>S</w:t>
      </w:r>
      <w:r w:rsidRPr="00064BC3">
        <w:rPr>
          <w:rFonts w:ascii="Times New Roman" w:hAnsi="Times New Roman" w:cs="Times New Roman"/>
          <w:sz w:val="24"/>
          <w:szCs w:val="24"/>
        </w:rPr>
        <w:t>upplementary Figure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64BC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4BC3">
        <w:rPr>
          <w:rFonts w:ascii="Times New Roman" w:hAnsi="Times New Roman" w:cs="Times New Roman"/>
          <w:sz w:val="24"/>
          <w:szCs w:val="24"/>
        </w:rPr>
        <w:t xml:space="preserve">Kaplan-Meier survival analysis of patients’ OS with </w:t>
      </w:r>
      <w:r w:rsidRPr="00901F5A">
        <w:rPr>
          <w:rFonts w:ascii="Times New Roman" w:hAnsi="Times New Roman" w:cs="Times New Roman"/>
          <w:sz w:val="24"/>
          <w:szCs w:val="24"/>
          <w:lang w:val="en-GB"/>
        </w:rPr>
        <w:t>the 71-gene score</w:t>
      </w:r>
      <w:r w:rsidRPr="00901F5A">
        <w:rPr>
          <w:rFonts w:ascii="Times New Roman" w:hAnsi="Times New Roman" w:cs="Times New Roman"/>
          <w:sz w:val="24"/>
          <w:szCs w:val="24"/>
        </w:rPr>
        <w:t xml:space="preserve"> </w:t>
      </w:r>
      <w:r w:rsidRPr="00064BC3">
        <w:rPr>
          <w:rFonts w:ascii="Times New Roman" w:hAnsi="Times New Roman" w:cs="Times New Roman"/>
          <w:sz w:val="24"/>
          <w:szCs w:val="24"/>
        </w:rPr>
        <w:t xml:space="preserve">in the </w:t>
      </w:r>
      <w:r>
        <w:rPr>
          <w:rFonts w:ascii="Times New Roman" w:hAnsi="Times New Roman" w:cs="Times New Roman"/>
          <w:sz w:val="24"/>
          <w:szCs w:val="24"/>
        </w:rPr>
        <w:t xml:space="preserve">subgroups of LGG patients stratified by </w:t>
      </w:r>
      <w:r w:rsidRPr="00625CF7">
        <w:rPr>
          <w:rFonts w:ascii="Times New Roman" w:hAnsi="Times New Roman" w:cs="Times New Roman"/>
          <w:i/>
          <w:iCs/>
          <w:sz w:val="24"/>
          <w:szCs w:val="24"/>
        </w:rPr>
        <w:t>IDH1</w:t>
      </w:r>
      <w:r>
        <w:rPr>
          <w:rFonts w:ascii="Times New Roman" w:hAnsi="Times New Roman" w:cs="Times New Roman"/>
          <w:sz w:val="24"/>
          <w:szCs w:val="24"/>
        </w:rPr>
        <w:t xml:space="preserve"> mutation, </w:t>
      </w:r>
      <w:r w:rsidRPr="006A26AE">
        <w:rPr>
          <w:rFonts w:ascii="Times New Roman" w:hAnsi="Times New Roman" w:cs="Times New Roman"/>
          <w:sz w:val="24"/>
          <w:szCs w:val="24"/>
        </w:rPr>
        <w:t>1p19q codeletion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6A26AE">
        <w:rPr>
          <w:rFonts w:ascii="Times New Roman" w:hAnsi="Times New Roman" w:cs="Times New Roman"/>
          <w:sz w:val="24"/>
          <w:szCs w:val="24"/>
        </w:rPr>
        <w:t>MGMTp methylation</w:t>
      </w:r>
      <w:r>
        <w:rPr>
          <w:rFonts w:ascii="Times New Roman" w:hAnsi="Times New Roman" w:cs="Times New Roman"/>
          <w:sz w:val="24"/>
          <w:szCs w:val="24"/>
        </w:rPr>
        <w:t xml:space="preserve"> (A-F) of the CG</w:t>
      </w:r>
      <w:r w:rsidRPr="00064BC3">
        <w:rPr>
          <w:rFonts w:ascii="Times New Roman" w:hAnsi="Times New Roman" w:cs="Times New Roman"/>
          <w:sz w:val="24"/>
          <w:szCs w:val="24"/>
        </w:rPr>
        <w:t xml:space="preserve">GA cohort. </w:t>
      </w:r>
    </w:p>
    <w:p w14:paraId="4D385CA3" w14:textId="77777777" w:rsidR="000C41CA" w:rsidRDefault="000C41C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6B76307" w14:textId="31B55DF0" w:rsidR="000C41CA" w:rsidRDefault="000C41CA" w:rsidP="000C41C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1" locked="0" layoutInCell="1" allowOverlap="1" wp14:anchorId="79FD32FF" wp14:editId="576AA7D4">
            <wp:simplePos x="0" y="0"/>
            <wp:positionH relativeFrom="column">
              <wp:posOffset>3313</wp:posOffset>
            </wp:positionH>
            <wp:positionV relativeFrom="paragraph">
              <wp:posOffset>-525</wp:posOffset>
            </wp:positionV>
            <wp:extent cx="6188710" cy="4302760"/>
            <wp:effectExtent l="0" t="0" r="2540" b="2540"/>
            <wp:wrapTight wrapText="bothSides">
              <wp:wrapPolygon edited="0">
                <wp:start x="0" y="0"/>
                <wp:lineTo x="0" y="21517"/>
                <wp:lineTo x="21542" y="21517"/>
                <wp:lineTo x="21542" y="0"/>
                <wp:lineTo x="0" y="0"/>
              </wp:wrapPolygon>
            </wp:wrapTight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302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4BC3">
        <w:rPr>
          <w:rFonts w:ascii="Times New Roman" w:hAnsi="Times New Roman" w:cs="Times New Roman" w:hint="eastAsia"/>
          <w:sz w:val="24"/>
          <w:szCs w:val="24"/>
        </w:rPr>
        <w:t>S</w:t>
      </w:r>
      <w:r w:rsidRPr="00064BC3">
        <w:rPr>
          <w:rFonts w:ascii="Times New Roman" w:hAnsi="Times New Roman" w:cs="Times New Roman"/>
          <w:sz w:val="24"/>
          <w:szCs w:val="24"/>
        </w:rPr>
        <w:t>upplementary Figure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64BC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4BC3">
        <w:rPr>
          <w:rFonts w:ascii="Times New Roman" w:hAnsi="Times New Roman" w:cs="Times New Roman"/>
          <w:sz w:val="24"/>
          <w:szCs w:val="24"/>
        </w:rPr>
        <w:t xml:space="preserve">Kaplan-Meier survival analysis of patients’ OS with </w:t>
      </w:r>
      <w:r w:rsidRPr="00901F5A">
        <w:rPr>
          <w:rFonts w:ascii="Times New Roman" w:hAnsi="Times New Roman" w:cs="Times New Roman"/>
          <w:sz w:val="24"/>
          <w:szCs w:val="24"/>
          <w:lang w:val="en-GB"/>
        </w:rPr>
        <w:t>the 71-gene score</w:t>
      </w:r>
      <w:r w:rsidRPr="00901F5A">
        <w:rPr>
          <w:rFonts w:ascii="Times New Roman" w:hAnsi="Times New Roman" w:cs="Times New Roman"/>
          <w:sz w:val="24"/>
          <w:szCs w:val="24"/>
        </w:rPr>
        <w:t xml:space="preserve"> </w:t>
      </w:r>
      <w:r w:rsidRPr="00064BC3">
        <w:rPr>
          <w:rFonts w:ascii="Times New Roman" w:hAnsi="Times New Roman" w:cs="Times New Roman"/>
          <w:sz w:val="24"/>
          <w:szCs w:val="24"/>
        </w:rPr>
        <w:t xml:space="preserve">in the </w:t>
      </w:r>
      <w:r>
        <w:rPr>
          <w:rFonts w:ascii="Times New Roman" w:hAnsi="Times New Roman" w:cs="Times New Roman"/>
          <w:sz w:val="24"/>
          <w:szCs w:val="24"/>
        </w:rPr>
        <w:t>subgroups of LGG patients stratified by radiotherapy and chemotherapy (A-D) of the CG</w:t>
      </w:r>
      <w:r w:rsidRPr="00064BC3">
        <w:rPr>
          <w:rFonts w:ascii="Times New Roman" w:hAnsi="Times New Roman" w:cs="Times New Roman"/>
          <w:sz w:val="24"/>
          <w:szCs w:val="24"/>
        </w:rPr>
        <w:t xml:space="preserve">GA cohort. </w:t>
      </w:r>
    </w:p>
    <w:p w14:paraId="07CE1386" w14:textId="77777777" w:rsidR="000C41CA" w:rsidRDefault="000C41C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45EBF55" w14:textId="474E2E62" w:rsidR="000C41CA" w:rsidRPr="00BE464F" w:rsidRDefault="000C41CA" w:rsidP="000C41C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1" locked="0" layoutInCell="1" allowOverlap="1" wp14:anchorId="1D5633AE" wp14:editId="332C6C1D">
            <wp:simplePos x="0" y="0"/>
            <wp:positionH relativeFrom="column">
              <wp:posOffset>3313</wp:posOffset>
            </wp:positionH>
            <wp:positionV relativeFrom="paragraph">
              <wp:posOffset>-276</wp:posOffset>
            </wp:positionV>
            <wp:extent cx="5391912" cy="6016752"/>
            <wp:effectExtent l="0" t="0" r="0" b="3175"/>
            <wp:wrapTight wrapText="bothSides">
              <wp:wrapPolygon edited="0">
                <wp:start x="0" y="0"/>
                <wp:lineTo x="0" y="21543"/>
                <wp:lineTo x="21521" y="21543"/>
                <wp:lineTo x="21521" y="0"/>
                <wp:lineTo x="0" y="0"/>
              </wp:wrapPolygon>
            </wp:wrapTight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912" cy="6016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4BC3">
        <w:rPr>
          <w:rFonts w:ascii="Times New Roman" w:hAnsi="Times New Roman" w:cs="Times New Roman" w:hint="eastAsia"/>
          <w:sz w:val="24"/>
          <w:szCs w:val="24"/>
        </w:rPr>
        <w:t>S</w:t>
      </w:r>
      <w:r w:rsidRPr="00064BC3">
        <w:rPr>
          <w:rFonts w:ascii="Times New Roman" w:hAnsi="Times New Roman" w:cs="Times New Roman"/>
          <w:sz w:val="24"/>
          <w:szCs w:val="24"/>
        </w:rPr>
        <w:t>upplementary Figure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64BC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4BC3">
        <w:rPr>
          <w:rFonts w:ascii="Times New Roman" w:hAnsi="Times New Roman" w:cs="Times New Roman"/>
          <w:sz w:val="24"/>
          <w:szCs w:val="24"/>
        </w:rPr>
        <w:t xml:space="preserve">Kaplan-Meier survival analysis of patients’ </w:t>
      </w:r>
      <w:r>
        <w:rPr>
          <w:rFonts w:ascii="Times New Roman" w:hAnsi="Times New Roman" w:cs="Times New Roman"/>
          <w:sz w:val="24"/>
          <w:szCs w:val="24"/>
        </w:rPr>
        <w:t xml:space="preserve">RFS </w:t>
      </w:r>
      <w:r w:rsidRPr="00064BC3">
        <w:rPr>
          <w:rFonts w:ascii="Times New Roman" w:hAnsi="Times New Roman" w:cs="Times New Roman"/>
          <w:sz w:val="24"/>
          <w:szCs w:val="24"/>
        </w:rPr>
        <w:t xml:space="preserve">with </w:t>
      </w:r>
      <w:r w:rsidRPr="00901F5A">
        <w:rPr>
          <w:rFonts w:ascii="Times New Roman" w:hAnsi="Times New Roman" w:cs="Times New Roman"/>
          <w:sz w:val="24"/>
          <w:szCs w:val="24"/>
          <w:lang w:val="en-GB"/>
        </w:rPr>
        <w:t>the 71-gene score</w:t>
      </w:r>
      <w:r w:rsidRPr="00901F5A">
        <w:rPr>
          <w:rFonts w:ascii="Times New Roman" w:hAnsi="Times New Roman" w:cs="Times New Roman"/>
          <w:sz w:val="24"/>
          <w:szCs w:val="24"/>
        </w:rPr>
        <w:t xml:space="preserve"> </w:t>
      </w:r>
      <w:r w:rsidRPr="00064BC3"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 xml:space="preserve">three subgroups of LGG patients of the </w:t>
      </w:r>
      <w:r w:rsidRPr="00064BC3">
        <w:rPr>
          <w:rFonts w:ascii="Times New Roman" w:hAnsi="Times New Roman" w:cs="Times New Roman"/>
          <w:sz w:val="24"/>
          <w:szCs w:val="24"/>
        </w:rPr>
        <w:t>TCGA cohort</w:t>
      </w:r>
      <w:r>
        <w:rPr>
          <w:rFonts w:ascii="Times New Roman" w:hAnsi="Times New Roman" w:cs="Times New Roman"/>
          <w:sz w:val="24"/>
          <w:szCs w:val="24"/>
        </w:rPr>
        <w:t xml:space="preserve"> (A) and CGGA cohort (B)</w:t>
      </w:r>
      <w:r w:rsidRPr="00064BC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EADB63" w14:textId="31DCB4C2" w:rsidR="00A02EAD" w:rsidRDefault="00A02EAD">
      <w:pPr>
        <w:widowControl/>
        <w:jc w:val="left"/>
      </w:pPr>
      <w:r>
        <w:br w:type="page"/>
      </w:r>
    </w:p>
    <w:p w14:paraId="7B0F3603" w14:textId="0D522C5B" w:rsidR="00EE17D8" w:rsidRDefault="00A02EAD">
      <w:r>
        <w:rPr>
          <w:noProof/>
        </w:rPr>
        <w:lastRenderedPageBreak/>
        <w:drawing>
          <wp:inline distT="0" distB="0" distL="0" distR="0" wp14:anchorId="2D5CFDE2" wp14:editId="2B62EE06">
            <wp:extent cx="6188710" cy="511302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511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F8A81" w14:textId="1B859CFA" w:rsidR="00B3044A" w:rsidRDefault="00A02EAD" w:rsidP="00B3044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064BC3">
        <w:rPr>
          <w:rFonts w:ascii="Times New Roman" w:hAnsi="Times New Roman" w:cs="Times New Roman" w:hint="eastAsia"/>
          <w:sz w:val="24"/>
          <w:szCs w:val="24"/>
        </w:rPr>
        <w:t>S</w:t>
      </w:r>
      <w:r w:rsidRPr="00064BC3">
        <w:rPr>
          <w:rFonts w:ascii="Times New Roman" w:hAnsi="Times New Roman" w:cs="Times New Roman"/>
          <w:sz w:val="24"/>
          <w:szCs w:val="24"/>
        </w:rPr>
        <w:t>upplementary Figure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064BC3">
        <w:rPr>
          <w:rFonts w:ascii="Times New Roman" w:hAnsi="Times New Roman" w:cs="Times New Roman"/>
          <w:sz w:val="24"/>
          <w:szCs w:val="24"/>
        </w:rPr>
        <w:t>.</w:t>
      </w:r>
      <w:r w:rsidR="00B3044A">
        <w:rPr>
          <w:rFonts w:ascii="Times New Roman" w:hAnsi="Times New Roman" w:cs="Times New Roman"/>
          <w:sz w:val="24"/>
          <w:szCs w:val="24"/>
        </w:rPr>
        <w:t xml:space="preserve"> </w:t>
      </w:r>
      <w:r w:rsidR="00B3044A" w:rsidRPr="00CE57B0">
        <w:rPr>
          <w:rFonts w:ascii="Times New Roman" w:hAnsi="Times New Roman" w:cs="Times New Roman"/>
          <w:sz w:val="24"/>
          <w:szCs w:val="24"/>
        </w:rPr>
        <w:t xml:space="preserve">The </w:t>
      </w:r>
      <w:r w:rsidR="00B3044A">
        <w:rPr>
          <w:rFonts w:ascii="Times New Roman" w:hAnsi="Times New Roman" w:cs="Times New Roman"/>
          <w:sz w:val="24"/>
          <w:szCs w:val="24"/>
        </w:rPr>
        <w:t>71</w:t>
      </w:r>
      <w:r w:rsidR="00B3044A" w:rsidRPr="00CE57B0">
        <w:rPr>
          <w:rFonts w:ascii="Times New Roman" w:hAnsi="Times New Roman" w:cs="Times New Roman"/>
          <w:sz w:val="24"/>
          <w:szCs w:val="24"/>
        </w:rPr>
        <w:t xml:space="preserve">-gene nomogram to predict the risk of disease in patients with </w:t>
      </w:r>
      <w:r w:rsidR="00B3044A">
        <w:rPr>
          <w:rFonts w:ascii="Times New Roman" w:hAnsi="Times New Roman" w:cs="Times New Roman"/>
          <w:sz w:val="24"/>
          <w:szCs w:val="24"/>
        </w:rPr>
        <w:t>LGG</w:t>
      </w:r>
      <w:r w:rsidR="00B3044A" w:rsidRPr="00CE57B0">
        <w:rPr>
          <w:rFonts w:ascii="Times New Roman" w:hAnsi="Times New Roman" w:cs="Times New Roman"/>
          <w:sz w:val="24"/>
          <w:szCs w:val="24"/>
        </w:rPr>
        <w:t>.</w:t>
      </w:r>
      <w:r w:rsidR="00B3044A">
        <w:rPr>
          <w:rFonts w:ascii="Times New Roman" w:hAnsi="Times New Roman" w:cs="Times New Roman"/>
          <w:sz w:val="24"/>
          <w:szCs w:val="24"/>
        </w:rPr>
        <w:t xml:space="preserve"> </w:t>
      </w:r>
      <w:r w:rsidR="00B3044A" w:rsidRPr="000A7A4F">
        <w:rPr>
          <w:rFonts w:ascii="Times New Roman" w:hAnsi="Times New Roman" w:cs="Times New Roman"/>
          <w:sz w:val="24"/>
          <w:szCs w:val="24"/>
        </w:rPr>
        <w:t xml:space="preserve">(A) mRNA nomogram to predict </w:t>
      </w:r>
      <w:r w:rsidR="00CF5E52">
        <w:rPr>
          <w:rFonts w:ascii="Times New Roman" w:hAnsi="Times New Roman" w:cs="Times New Roman"/>
          <w:sz w:val="24"/>
          <w:szCs w:val="24"/>
        </w:rPr>
        <w:t>relapse-free survival</w:t>
      </w:r>
      <w:r w:rsidR="00B3044A" w:rsidRPr="000A7A4F">
        <w:rPr>
          <w:rFonts w:ascii="Times New Roman" w:hAnsi="Times New Roman" w:cs="Times New Roman"/>
          <w:sz w:val="24"/>
          <w:szCs w:val="24"/>
        </w:rPr>
        <w:t xml:space="preserve">. </w:t>
      </w:r>
      <w:r w:rsidR="00B3044A">
        <w:rPr>
          <w:rFonts w:ascii="Times New Roman" w:hAnsi="Times New Roman" w:cs="Times New Roman"/>
          <w:sz w:val="24"/>
          <w:szCs w:val="24"/>
        </w:rPr>
        <w:t xml:space="preserve">2,3 for </w:t>
      </w:r>
      <w:r w:rsidR="00ED5A6E">
        <w:rPr>
          <w:rFonts w:ascii="Times New Roman" w:hAnsi="Times New Roman" w:cs="Times New Roman"/>
          <w:sz w:val="24"/>
          <w:szCs w:val="24"/>
        </w:rPr>
        <w:t>histologic grade</w:t>
      </w:r>
      <w:r w:rsidR="00B3044A">
        <w:rPr>
          <w:rFonts w:ascii="Times New Roman" w:hAnsi="Times New Roman" w:cs="Times New Roman"/>
          <w:sz w:val="24"/>
          <w:szCs w:val="24"/>
        </w:rPr>
        <w:t xml:space="preserve"> denote </w:t>
      </w:r>
      <w:r w:rsidR="00ED5A6E">
        <w:rPr>
          <w:rFonts w:ascii="Times New Roman" w:hAnsi="Times New Roman" w:cs="Times New Roman"/>
          <w:sz w:val="24"/>
          <w:szCs w:val="24"/>
        </w:rPr>
        <w:t>grade II and III</w:t>
      </w:r>
      <w:r w:rsidR="00B3044A" w:rsidRPr="00A53F03">
        <w:rPr>
          <w:rFonts w:ascii="Times New Roman" w:hAnsi="Times New Roman" w:cs="Times New Roman"/>
          <w:sz w:val="24"/>
          <w:szCs w:val="24"/>
        </w:rPr>
        <w:t xml:space="preserve"> respectively. </w:t>
      </w:r>
      <w:r w:rsidR="00CF5E52">
        <w:rPr>
          <w:rFonts w:ascii="Times New Roman" w:hAnsi="Times New Roman" w:cs="Times New Roman"/>
          <w:sz w:val="24"/>
          <w:szCs w:val="24"/>
        </w:rPr>
        <w:t>High</w:t>
      </w:r>
      <w:r w:rsidR="00B3044A">
        <w:rPr>
          <w:rFonts w:ascii="Times New Roman" w:hAnsi="Times New Roman" w:cs="Times New Roman"/>
          <w:sz w:val="24"/>
          <w:szCs w:val="24"/>
        </w:rPr>
        <w:t xml:space="preserve"> and </w:t>
      </w:r>
      <w:r w:rsidR="00CF5E52">
        <w:rPr>
          <w:rFonts w:ascii="Times New Roman" w:hAnsi="Times New Roman" w:cs="Times New Roman"/>
          <w:sz w:val="24"/>
          <w:szCs w:val="24"/>
        </w:rPr>
        <w:t>low</w:t>
      </w:r>
      <w:r w:rsidR="00B3044A">
        <w:rPr>
          <w:rFonts w:ascii="Times New Roman" w:hAnsi="Times New Roman" w:cs="Times New Roman"/>
          <w:sz w:val="24"/>
          <w:szCs w:val="24"/>
        </w:rPr>
        <w:t xml:space="preserve"> for the </w:t>
      </w:r>
      <w:r w:rsidR="00CF5E52">
        <w:rPr>
          <w:rFonts w:ascii="Times New Roman" w:hAnsi="Times New Roman" w:cs="Times New Roman"/>
          <w:sz w:val="24"/>
          <w:szCs w:val="24"/>
        </w:rPr>
        <w:t>71</w:t>
      </w:r>
      <w:r w:rsidR="00B3044A">
        <w:rPr>
          <w:rFonts w:ascii="Times New Roman" w:hAnsi="Times New Roman" w:cs="Times New Roman"/>
          <w:sz w:val="24"/>
          <w:szCs w:val="24"/>
        </w:rPr>
        <w:t xml:space="preserve">-gene score represent high and low </w:t>
      </w:r>
      <w:r w:rsidR="00CF5E52">
        <w:rPr>
          <w:rFonts w:ascii="Times New Roman" w:hAnsi="Times New Roman" w:cs="Times New Roman"/>
          <w:sz w:val="24"/>
          <w:szCs w:val="24"/>
        </w:rPr>
        <w:t>71</w:t>
      </w:r>
      <w:r w:rsidR="00B3044A">
        <w:rPr>
          <w:rFonts w:ascii="Times New Roman" w:hAnsi="Times New Roman" w:cs="Times New Roman"/>
          <w:sz w:val="24"/>
          <w:szCs w:val="24"/>
        </w:rPr>
        <w:t xml:space="preserve">-gene scores respectively </w:t>
      </w:r>
      <w:r w:rsidR="00997984">
        <w:rPr>
          <w:rFonts w:ascii="Times New Roman" w:hAnsi="Times New Roman" w:cs="Times New Roman"/>
          <w:sz w:val="24"/>
          <w:szCs w:val="24"/>
        </w:rPr>
        <w:t>stratified</w:t>
      </w:r>
      <w:r w:rsidR="00B3044A">
        <w:rPr>
          <w:rFonts w:ascii="Times New Roman" w:hAnsi="Times New Roman" w:cs="Times New Roman"/>
          <w:sz w:val="24"/>
          <w:szCs w:val="24"/>
        </w:rPr>
        <w:t xml:space="preserve"> by the median </w:t>
      </w:r>
      <w:r w:rsidR="00CF5E52">
        <w:rPr>
          <w:rFonts w:ascii="Times New Roman" w:hAnsi="Times New Roman" w:cs="Times New Roman"/>
          <w:sz w:val="24"/>
          <w:szCs w:val="24"/>
        </w:rPr>
        <w:t>17</w:t>
      </w:r>
      <w:r w:rsidR="00B3044A">
        <w:rPr>
          <w:rFonts w:ascii="Times New Roman" w:hAnsi="Times New Roman" w:cs="Times New Roman"/>
          <w:sz w:val="24"/>
          <w:szCs w:val="24"/>
        </w:rPr>
        <w:t xml:space="preserve">-gene score. </w:t>
      </w:r>
      <w:r w:rsidR="00B3044A" w:rsidRPr="000A7A4F">
        <w:rPr>
          <w:rFonts w:ascii="Times New Roman" w:hAnsi="Times New Roman" w:cs="Times New Roman"/>
          <w:sz w:val="24"/>
          <w:szCs w:val="24"/>
        </w:rPr>
        <w:t xml:space="preserve">B. </w:t>
      </w:r>
      <w:r w:rsidR="00B3044A" w:rsidRPr="000A7A4F">
        <w:rPr>
          <w:rFonts w:ascii="Times New Roman" w:hAnsi="Times New Roman" w:cs="Times New Roman" w:hint="eastAsia"/>
          <w:sz w:val="24"/>
          <w:szCs w:val="24"/>
        </w:rPr>
        <w:t>The</w:t>
      </w:r>
      <w:r w:rsidR="00B3044A" w:rsidRPr="000A7A4F">
        <w:rPr>
          <w:rFonts w:ascii="Times New Roman" w:hAnsi="Times New Roman" w:cs="Times New Roman"/>
          <w:sz w:val="24"/>
          <w:szCs w:val="24"/>
        </w:rPr>
        <w:t xml:space="preserve"> ROC plot for the nomogram in predicting </w:t>
      </w:r>
      <w:r w:rsidR="00B3564E">
        <w:rPr>
          <w:rFonts w:ascii="Times New Roman" w:hAnsi="Times New Roman" w:cs="Times New Roman"/>
          <w:sz w:val="24"/>
          <w:szCs w:val="24"/>
        </w:rPr>
        <w:t>relapse-free survival</w:t>
      </w:r>
      <w:r w:rsidR="00B3044A">
        <w:rPr>
          <w:rFonts w:ascii="Times New Roman" w:hAnsi="Times New Roman" w:cs="Times New Roman"/>
          <w:sz w:val="24"/>
          <w:szCs w:val="24"/>
        </w:rPr>
        <w:t xml:space="preserve"> in the TCGA </w:t>
      </w:r>
      <w:r w:rsidR="00997984">
        <w:rPr>
          <w:rFonts w:ascii="Times New Roman" w:hAnsi="Times New Roman" w:cs="Times New Roman"/>
          <w:sz w:val="24"/>
          <w:szCs w:val="24"/>
        </w:rPr>
        <w:t xml:space="preserve">and CGGA </w:t>
      </w:r>
      <w:r w:rsidR="00B3044A">
        <w:rPr>
          <w:rFonts w:ascii="Times New Roman" w:hAnsi="Times New Roman" w:cs="Times New Roman"/>
          <w:sz w:val="24"/>
          <w:szCs w:val="24"/>
        </w:rPr>
        <w:t>cohort</w:t>
      </w:r>
      <w:r w:rsidR="00997984">
        <w:rPr>
          <w:rFonts w:ascii="Times New Roman" w:hAnsi="Times New Roman" w:cs="Times New Roman"/>
          <w:sz w:val="24"/>
          <w:szCs w:val="24"/>
        </w:rPr>
        <w:t>s</w:t>
      </w:r>
      <w:r w:rsidR="00B3044A" w:rsidRPr="00CE57B0">
        <w:rPr>
          <w:rFonts w:ascii="Times New Roman" w:hAnsi="Times New Roman" w:cs="Times New Roman"/>
          <w:sz w:val="24"/>
          <w:szCs w:val="24"/>
        </w:rPr>
        <w:t>.</w:t>
      </w:r>
      <w:r w:rsidR="00B3044A">
        <w:rPr>
          <w:rFonts w:ascii="Times New Roman" w:hAnsi="Times New Roman" w:cs="Times New Roman"/>
          <w:sz w:val="24"/>
          <w:szCs w:val="24"/>
        </w:rPr>
        <w:t xml:space="preserve"> C</w:t>
      </w:r>
      <w:r w:rsidR="00B3044A" w:rsidRPr="000A7A4F">
        <w:rPr>
          <w:rFonts w:ascii="Times New Roman" w:hAnsi="Times New Roman" w:cs="Times New Roman"/>
          <w:sz w:val="24"/>
          <w:szCs w:val="24"/>
        </w:rPr>
        <w:t xml:space="preserve">. </w:t>
      </w:r>
      <w:r w:rsidR="00B3044A" w:rsidRPr="000A7A4F">
        <w:rPr>
          <w:rFonts w:ascii="Times New Roman" w:hAnsi="Times New Roman" w:cs="Times New Roman" w:hint="eastAsia"/>
          <w:sz w:val="24"/>
          <w:szCs w:val="24"/>
        </w:rPr>
        <w:t>The</w:t>
      </w:r>
      <w:r w:rsidR="00B3044A" w:rsidRPr="000A7A4F">
        <w:rPr>
          <w:rFonts w:ascii="Times New Roman" w:hAnsi="Times New Roman" w:cs="Times New Roman"/>
          <w:sz w:val="24"/>
          <w:szCs w:val="24"/>
        </w:rPr>
        <w:t xml:space="preserve"> ROC plot for the nomogram in predicting </w:t>
      </w:r>
      <w:r w:rsidR="00B3044A" w:rsidRPr="00CE57B0">
        <w:rPr>
          <w:rFonts w:ascii="Times New Roman" w:hAnsi="Times New Roman" w:cs="Times New Roman"/>
          <w:sz w:val="24"/>
          <w:szCs w:val="24"/>
        </w:rPr>
        <w:t xml:space="preserve">3-year and 5-year </w:t>
      </w:r>
      <w:r w:rsidR="00700D05">
        <w:rPr>
          <w:rFonts w:ascii="Times New Roman" w:hAnsi="Times New Roman" w:cs="Times New Roman"/>
          <w:sz w:val="24"/>
          <w:szCs w:val="24"/>
        </w:rPr>
        <w:t xml:space="preserve">relapse-free </w:t>
      </w:r>
      <w:r w:rsidR="00B3044A" w:rsidRPr="00CE57B0">
        <w:rPr>
          <w:rFonts w:ascii="Times New Roman" w:hAnsi="Times New Roman" w:cs="Times New Roman"/>
          <w:sz w:val="24"/>
          <w:szCs w:val="24"/>
        </w:rPr>
        <w:t>survival</w:t>
      </w:r>
      <w:r w:rsidR="00B3044A">
        <w:rPr>
          <w:rFonts w:ascii="Times New Roman" w:hAnsi="Times New Roman" w:cs="Times New Roman"/>
          <w:sz w:val="24"/>
          <w:szCs w:val="24"/>
        </w:rPr>
        <w:t xml:space="preserve"> in the </w:t>
      </w:r>
      <w:r w:rsidR="003C4953">
        <w:rPr>
          <w:rFonts w:ascii="Times New Roman" w:hAnsi="Times New Roman" w:cs="Times New Roman"/>
          <w:sz w:val="24"/>
          <w:szCs w:val="24"/>
        </w:rPr>
        <w:t>TCGA</w:t>
      </w:r>
      <w:r w:rsidR="00B3044A">
        <w:rPr>
          <w:rFonts w:ascii="Times New Roman" w:hAnsi="Times New Roman" w:cs="Times New Roman"/>
          <w:sz w:val="24"/>
          <w:szCs w:val="24"/>
        </w:rPr>
        <w:t xml:space="preserve"> cohort</w:t>
      </w:r>
      <w:r w:rsidR="00B3044A" w:rsidRPr="00CE57B0">
        <w:rPr>
          <w:rFonts w:ascii="Times New Roman" w:hAnsi="Times New Roman" w:cs="Times New Roman"/>
          <w:sz w:val="24"/>
          <w:szCs w:val="24"/>
        </w:rPr>
        <w:t>.</w:t>
      </w:r>
      <w:r w:rsidR="003C4953">
        <w:rPr>
          <w:rFonts w:ascii="Times New Roman" w:hAnsi="Times New Roman" w:cs="Times New Roman"/>
          <w:sz w:val="24"/>
          <w:szCs w:val="24"/>
        </w:rPr>
        <w:t xml:space="preserve"> D. </w:t>
      </w:r>
      <w:r w:rsidR="003C4953" w:rsidRPr="000A7A4F">
        <w:rPr>
          <w:rFonts w:ascii="Times New Roman" w:hAnsi="Times New Roman" w:cs="Times New Roman" w:hint="eastAsia"/>
          <w:sz w:val="24"/>
          <w:szCs w:val="24"/>
        </w:rPr>
        <w:t>The</w:t>
      </w:r>
      <w:r w:rsidR="003C4953" w:rsidRPr="000A7A4F">
        <w:rPr>
          <w:rFonts w:ascii="Times New Roman" w:hAnsi="Times New Roman" w:cs="Times New Roman"/>
          <w:sz w:val="24"/>
          <w:szCs w:val="24"/>
        </w:rPr>
        <w:t xml:space="preserve"> ROC plot for the nomogram in predicting </w:t>
      </w:r>
      <w:r w:rsidR="003C4953" w:rsidRPr="00CE57B0">
        <w:rPr>
          <w:rFonts w:ascii="Times New Roman" w:hAnsi="Times New Roman" w:cs="Times New Roman"/>
          <w:sz w:val="24"/>
          <w:szCs w:val="24"/>
        </w:rPr>
        <w:t xml:space="preserve">3-year and 5-year </w:t>
      </w:r>
      <w:r w:rsidR="00700D05">
        <w:rPr>
          <w:rFonts w:ascii="Times New Roman" w:hAnsi="Times New Roman" w:cs="Times New Roman"/>
          <w:sz w:val="24"/>
          <w:szCs w:val="24"/>
        </w:rPr>
        <w:t xml:space="preserve">relapse-free </w:t>
      </w:r>
      <w:r w:rsidR="003C4953" w:rsidRPr="00CE57B0">
        <w:rPr>
          <w:rFonts w:ascii="Times New Roman" w:hAnsi="Times New Roman" w:cs="Times New Roman"/>
          <w:sz w:val="24"/>
          <w:szCs w:val="24"/>
        </w:rPr>
        <w:t>survival</w:t>
      </w:r>
      <w:r w:rsidR="003C4953">
        <w:rPr>
          <w:rFonts w:ascii="Times New Roman" w:hAnsi="Times New Roman" w:cs="Times New Roman"/>
          <w:sz w:val="24"/>
          <w:szCs w:val="24"/>
        </w:rPr>
        <w:t xml:space="preserve"> in the CGGA cohort</w:t>
      </w:r>
      <w:r w:rsidR="003C4953" w:rsidRPr="00CE57B0">
        <w:rPr>
          <w:rFonts w:ascii="Times New Roman" w:hAnsi="Times New Roman" w:cs="Times New Roman"/>
          <w:sz w:val="24"/>
          <w:szCs w:val="24"/>
        </w:rPr>
        <w:t>.</w:t>
      </w:r>
    </w:p>
    <w:p w14:paraId="247C602C" w14:textId="1E514E4F" w:rsidR="00A02EAD" w:rsidRPr="00B3044A" w:rsidRDefault="00A02EAD"/>
    <w:sectPr w:rsidR="00A02EAD" w:rsidRPr="00B3044A" w:rsidSect="0078716F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E1C2B" w14:textId="77777777" w:rsidR="006843A9" w:rsidRDefault="006843A9" w:rsidP="000C41CA">
      <w:r>
        <w:separator/>
      </w:r>
    </w:p>
  </w:endnote>
  <w:endnote w:type="continuationSeparator" w:id="0">
    <w:p w14:paraId="056C2867" w14:textId="77777777" w:rsidR="006843A9" w:rsidRDefault="006843A9" w:rsidP="000C4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3729D" w14:textId="77777777" w:rsidR="006843A9" w:rsidRDefault="006843A9" w:rsidP="000C41CA">
      <w:r>
        <w:separator/>
      </w:r>
    </w:p>
  </w:footnote>
  <w:footnote w:type="continuationSeparator" w:id="0">
    <w:p w14:paraId="751CBFED" w14:textId="77777777" w:rsidR="006843A9" w:rsidRDefault="006843A9" w:rsidP="000C41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7D8"/>
    <w:rsid w:val="000C41CA"/>
    <w:rsid w:val="00310F46"/>
    <w:rsid w:val="003C4953"/>
    <w:rsid w:val="006843A9"/>
    <w:rsid w:val="00700D05"/>
    <w:rsid w:val="0096120B"/>
    <w:rsid w:val="00997984"/>
    <w:rsid w:val="00A02EAD"/>
    <w:rsid w:val="00B3044A"/>
    <w:rsid w:val="00B3564E"/>
    <w:rsid w:val="00CF5E52"/>
    <w:rsid w:val="00D14CBD"/>
    <w:rsid w:val="00DE7479"/>
    <w:rsid w:val="00ED5A6E"/>
    <w:rsid w:val="00EE1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10A433"/>
  <w15:chartTrackingRefBased/>
  <w15:docId w15:val="{9FD70147-6D60-4B7A-B3C7-927BBB4B2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1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41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41C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41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41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8E7B9-1FD5-442F-A100-54E05CA4F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388</Words>
  <Characters>2216</Characters>
  <Application>Microsoft Office Word</Application>
  <DocSecurity>0</DocSecurity>
  <Lines>18</Lines>
  <Paragraphs>5</Paragraphs>
  <ScaleCrop>false</ScaleCrop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佳</dc:creator>
  <cp:keywords/>
  <dc:description/>
  <cp:lastModifiedBy>李 佳</cp:lastModifiedBy>
  <cp:revision>11</cp:revision>
  <dcterms:created xsi:type="dcterms:W3CDTF">2021-02-17T15:10:00Z</dcterms:created>
  <dcterms:modified xsi:type="dcterms:W3CDTF">2021-07-31T13:29:00Z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http://www.zotero.org/styles/bmc-medical-genomics</vt:lpwstr>
  </property>
  <property fmtid="{D5CDD505-2E9C-101B-9397-08002B2CF9AE}" pid="5" name="Mendeley Recent Style Name 1_1">
    <vt:lpwstr>BMC Medical Genomics</vt:lpwstr>
  </property>
  <property fmtid="{D5CDD505-2E9C-101B-9397-08002B2CF9AE}" pid="6" name="Mendeley Recent Style Id 2_1">
    <vt:lpwstr>http://www.zotero.org/styles/cancer-cell-international</vt:lpwstr>
  </property>
  <property fmtid="{D5CDD505-2E9C-101B-9397-08002B2CF9AE}" pid="7" name="Mendeley Recent Style Name 2_1">
    <vt:lpwstr>Cancer Cell International</vt:lpwstr>
  </property>
  <property fmtid="{D5CDD505-2E9C-101B-9397-08002B2CF9AE}" pid="8" name="Mendeley Recent Style Id 3_1">
    <vt:lpwstr>http://www.zotero.org/styles/frontiers-in-genetics</vt:lpwstr>
  </property>
  <property fmtid="{D5CDD505-2E9C-101B-9397-08002B2CF9AE}" pid="9" name="Mendeley Recent Style Name 3_1">
    <vt:lpwstr>Frontiers in Genetics</vt:lpwstr>
  </property>
  <property fmtid="{D5CDD505-2E9C-101B-9397-08002B2CF9AE}" pid="10" name="Mendeley Recent Style Id 4_1">
    <vt:lpwstr>http://www.zotero.org/styles/future-oncology</vt:lpwstr>
  </property>
  <property fmtid="{D5CDD505-2E9C-101B-9397-08002B2CF9AE}" pid="11" name="Mendeley Recent Style Name 4_1">
    <vt:lpwstr>Future Oncology</vt:lpwstr>
  </property>
  <property fmtid="{D5CDD505-2E9C-101B-9397-08002B2CF9AE}" pid="12" name="Mendeley Recent Style Id 5_1">
    <vt:lpwstr>http://www.zotero.org/styles/genetics-in-medicine</vt:lpwstr>
  </property>
  <property fmtid="{D5CDD505-2E9C-101B-9397-08002B2CF9AE}" pid="13" name="Mendeley Recent Style Name 5_1">
    <vt:lpwstr>Genetics in Medicine</vt:lpwstr>
  </property>
  <property fmtid="{D5CDD505-2E9C-101B-9397-08002B2CF9AE}" pid="14" name="Mendeley Recent Style Id 6_1">
    <vt:lpwstr>http://www.zotero.org/styles/journal-of-clinical-pathology</vt:lpwstr>
  </property>
  <property fmtid="{D5CDD505-2E9C-101B-9397-08002B2CF9AE}" pid="15" name="Mendeley Recent Style Name 6_1">
    <vt:lpwstr>Journal of Clinical Pathology</vt:lpwstr>
  </property>
  <property fmtid="{D5CDD505-2E9C-101B-9397-08002B2CF9AE}" pid="16" name="Mendeley Recent Style Id 7_1">
    <vt:lpwstr>http://www.zotero.org/styles/national-library-of-medicine</vt:lpwstr>
  </property>
  <property fmtid="{D5CDD505-2E9C-101B-9397-08002B2CF9AE}" pid="17" name="Mendeley Recent Style Name 7_1">
    <vt:lpwstr>National Library of Medicine</vt:lpwstr>
  </property>
  <property fmtid="{D5CDD505-2E9C-101B-9397-08002B2CF9AE}" pid="18" name="Mendeley Recent Style Id 8_1">
    <vt:lpwstr>http://www.zotero.org/styles/oncology-letters</vt:lpwstr>
  </property>
  <property fmtid="{D5CDD505-2E9C-101B-9397-08002B2CF9AE}" pid="19" name="Mendeley Recent Style Name 8_1">
    <vt:lpwstr>Oncology Letters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