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C57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2378BDCC">
      <w:pPr>
        <w:rPr>
          <w:rFonts w:hint="eastAsia"/>
          <w:lang w:val="en-US" w:eastAsia="zh-CN"/>
        </w:rPr>
      </w:pPr>
      <w:bookmarkStart w:id="1" w:name="_GoBack"/>
      <w:bookmarkEnd w:id="1"/>
    </w:p>
    <w:p w14:paraId="1A137200">
      <w:pPr>
        <w:rPr>
          <w:rFonts w:hint="eastAsia"/>
          <w:lang w:val="en-US" w:eastAsia="zh-CN"/>
        </w:rPr>
      </w:pPr>
    </w:p>
    <w:p w14:paraId="0EFE01C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Appendix 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Chi-square test for p</w:t>
      </w:r>
      <w:r>
        <w:rPr>
          <w:rFonts w:hint="default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reference differences between Zhejiang Province and Shandong Province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.</w:t>
      </w:r>
    </w:p>
    <w:p w14:paraId="3722B66A">
      <w:pPr>
        <w:rPr>
          <w:rFonts w:hint="default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2266"/>
        <w:gridCol w:w="1230"/>
        <w:gridCol w:w="1285"/>
        <w:gridCol w:w="722"/>
        <w:gridCol w:w="794"/>
        <w:gridCol w:w="899"/>
      </w:tblGrid>
      <w:tr w14:paraId="1AE3BA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12" w:space="0"/>
              <w:bottom w:val="single" w:color="auto" w:sz="4" w:space="0"/>
            </w:tcBorders>
          </w:tcPr>
          <w:p w14:paraId="336D7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bookmarkStart w:id="0" w:name="_Hlk201769605"/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Preferences</w:t>
            </w:r>
          </w:p>
        </w:tc>
        <w:tc>
          <w:tcPr>
            <w:tcW w:w="2266" w:type="dxa"/>
            <w:tcBorders>
              <w:top w:val="single" w:color="auto" w:sz="12" w:space="0"/>
              <w:bottom w:val="single" w:color="auto" w:sz="4" w:space="0"/>
            </w:tcBorders>
          </w:tcPr>
          <w:p w14:paraId="09669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Response</w:t>
            </w:r>
          </w:p>
        </w:tc>
        <w:tc>
          <w:tcPr>
            <w:tcW w:w="1230" w:type="dxa"/>
            <w:tcBorders>
              <w:top w:val="single" w:color="auto" w:sz="12" w:space="0"/>
              <w:bottom w:val="single" w:color="auto" w:sz="4" w:space="0"/>
            </w:tcBorders>
          </w:tcPr>
          <w:p w14:paraId="3F165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Zhejiang</w:t>
            </w:r>
          </w:p>
        </w:tc>
        <w:tc>
          <w:tcPr>
            <w:tcW w:w="1285" w:type="dxa"/>
            <w:tcBorders>
              <w:top w:val="single" w:color="auto" w:sz="12" w:space="0"/>
              <w:bottom w:val="single" w:color="auto" w:sz="4" w:space="0"/>
            </w:tcBorders>
          </w:tcPr>
          <w:p w14:paraId="568E9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Shandong</w:t>
            </w:r>
          </w:p>
        </w:tc>
        <w:tc>
          <w:tcPr>
            <w:tcW w:w="722" w:type="dxa"/>
            <w:tcBorders>
              <w:top w:val="single" w:color="auto" w:sz="12" w:space="0"/>
              <w:bottom w:val="single" w:color="auto" w:sz="4" w:space="0"/>
            </w:tcBorders>
          </w:tcPr>
          <w:p w14:paraId="38958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Total </w:t>
            </w:r>
          </w:p>
        </w:tc>
        <w:tc>
          <w:tcPr>
            <w:tcW w:w="794" w:type="dxa"/>
            <w:tcBorders>
              <w:top w:val="single" w:color="auto" w:sz="12" w:space="0"/>
              <w:bottom w:val="single" w:color="auto" w:sz="4" w:space="0"/>
            </w:tcBorders>
          </w:tcPr>
          <w:p w14:paraId="5C2ED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</w:rPr>
              <w:t>X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auto" w:sz="12" w:space="0"/>
              <w:bottom w:val="single" w:color="auto" w:sz="4" w:space="0"/>
            </w:tcBorders>
          </w:tcPr>
          <w:p w14:paraId="0B1760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</w:tr>
      <w:tr w14:paraId="283B9C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  <w:tcBorders>
              <w:top w:val="single" w:color="auto" w:sz="4" w:space="0"/>
            </w:tcBorders>
          </w:tcPr>
          <w:p w14:paraId="2D79F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Green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sapce </w:t>
            </w:r>
            <w:r>
              <w:rPr>
                <w:rFonts w:hint="eastAsia" w:ascii="Times New Roman" w:hAnsi="Times New Roman" w:cs="Times New Roman"/>
                <w:szCs w:val="21"/>
              </w:rPr>
              <w:t>area</w:t>
            </w:r>
          </w:p>
        </w:tc>
        <w:tc>
          <w:tcPr>
            <w:tcW w:w="2266" w:type="dxa"/>
            <w:tcBorders>
              <w:top w:val="single" w:color="auto" w:sz="4" w:space="0"/>
            </w:tcBorders>
          </w:tcPr>
          <w:p w14:paraId="3B09F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Without greenery</w:t>
            </w:r>
          </w:p>
        </w:tc>
        <w:tc>
          <w:tcPr>
            <w:tcW w:w="1230" w:type="dxa"/>
            <w:tcBorders>
              <w:top w:val="single" w:color="auto" w:sz="4" w:space="0"/>
            </w:tcBorders>
          </w:tcPr>
          <w:p w14:paraId="099EC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</w:tcBorders>
          </w:tcPr>
          <w:p w14:paraId="2C565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23</w:t>
            </w:r>
          </w:p>
        </w:tc>
        <w:tc>
          <w:tcPr>
            <w:tcW w:w="722" w:type="dxa"/>
            <w:tcBorders>
              <w:top w:val="single" w:color="auto" w:sz="4" w:space="0"/>
            </w:tcBorders>
          </w:tcPr>
          <w:p w14:paraId="0661F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</w:t>
            </w:r>
          </w:p>
        </w:tc>
        <w:tc>
          <w:tcPr>
            <w:tcW w:w="794" w:type="dxa"/>
            <w:vMerge w:val="restart"/>
            <w:tcBorders>
              <w:top w:val="single" w:color="auto" w:sz="4" w:space="0"/>
            </w:tcBorders>
          </w:tcPr>
          <w:p w14:paraId="789D2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38.567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</w:tcBorders>
          </w:tcPr>
          <w:p w14:paraId="4030B9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5A2AE2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11E54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24669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1/4 of the total space</w:t>
            </w:r>
          </w:p>
        </w:tc>
        <w:tc>
          <w:tcPr>
            <w:tcW w:w="1230" w:type="dxa"/>
          </w:tcPr>
          <w:p w14:paraId="0EF7A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1285" w:type="dxa"/>
          </w:tcPr>
          <w:p w14:paraId="4D661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</w:t>
            </w:r>
          </w:p>
        </w:tc>
        <w:tc>
          <w:tcPr>
            <w:tcW w:w="722" w:type="dxa"/>
          </w:tcPr>
          <w:p w14:paraId="61297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61</w:t>
            </w:r>
          </w:p>
        </w:tc>
        <w:tc>
          <w:tcPr>
            <w:tcW w:w="794" w:type="dxa"/>
            <w:vMerge w:val="continue"/>
          </w:tcPr>
          <w:p w14:paraId="0E831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57079D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466084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3A3E2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7E7EF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Half of the total space</w:t>
            </w:r>
          </w:p>
        </w:tc>
        <w:tc>
          <w:tcPr>
            <w:tcW w:w="1230" w:type="dxa"/>
          </w:tcPr>
          <w:p w14:paraId="6777B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</w:t>
            </w:r>
          </w:p>
        </w:tc>
        <w:tc>
          <w:tcPr>
            <w:tcW w:w="1285" w:type="dxa"/>
          </w:tcPr>
          <w:p w14:paraId="7727A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26</w:t>
            </w:r>
          </w:p>
        </w:tc>
        <w:tc>
          <w:tcPr>
            <w:tcW w:w="722" w:type="dxa"/>
          </w:tcPr>
          <w:p w14:paraId="471784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80</w:t>
            </w:r>
          </w:p>
        </w:tc>
        <w:tc>
          <w:tcPr>
            <w:tcW w:w="794" w:type="dxa"/>
            <w:vMerge w:val="continue"/>
          </w:tcPr>
          <w:p w14:paraId="6C3FE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6BC02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1B43C1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7FC7DE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1B61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Greenery fills the entire space</w:t>
            </w:r>
          </w:p>
        </w:tc>
        <w:tc>
          <w:tcPr>
            <w:tcW w:w="1230" w:type="dxa"/>
          </w:tcPr>
          <w:p w14:paraId="32231B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38</w:t>
            </w:r>
          </w:p>
        </w:tc>
        <w:tc>
          <w:tcPr>
            <w:tcW w:w="1285" w:type="dxa"/>
          </w:tcPr>
          <w:p w14:paraId="07E7D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</w:p>
        </w:tc>
        <w:tc>
          <w:tcPr>
            <w:tcW w:w="722" w:type="dxa"/>
          </w:tcPr>
          <w:p w14:paraId="63400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63</w:t>
            </w:r>
          </w:p>
        </w:tc>
        <w:tc>
          <w:tcPr>
            <w:tcW w:w="794" w:type="dxa"/>
            <w:vMerge w:val="continue"/>
          </w:tcPr>
          <w:p w14:paraId="295B97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39BCC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5E8C3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4B8BC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Plant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ig </w:t>
            </w:r>
            <w:r>
              <w:rPr>
                <w:rFonts w:hint="eastAsia" w:ascii="Times New Roman" w:hAnsi="Times New Roman" w:cs="Times New Roman"/>
                <w:szCs w:val="21"/>
              </w:rPr>
              <w:t>enclosure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structure</w:t>
            </w:r>
          </w:p>
        </w:tc>
        <w:tc>
          <w:tcPr>
            <w:tcW w:w="2266" w:type="dxa"/>
          </w:tcPr>
          <w:p w14:paraId="4BA27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One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side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szCs w:val="21"/>
              </w:rPr>
              <w:t xml:space="preserve"> enclos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ure</w:t>
            </w:r>
          </w:p>
        </w:tc>
        <w:tc>
          <w:tcPr>
            <w:tcW w:w="1230" w:type="dxa"/>
          </w:tcPr>
          <w:p w14:paraId="3360E5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1285" w:type="dxa"/>
          </w:tcPr>
          <w:p w14:paraId="2747D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722" w:type="dxa"/>
          </w:tcPr>
          <w:p w14:paraId="09E46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</w:t>
            </w:r>
          </w:p>
        </w:tc>
        <w:tc>
          <w:tcPr>
            <w:tcW w:w="794" w:type="dxa"/>
            <w:vMerge w:val="restart"/>
          </w:tcPr>
          <w:p w14:paraId="19F69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4.405</w:t>
            </w:r>
          </w:p>
        </w:tc>
        <w:tc>
          <w:tcPr>
            <w:tcW w:w="899" w:type="dxa"/>
            <w:vMerge w:val="restart"/>
          </w:tcPr>
          <w:p w14:paraId="2526DA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0.221</w:t>
            </w:r>
          </w:p>
        </w:tc>
      </w:tr>
      <w:tr w14:paraId="133E2A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445E80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787A3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Two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side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szCs w:val="21"/>
              </w:rPr>
              <w:t xml:space="preserve"> enclos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ure</w:t>
            </w:r>
          </w:p>
        </w:tc>
        <w:tc>
          <w:tcPr>
            <w:tcW w:w="1230" w:type="dxa"/>
          </w:tcPr>
          <w:p w14:paraId="03A554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</w:t>
            </w:r>
          </w:p>
        </w:tc>
        <w:tc>
          <w:tcPr>
            <w:tcW w:w="1285" w:type="dxa"/>
          </w:tcPr>
          <w:p w14:paraId="789A63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722" w:type="dxa"/>
          </w:tcPr>
          <w:p w14:paraId="55DEE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50</w:t>
            </w:r>
          </w:p>
        </w:tc>
        <w:tc>
          <w:tcPr>
            <w:tcW w:w="794" w:type="dxa"/>
            <w:vMerge w:val="continue"/>
          </w:tcPr>
          <w:p w14:paraId="64684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0F1AD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0E587C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5303E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5804F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Three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side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szCs w:val="21"/>
              </w:rPr>
              <w:t xml:space="preserve"> enclos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ure</w:t>
            </w:r>
          </w:p>
        </w:tc>
        <w:tc>
          <w:tcPr>
            <w:tcW w:w="1230" w:type="dxa"/>
          </w:tcPr>
          <w:p w14:paraId="5209BC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</w:t>
            </w:r>
          </w:p>
        </w:tc>
        <w:tc>
          <w:tcPr>
            <w:tcW w:w="1285" w:type="dxa"/>
          </w:tcPr>
          <w:p w14:paraId="5AA21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56</w:t>
            </w:r>
          </w:p>
        </w:tc>
        <w:tc>
          <w:tcPr>
            <w:tcW w:w="722" w:type="dxa"/>
          </w:tcPr>
          <w:p w14:paraId="17C7A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102</w:t>
            </w:r>
          </w:p>
        </w:tc>
        <w:tc>
          <w:tcPr>
            <w:tcW w:w="794" w:type="dxa"/>
            <w:vMerge w:val="continue"/>
          </w:tcPr>
          <w:p w14:paraId="62372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78451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3E5C4A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73BCF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47BE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Fully enclosed planting</w:t>
            </w:r>
          </w:p>
        </w:tc>
        <w:tc>
          <w:tcPr>
            <w:tcW w:w="1230" w:type="dxa"/>
          </w:tcPr>
          <w:p w14:paraId="1065C3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</w:t>
            </w:r>
          </w:p>
        </w:tc>
        <w:tc>
          <w:tcPr>
            <w:tcW w:w="1285" w:type="dxa"/>
          </w:tcPr>
          <w:p w14:paraId="2AFA8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</w:t>
            </w:r>
          </w:p>
        </w:tc>
        <w:tc>
          <w:tcPr>
            <w:tcW w:w="722" w:type="dxa"/>
          </w:tcPr>
          <w:p w14:paraId="68A0F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36</w:t>
            </w:r>
          </w:p>
        </w:tc>
        <w:tc>
          <w:tcPr>
            <w:tcW w:w="794" w:type="dxa"/>
            <w:vMerge w:val="continue"/>
          </w:tcPr>
          <w:p w14:paraId="01D08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36D90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7B6407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78E32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Plant color</w:t>
            </w:r>
          </w:p>
        </w:tc>
        <w:tc>
          <w:tcPr>
            <w:tcW w:w="2266" w:type="dxa"/>
          </w:tcPr>
          <w:p w14:paraId="3EB47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No </w:t>
            </w:r>
            <w:r>
              <w:rPr>
                <w:rFonts w:hint="eastAsia" w:ascii="Times New Roman" w:hAnsi="Times New Roman"/>
                <w:szCs w:val="21"/>
              </w:rPr>
              <w:t>additional color</w:t>
            </w:r>
          </w:p>
        </w:tc>
        <w:tc>
          <w:tcPr>
            <w:tcW w:w="1230" w:type="dxa"/>
          </w:tcPr>
          <w:p w14:paraId="2CF233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  <w:tc>
          <w:tcPr>
            <w:tcW w:w="1285" w:type="dxa"/>
          </w:tcPr>
          <w:p w14:paraId="629BF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</w:t>
            </w:r>
          </w:p>
        </w:tc>
        <w:tc>
          <w:tcPr>
            <w:tcW w:w="722" w:type="dxa"/>
          </w:tcPr>
          <w:p w14:paraId="14EC4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</w:t>
            </w:r>
          </w:p>
        </w:tc>
        <w:tc>
          <w:tcPr>
            <w:tcW w:w="794" w:type="dxa"/>
            <w:vMerge w:val="restart"/>
          </w:tcPr>
          <w:p w14:paraId="466A8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35.947</w:t>
            </w:r>
          </w:p>
        </w:tc>
        <w:tc>
          <w:tcPr>
            <w:tcW w:w="899" w:type="dxa"/>
            <w:vMerge w:val="restart"/>
          </w:tcPr>
          <w:p w14:paraId="7F124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03A1E2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478B0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CCA2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Warm colors</w:t>
            </w:r>
          </w:p>
        </w:tc>
        <w:tc>
          <w:tcPr>
            <w:tcW w:w="1230" w:type="dxa"/>
          </w:tcPr>
          <w:p w14:paraId="32CA1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43</w:t>
            </w:r>
          </w:p>
        </w:tc>
        <w:tc>
          <w:tcPr>
            <w:tcW w:w="1285" w:type="dxa"/>
          </w:tcPr>
          <w:p w14:paraId="0E7C5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26</w:t>
            </w:r>
          </w:p>
        </w:tc>
        <w:tc>
          <w:tcPr>
            <w:tcW w:w="722" w:type="dxa"/>
          </w:tcPr>
          <w:p w14:paraId="53F461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69</w:t>
            </w:r>
          </w:p>
        </w:tc>
        <w:tc>
          <w:tcPr>
            <w:tcW w:w="794" w:type="dxa"/>
            <w:vMerge w:val="continue"/>
          </w:tcPr>
          <w:p w14:paraId="615BB8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16D4FA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197C43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747DA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13F33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Cool colors</w:t>
            </w:r>
          </w:p>
        </w:tc>
        <w:tc>
          <w:tcPr>
            <w:tcW w:w="1230" w:type="dxa"/>
          </w:tcPr>
          <w:p w14:paraId="749B9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</w:t>
            </w:r>
          </w:p>
        </w:tc>
        <w:tc>
          <w:tcPr>
            <w:tcW w:w="1285" w:type="dxa"/>
          </w:tcPr>
          <w:p w14:paraId="11312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722" w:type="dxa"/>
          </w:tcPr>
          <w:p w14:paraId="25DBA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62</w:t>
            </w:r>
          </w:p>
        </w:tc>
        <w:tc>
          <w:tcPr>
            <w:tcW w:w="794" w:type="dxa"/>
            <w:vMerge w:val="continue"/>
          </w:tcPr>
          <w:p w14:paraId="77581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09DDB5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481331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4F293E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7C416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Neutral colors</w:t>
            </w:r>
          </w:p>
        </w:tc>
        <w:tc>
          <w:tcPr>
            <w:tcW w:w="1230" w:type="dxa"/>
          </w:tcPr>
          <w:p w14:paraId="74345D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</w:t>
            </w:r>
          </w:p>
        </w:tc>
        <w:tc>
          <w:tcPr>
            <w:tcW w:w="1285" w:type="dxa"/>
          </w:tcPr>
          <w:p w14:paraId="18041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722" w:type="dxa"/>
          </w:tcPr>
          <w:p w14:paraId="702EA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51</w:t>
            </w:r>
          </w:p>
        </w:tc>
        <w:tc>
          <w:tcPr>
            <w:tcW w:w="794" w:type="dxa"/>
            <w:vMerge w:val="continue"/>
          </w:tcPr>
          <w:p w14:paraId="4A19C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5987C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7A3845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7BC58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Plant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ing structure</w:t>
            </w:r>
          </w:p>
        </w:tc>
        <w:tc>
          <w:tcPr>
            <w:tcW w:w="2266" w:type="dxa"/>
          </w:tcPr>
          <w:p w14:paraId="3FAB5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Extensive lawn area</w:t>
            </w:r>
          </w:p>
        </w:tc>
        <w:tc>
          <w:tcPr>
            <w:tcW w:w="1230" w:type="dxa"/>
          </w:tcPr>
          <w:p w14:paraId="2AF93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</w:p>
        </w:tc>
        <w:tc>
          <w:tcPr>
            <w:tcW w:w="1285" w:type="dxa"/>
          </w:tcPr>
          <w:p w14:paraId="367E7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722" w:type="dxa"/>
          </w:tcPr>
          <w:p w14:paraId="2DE37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</w:t>
            </w:r>
          </w:p>
        </w:tc>
        <w:tc>
          <w:tcPr>
            <w:tcW w:w="794" w:type="dxa"/>
            <w:vMerge w:val="restart"/>
          </w:tcPr>
          <w:p w14:paraId="0A641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9.985</w:t>
            </w:r>
          </w:p>
        </w:tc>
        <w:tc>
          <w:tcPr>
            <w:tcW w:w="899" w:type="dxa"/>
            <w:vMerge w:val="restart"/>
          </w:tcPr>
          <w:p w14:paraId="3C509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0.019*</w:t>
            </w:r>
          </w:p>
        </w:tc>
      </w:tr>
      <w:tr w14:paraId="11A561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5BC8B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F048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Trees</w:t>
            </w:r>
          </w:p>
        </w:tc>
        <w:tc>
          <w:tcPr>
            <w:tcW w:w="1230" w:type="dxa"/>
          </w:tcPr>
          <w:p w14:paraId="2C57E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23</w:t>
            </w:r>
          </w:p>
        </w:tc>
        <w:tc>
          <w:tcPr>
            <w:tcW w:w="1285" w:type="dxa"/>
          </w:tcPr>
          <w:p w14:paraId="42B1B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</w:t>
            </w:r>
          </w:p>
        </w:tc>
        <w:tc>
          <w:tcPr>
            <w:tcW w:w="722" w:type="dxa"/>
          </w:tcPr>
          <w:p w14:paraId="3806F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</w:t>
            </w:r>
          </w:p>
        </w:tc>
        <w:tc>
          <w:tcPr>
            <w:tcW w:w="794" w:type="dxa"/>
            <w:vMerge w:val="continue"/>
          </w:tcPr>
          <w:p w14:paraId="7EA7F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0E05D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565783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108EA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4AD72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Trees and shrubs</w:t>
            </w:r>
          </w:p>
        </w:tc>
        <w:tc>
          <w:tcPr>
            <w:tcW w:w="1230" w:type="dxa"/>
          </w:tcPr>
          <w:p w14:paraId="3A775B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32</w:t>
            </w:r>
          </w:p>
        </w:tc>
        <w:tc>
          <w:tcPr>
            <w:tcW w:w="1285" w:type="dxa"/>
          </w:tcPr>
          <w:p w14:paraId="0FFA3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722" w:type="dxa"/>
          </w:tcPr>
          <w:p w14:paraId="0E3BD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51</w:t>
            </w:r>
          </w:p>
        </w:tc>
        <w:tc>
          <w:tcPr>
            <w:tcW w:w="794" w:type="dxa"/>
            <w:vMerge w:val="continue"/>
          </w:tcPr>
          <w:p w14:paraId="292C4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22DEB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41447D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76623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1631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Trees, shrubs and ground cover plants</w:t>
            </w:r>
          </w:p>
        </w:tc>
        <w:tc>
          <w:tcPr>
            <w:tcW w:w="1230" w:type="dxa"/>
          </w:tcPr>
          <w:p w14:paraId="40A56B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51</w:t>
            </w:r>
          </w:p>
        </w:tc>
        <w:tc>
          <w:tcPr>
            <w:tcW w:w="1285" w:type="dxa"/>
          </w:tcPr>
          <w:p w14:paraId="25140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56</w:t>
            </w:r>
          </w:p>
        </w:tc>
        <w:tc>
          <w:tcPr>
            <w:tcW w:w="722" w:type="dxa"/>
          </w:tcPr>
          <w:p w14:paraId="0D0443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107</w:t>
            </w:r>
          </w:p>
        </w:tc>
        <w:tc>
          <w:tcPr>
            <w:tcW w:w="794" w:type="dxa"/>
            <w:vMerge w:val="continue"/>
          </w:tcPr>
          <w:p w14:paraId="7794D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247BED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5DA366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711C1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Flower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plnting density</w:t>
            </w:r>
          </w:p>
        </w:tc>
        <w:tc>
          <w:tcPr>
            <w:tcW w:w="2266" w:type="dxa"/>
          </w:tcPr>
          <w:p w14:paraId="5EC8D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o flowers</w:t>
            </w:r>
          </w:p>
        </w:tc>
        <w:tc>
          <w:tcPr>
            <w:tcW w:w="1230" w:type="dxa"/>
          </w:tcPr>
          <w:p w14:paraId="59455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  <w:tc>
          <w:tcPr>
            <w:tcW w:w="1285" w:type="dxa"/>
          </w:tcPr>
          <w:p w14:paraId="53D37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</w:t>
            </w:r>
          </w:p>
        </w:tc>
        <w:tc>
          <w:tcPr>
            <w:tcW w:w="722" w:type="dxa"/>
          </w:tcPr>
          <w:p w14:paraId="73D836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</w:t>
            </w:r>
          </w:p>
        </w:tc>
        <w:tc>
          <w:tcPr>
            <w:tcW w:w="794" w:type="dxa"/>
            <w:vMerge w:val="restart"/>
          </w:tcPr>
          <w:p w14:paraId="48BA1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19.291</w:t>
            </w:r>
          </w:p>
        </w:tc>
        <w:tc>
          <w:tcPr>
            <w:tcW w:w="899" w:type="dxa"/>
            <w:vMerge w:val="restart"/>
          </w:tcPr>
          <w:p w14:paraId="2717F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580F7E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60941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2C2D4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parse clusters</w:t>
            </w:r>
          </w:p>
        </w:tc>
        <w:tc>
          <w:tcPr>
            <w:tcW w:w="1230" w:type="dxa"/>
          </w:tcPr>
          <w:p w14:paraId="614B1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</w:p>
        </w:tc>
        <w:tc>
          <w:tcPr>
            <w:tcW w:w="1285" w:type="dxa"/>
          </w:tcPr>
          <w:p w14:paraId="19024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36</w:t>
            </w:r>
          </w:p>
        </w:tc>
        <w:tc>
          <w:tcPr>
            <w:tcW w:w="722" w:type="dxa"/>
          </w:tcPr>
          <w:p w14:paraId="07E88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61</w:t>
            </w:r>
          </w:p>
        </w:tc>
        <w:tc>
          <w:tcPr>
            <w:tcW w:w="794" w:type="dxa"/>
            <w:vMerge w:val="continue"/>
          </w:tcPr>
          <w:p w14:paraId="7F1B9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5FA1A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776D42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656A5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B63E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oderate continuous clusters</w:t>
            </w:r>
          </w:p>
        </w:tc>
        <w:tc>
          <w:tcPr>
            <w:tcW w:w="1230" w:type="dxa"/>
          </w:tcPr>
          <w:p w14:paraId="023527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</w:t>
            </w:r>
          </w:p>
        </w:tc>
        <w:tc>
          <w:tcPr>
            <w:tcW w:w="1285" w:type="dxa"/>
          </w:tcPr>
          <w:p w14:paraId="4C499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722" w:type="dxa"/>
          </w:tcPr>
          <w:p w14:paraId="3DE31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73</w:t>
            </w:r>
          </w:p>
        </w:tc>
        <w:tc>
          <w:tcPr>
            <w:tcW w:w="794" w:type="dxa"/>
            <w:vMerge w:val="continue"/>
          </w:tcPr>
          <w:p w14:paraId="4CBC8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778D0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78B7AC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358DF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22D48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ense continuous clusters</w:t>
            </w:r>
          </w:p>
        </w:tc>
        <w:tc>
          <w:tcPr>
            <w:tcW w:w="1230" w:type="dxa"/>
          </w:tcPr>
          <w:p w14:paraId="4E387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37</w:t>
            </w:r>
          </w:p>
        </w:tc>
        <w:tc>
          <w:tcPr>
            <w:tcW w:w="1285" w:type="dxa"/>
          </w:tcPr>
          <w:p w14:paraId="68157C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722" w:type="dxa"/>
          </w:tcPr>
          <w:p w14:paraId="1B5EDC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64</w:t>
            </w:r>
          </w:p>
        </w:tc>
        <w:tc>
          <w:tcPr>
            <w:tcW w:w="794" w:type="dxa"/>
            <w:vMerge w:val="continue"/>
          </w:tcPr>
          <w:p w14:paraId="2134D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03373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5D01A1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0EC54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Natural shading ratio</w:t>
            </w:r>
          </w:p>
        </w:tc>
        <w:tc>
          <w:tcPr>
            <w:tcW w:w="2266" w:type="dxa"/>
          </w:tcPr>
          <w:p w14:paraId="417C7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Less than 30% </w:t>
            </w:r>
          </w:p>
        </w:tc>
        <w:tc>
          <w:tcPr>
            <w:tcW w:w="1230" w:type="dxa"/>
          </w:tcPr>
          <w:p w14:paraId="60144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1285" w:type="dxa"/>
          </w:tcPr>
          <w:p w14:paraId="05706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722" w:type="dxa"/>
          </w:tcPr>
          <w:p w14:paraId="432C0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23</w:t>
            </w:r>
          </w:p>
        </w:tc>
        <w:tc>
          <w:tcPr>
            <w:tcW w:w="794" w:type="dxa"/>
            <w:vMerge w:val="restart"/>
          </w:tcPr>
          <w:p w14:paraId="0C239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22.416</w:t>
            </w:r>
          </w:p>
        </w:tc>
        <w:tc>
          <w:tcPr>
            <w:tcW w:w="899" w:type="dxa"/>
            <w:vMerge w:val="restart"/>
          </w:tcPr>
          <w:p w14:paraId="4C6BC2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39376C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22ADF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07B9E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Between 30% and 50% </w:t>
            </w:r>
          </w:p>
        </w:tc>
        <w:tc>
          <w:tcPr>
            <w:tcW w:w="1230" w:type="dxa"/>
          </w:tcPr>
          <w:p w14:paraId="00FB8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34</w:t>
            </w:r>
          </w:p>
        </w:tc>
        <w:tc>
          <w:tcPr>
            <w:tcW w:w="1285" w:type="dxa"/>
          </w:tcPr>
          <w:p w14:paraId="4CAE0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722" w:type="dxa"/>
          </w:tcPr>
          <w:p w14:paraId="4C32AA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56</w:t>
            </w:r>
          </w:p>
        </w:tc>
        <w:tc>
          <w:tcPr>
            <w:tcW w:w="794" w:type="dxa"/>
            <w:vMerge w:val="continue"/>
          </w:tcPr>
          <w:p w14:paraId="4EC6C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3A53B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1AC12E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1E5D2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763B7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Between 50% and 70% </w:t>
            </w:r>
          </w:p>
        </w:tc>
        <w:tc>
          <w:tcPr>
            <w:tcW w:w="1230" w:type="dxa"/>
          </w:tcPr>
          <w:p w14:paraId="630A4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52</w:t>
            </w:r>
          </w:p>
        </w:tc>
        <w:tc>
          <w:tcPr>
            <w:tcW w:w="1285" w:type="dxa"/>
          </w:tcPr>
          <w:p w14:paraId="1D53D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48</w:t>
            </w:r>
          </w:p>
        </w:tc>
        <w:tc>
          <w:tcPr>
            <w:tcW w:w="722" w:type="dxa"/>
          </w:tcPr>
          <w:p w14:paraId="35416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</w:t>
            </w:r>
          </w:p>
        </w:tc>
        <w:tc>
          <w:tcPr>
            <w:tcW w:w="794" w:type="dxa"/>
            <w:vMerge w:val="continue"/>
          </w:tcPr>
          <w:p w14:paraId="2962A2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47FB9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333AB8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001A5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0D448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More than 70% </w:t>
            </w:r>
          </w:p>
        </w:tc>
        <w:tc>
          <w:tcPr>
            <w:tcW w:w="1230" w:type="dxa"/>
          </w:tcPr>
          <w:p w14:paraId="19AF6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1285" w:type="dxa"/>
          </w:tcPr>
          <w:p w14:paraId="78AEBB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722" w:type="dxa"/>
          </w:tcPr>
          <w:p w14:paraId="6268C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49</w:t>
            </w:r>
          </w:p>
        </w:tc>
        <w:tc>
          <w:tcPr>
            <w:tcW w:w="794" w:type="dxa"/>
            <w:vMerge w:val="continue"/>
          </w:tcPr>
          <w:p w14:paraId="67A6D5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064F8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449BE4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301E5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Water feature</w:t>
            </w:r>
          </w:p>
        </w:tc>
        <w:tc>
          <w:tcPr>
            <w:tcW w:w="2266" w:type="dxa"/>
          </w:tcPr>
          <w:p w14:paraId="18505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No </w:t>
            </w:r>
            <w:r>
              <w:rPr>
                <w:rFonts w:hint="eastAsia" w:ascii="Times New Roman" w:hAnsi="Times New Roman"/>
                <w:szCs w:val="21"/>
              </w:rPr>
              <w:t>water feature</w:t>
            </w:r>
          </w:p>
        </w:tc>
        <w:tc>
          <w:tcPr>
            <w:tcW w:w="1230" w:type="dxa"/>
          </w:tcPr>
          <w:p w14:paraId="5C7772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1285" w:type="dxa"/>
          </w:tcPr>
          <w:p w14:paraId="6D713E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</w:p>
        </w:tc>
        <w:tc>
          <w:tcPr>
            <w:tcW w:w="722" w:type="dxa"/>
          </w:tcPr>
          <w:p w14:paraId="2C728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794" w:type="dxa"/>
            <w:vMerge w:val="restart"/>
          </w:tcPr>
          <w:p w14:paraId="4069E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27.476</w:t>
            </w:r>
          </w:p>
        </w:tc>
        <w:tc>
          <w:tcPr>
            <w:tcW w:w="899" w:type="dxa"/>
            <w:vMerge w:val="restart"/>
          </w:tcPr>
          <w:p w14:paraId="39246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0959DB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2B95A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28409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Small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f</w:t>
            </w:r>
            <w:r>
              <w:rPr>
                <w:rFonts w:hint="eastAsia" w:ascii="Times New Roman" w:hAnsi="Times New Roman"/>
                <w:szCs w:val="21"/>
              </w:rPr>
              <w:t>ountain</w:t>
            </w:r>
          </w:p>
        </w:tc>
        <w:tc>
          <w:tcPr>
            <w:tcW w:w="1230" w:type="dxa"/>
          </w:tcPr>
          <w:p w14:paraId="52150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1285" w:type="dxa"/>
          </w:tcPr>
          <w:p w14:paraId="0AB02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</w:t>
            </w:r>
          </w:p>
        </w:tc>
        <w:tc>
          <w:tcPr>
            <w:tcW w:w="722" w:type="dxa"/>
          </w:tcPr>
          <w:p w14:paraId="21E67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</w:t>
            </w:r>
          </w:p>
        </w:tc>
        <w:tc>
          <w:tcPr>
            <w:tcW w:w="794" w:type="dxa"/>
            <w:vMerge w:val="continue"/>
          </w:tcPr>
          <w:p w14:paraId="207B6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392CDE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3F8937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10" w:type="dxa"/>
            <w:vMerge w:val="continue"/>
          </w:tcPr>
          <w:p w14:paraId="5733D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7B1EA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2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等线" w:cs="Times New Roman"/>
                <w:sz w:val="21"/>
                <w:szCs w:val="22"/>
                <w:lang w:val="en-US" w:eastAsia="zh-CN" w:bidi="ar"/>
              </w:rPr>
              <w:t>inear stream</w:t>
            </w:r>
          </w:p>
        </w:tc>
        <w:tc>
          <w:tcPr>
            <w:tcW w:w="1230" w:type="dxa"/>
          </w:tcPr>
          <w:p w14:paraId="634FA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</w:t>
            </w:r>
          </w:p>
        </w:tc>
        <w:tc>
          <w:tcPr>
            <w:tcW w:w="1285" w:type="dxa"/>
          </w:tcPr>
          <w:p w14:paraId="0124D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</w:t>
            </w:r>
          </w:p>
        </w:tc>
        <w:tc>
          <w:tcPr>
            <w:tcW w:w="722" w:type="dxa"/>
          </w:tcPr>
          <w:p w14:paraId="7EA87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81</w:t>
            </w:r>
          </w:p>
        </w:tc>
        <w:tc>
          <w:tcPr>
            <w:tcW w:w="794" w:type="dxa"/>
            <w:vMerge w:val="continue"/>
          </w:tcPr>
          <w:p w14:paraId="20DDA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733B2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00D2E0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0E2BCB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4135C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2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等线" w:cs="Times New Roman"/>
                <w:sz w:val="21"/>
                <w:szCs w:val="22"/>
                <w:lang w:val="en-US" w:eastAsia="zh-CN" w:bidi="ar"/>
              </w:rPr>
              <w:t>arge pond or water body</w:t>
            </w:r>
          </w:p>
        </w:tc>
        <w:tc>
          <w:tcPr>
            <w:tcW w:w="1230" w:type="dxa"/>
          </w:tcPr>
          <w:p w14:paraId="477EC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49</w:t>
            </w:r>
          </w:p>
        </w:tc>
        <w:tc>
          <w:tcPr>
            <w:tcW w:w="1285" w:type="dxa"/>
          </w:tcPr>
          <w:p w14:paraId="65868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</w:p>
        </w:tc>
        <w:tc>
          <w:tcPr>
            <w:tcW w:w="722" w:type="dxa"/>
          </w:tcPr>
          <w:p w14:paraId="753F5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74</w:t>
            </w:r>
          </w:p>
        </w:tc>
        <w:tc>
          <w:tcPr>
            <w:tcW w:w="794" w:type="dxa"/>
            <w:vMerge w:val="continue"/>
          </w:tcPr>
          <w:p w14:paraId="194EA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78842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78BA25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restart"/>
          </w:tcPr>
          <w:p w14:paraId="49D01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Seating type</w:t>
            </w:r>
          </w:p>
        </w:tc>
        <w:tc>
          <w:tcPr>
            <w:tcW w:w="2266" w:type="dxa"/>
          </w:tcPr>
          <w:p w14:paraId="13424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Wooden seating</w:t>
            </w:r>
          </w:p>
        </w:tc>
        <w:tc>
          <w:tcPr>
            <w:tcW w:w="1230" w:type="dxa"/>
          </w:tcPr>
          <w:p w14:paraId="70AA7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1285" w:type="dxa"/>
          </w:tcPr>
          <w:p w14:paraId="57360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722" w:type="dxa"/>
          </w:tcPr>
          <w:p w14:paraId="4E9DA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794" w:type="dxa"/>
            <w:vMerge w:val="restart"/>
          </w:tcPr>
          <w:p w14:paraId="11468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26.486</w:t>
            </w:r>
          </w:p>
        </w:tc>
        <w:tc>
          <w:tcPr>
            <w:tcW w:w="899" w:type="dxa"/>
            <w:vMerge w:val="restart"/>
          </w:tcPr>
          <w:p w14:paraId="5A25D7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0.000**</w:t>
            </w:r>
          </w:p>
        </w:tc>
      </w:tr>
      <w:tr w14:paraId="35FC52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18469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665A5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Wooden seating with armrests and backrests</w:t>
            </w:r>
          </w:p>
        </w:tc>
        <w:tc>
          <w:tcPr>
            <w:tcW w:w="1230" w:type="dxa"/>
          </w:tcPr>
          <w:p w14:paraId="33B4E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49</w:t>
            </w:r>
          </w:p>
        </w:tc>
        <w:tc>
          <w:tcPr>
            <w:tcW w:w="1285" w:type="dxa"/>
          </w:tcPr>
          <w:p w14:paraId="3D787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722" w:type="dxa"/>
          </w:tcPr>
          <w:p w14:paraId="51E42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70</w:t>
            </w:r>
          </w:p>
        </w:tc>
        <w:tc>
          <w:tcPr>
            <w:tcW w:w="794" w:type="dxa"/>
            <w:vMerge w:val="continue"/>
          </w:tcPr>
          <w:p w14:paraId="38825C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7C1B1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34E824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10" w:type="dxa"/>
            <w:vMerge w:val="continue"/>
          </w:tcPr>
          <w:p w14:paraId="2C054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60C40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Wooden seating with the shelter</w:t>
            </w:r>
          </w:p>
        </w:tc>
        <w:tc>
          <w:tcPr>
            <w:tcW w:w="1230" w:type="dxa"/>
          </w:tcPr>
          <w:p w14:paraId="5A590F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42</w:t>
            </w:r>
          </w:p>
        </w:tc>
        <w:tc>
          <w:tcPr>
            <w:tcW w:w="1285" w:type="dxa"/>
          </w:tcPr>
          <w:p w14:paraId="25BE5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</w:t>
            </w:r>
          </w:p>
        </w:tc>
        <w:tc>
          <w:tcPr>
            <w:tcW w:w="722" w:type="dxa"/>
          </w:tcPr>
          <w:p w14:paraId="11D769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96</w:t>
            </w:r>
          </w:p>
        </w:tc>
        <w:tc>
          <w:tcPr>
            <w:tcW w:w="794" w:type="dxa"/>
            <w:vMerge w:val="continue"/>
          </w:tcPr>
          <w:p w14:paraId="0FF95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6BE11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tr w14:paraId="32CAE9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vMerge w:val="continue"/>
          </w:tcPr>
          <w:p w14:paraId="48BA66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14:paraId="31FFD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Wooden seating surrounded by plants</w:t>
            </w:r>
          </w:p>
        </w:tc>
        <w:tc>
          <w:tcPr>
            <w:tcW w:w="1230" w:type="dxa"/>
          </w:tcPr>
          <w:p w14:paraId="3E33CD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1285" w:type="dxa"/>
          </w:tcPr>
          <w:p w14:paraId="645CD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</w:t>
            </w:r>
          </w:p>
        </w:tc>
        <w:tc>
          <w:tcPr>
            <w:tcW w:w="722" w:type="dxa"/>
          </w:tcPr>
          <w:p w14:paraId="59FD2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</w:t>
            </w:r>
          </w:p>
        </w:tc>
        <w:tc>
          <w:tcPr>
            <w:tcW w:w="794" w:type="dxa"/>
            <w:vMerge w:val="continue"/>
          </w:tcPr>
          <w:p w14:paraId="5F365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vMerge w:val="continue"/>
          </w:tcPr>
          <w:p w14:paraId="4296E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1"/>
              </w:rPr>
            </w:pPr>
          </w:p>
        </w:tc>
      </w:tr>
      <w:bookmarkEnd w:id="0"/>
    </w:tbl>
    <w:p w14:paraId="6310E1E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1966"/>
    <w:rsid w:val="24437CAD"/>
    <w:rsid w:val="3F641966"/>
    <w:rsid w:val="498B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1034</Characters>
  <Lines>0</Lines>
  <Paragraphs>0</Paragraphs>
  <TotalTime>1</TotalTime>
  <ScaleCrop>false</ScaleCrop>
  <LinksUpToDate>false</LinksUpToDate>
  <CharactersWithSpaces>1123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2025-09-01T06:29:00Z</dcterms:created>
  <dc:creator>Hideko.</dc:creator>
  <cp:lastModifiedBy>Hideko.</cp:lastModifiedBy>
  <dcterms:modified xsi:type="dcterms:W3CDTF">2025-09-01T06:53:24Z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C282CDDFCEA5456286F398C7BE6AFE32_11</vt:lpwstr>
  </property>
  <property fmtid="{D5CDD505-2E9C-101B-9397-08002B2CF9AE}" pid="4" name="KSOTemplateDocerSaveRecord">
    <vt:lpwstr>eyJoZGlkIjoiMTFjNzIyODYyYjlhMmI5OGNiM2IyYjVkMWUxNGViNWUiLCJ1c2VySWQiOiIyNDUwOTIxNjIifQ==</vt:lpwstr>
  </property>
</Properties>
</file>