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C6011" w14:textId="77777777" w:rsidR="00804F09" w:rsidRPr="00D53FE3" w:rsidRDefault="00804F09" w:rsidP="00804F09">
      <w:pPr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D53FE3">
        <w:rPr>
          <w:rFonts w:ascii="Times New Roman" w:hAnsi="Times New Roman" w:cs="Times New Roman" w:hint="eastAsia"/>
          <w:b/>
          <w:color w:val="0070C0"/>
          <w:sz w:val="24"/>
          <w:szCs w:val="24"/>
        </w:rPr>
        <w:t>T</w:t>
      </w:r>
      <w:r w:rsidRPr="00D53FE3">
        <w:rPr>
          <w:rFonts w:ascii="Times New Roman" w:hAnsi="Times New Roman" w:cs="Times New Roman"/>
          <w:b/>
          <w:color w:val="0070C0"/>
          <w:sz w:val="24"/>
          <w:szCs w:val="24"/>
        </w:rPr>
        <w:t>able 1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 xml:space="preserve">. </w:t>
      </w:r>
      <w:r w:rsidRPr="00D53FE3">
        <w:rPr>
          <w:rFonts w:ascii="Times New Roman" w:eastAsia="Malgun Gothic" w:hAnsi="Times New Roman" w:cs="Times New Roman"/>
          <w:color w:val="0070C0"/>
          <w:sz w:val="24"/>
          <w:szCs w:val="24"/>
        </w:rPr>
        <w:t>Optimization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 xml:space="preserve"> of the reaction conditions</w:t>
      </w:r>
    </w:p>
    <w:p w14:paraId="278E5E98" w14:textId="77777777" w:rsidR="00804F09" w:rsidRPr="00D53FE3" w:rsidRDefault="00804F09" w:rsidP="00804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3FE3">
        <w:rPr>
          <w:rFonts w:ascii="Times New Roman" w:hAnsi="Times New Roman" w:cs="Times New Roman"/>
          <w:sz w:val="24"/>
          <w:szCs w:val="24"/>
        </w:rPr>
        <w:object w:dxaOrig="6041" w:dyaOrig="7995" w14:anchorId="6D93DE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02pt;height:399.5pt;mso-width-percent:0;mso-height-percent:0;mso-width-percent:0;mso-height-percent:0" o:ole="">
            <v:imagedata r:id="rId4" o:title=""/>
          </v:shape>
          <o:OLEObject Type="Embed" ProgID="ChemDraw.Document.6.0" ShapeID="_x0000_i1025" DrawAspect="Content" ObjectID="_1822811217" r:id="rId5"/>
        </w:object>
      </w:r>
    </w:p>
    <w:p w14:paraId="1BCFAEB5" w14:textId="77777777" w:rsidR="00804F09" w:rsidRPr="00D53FE3" w:rsidRDefault="00804F09" w:rsidP="00804F09">
      <w:pPr>
        <w:spacing w:line="360" w:lineRule="auto"/>
        <w:rPr>
          <w:rFonts w:ascii="Times New Roman" w:hAnsi="Times New Roman" w:cs="Times New Roman"/>
          <w:sz w:val="22"/>
        </w:rPr>
      </w:pPr>
      <w:r w:rsidRPr="00D53FE3">
        <w:rPr>
          <w:rFonts w:ascii="Times New Roman" w:hAnsi="Times New Roman" w:cs="Times New Roman"/>
          <w:sz w:val="22"/>
          <w:vertAlign w:val="superscript"/>
        </w:rPr>
        <w:t>a)</w:t>
      </w:r>
      <w:r w:rsidRPr="00D53FE3">
        <w:rPr>
          <w:rFonts w:ascii="Times New Roman" w:eastAsia="Malgun Gothic" w:hAnsi="Times New Roman" w:cs="Times New Roman"/>
          <w:sz w:val="22"/>
          <w:vertAlign w:val="superscript"/>
        </w:rPr>
        <w:t xml:space="preserve"> </w:t>
      </w:r>
      <w:r w:rsidRPr="00D53FE3">
        <w:rPr>
          <w:rFonts w:ascii="Times New Roman" w:hAnsi="Times New Roman" w:cs="Times New Roman"/>
          <w:sz w:val="22"/>
        </w:rPr>
        <w:t xml:space="preserve">Reaction conditions: Reactions were performed with </w:t>
      </w:r>
      <w:r w:rsidRPr="00D53FE3">
        <w:rPr>
          <w:rFonts w:ascii="Times New Roman" w:hAnsi="Times New Roman" w:cs="Times New Roman"/>
          <w:b/>
          <w:bCs/>
          <w:sz w:val="22"/>
        </w:rPr>
        <w:t>1a</w:t>
      </w:r>
      <w:r w:rsidRPr="00D53FE3">
        <w:rPr>
          <w:rFonts w:ascii="Times New Roman" w:hAnsi="Times New Roman" w:cs="Times New Roman"/>
          <w:sz w:val="22"/>
        </w:rPr>
        <w:t xml:space="preserve"> (0.075 mmol), </w:t>
      </w:r>
      <w:r w:rsidRPr="00D53FE3">
        <w:rPr>
          <w:rFonts w:ascii="Times New Roman" w:hAnsi="Times New Roman" w:cs="Times New Roman"/>
          <w:b/>
          <w:bCs/>
          <w:sz w:val="22"/>
        </w:rPr>
        <w:t>2a</w:t>
      </w:r>
      <w:r w:rsidRPr="00D53FE3">
        <w:rPr>
          <w:rFonts w:ascii="Times New Roman" w:hAnsi="Times New Roman" w:cs="Times New Roman"/>
          <w:sz w:val="22"/>
        </w:rPr>
        <w:t xml:space="preserve"> (0.151 mmol), and </w:t>
      </w:r>
      <w:r w:rsidRPr="00D53FE3">
        <w:rPr>
          <w:rFonts w:ascii="Times New Roman" w:eastAsia="Malgun Gothic" w:hAnsi="Times New Roman" w:cs="Times New Roman"/>
          <w:sz w:val="22"/>
        </w:rPr>
        <w:t xml:space="preserve">the </w:t>
      </w:r>
      <w:r w:rsidRPr="00D53FE3">
        <w:rPr>
          <w:rFonts w:ascii="Times New Roman" w:hAnsi="Times New Roman" w:cs="Times New Roman"/>
          <w:sz w:val="22"/>
        </w:rPr>
        <w:t xml:space="preserve">catalyst (10 mol%) in </w:t>
      </w:r>
      <w:r w:rsidRPr="00D53FE3">
        <w:rPr>
          <w:rFonts w:ascii="Times New Roman" w:eastAsia="Malgun Gothic" w:hAnsi="Times New Roman" w:cs="Times New Roman"/>
          <w:sz w:val="22"/>
        </w:rPr>
        <w:t xml:space="preserve">the </w:t>
      </w:r>
      <w:r w:rsidRPr="00D53FE3">
        <w:rPr>
          <w:rFonts w:ascii="Times New Roman" w:hAnsi="Times New Roman" w:cs="Times New Roman"/>
          <w:sz w:val="22"/>
        </w:rPr>
        <w:t xml:space="preserve">indicated solvent (0.30 mL, 0.25 M) at r.t for 72 h. </w:t>
      </w:r>
      <w:r w:rsidRPr="00D53FE3">
        <w:rPr>
          <w:rFonts w:ascii="Times New Roman" w:hAnsi="Times New Roman" w:cs="Times New Roman"/>
          <w:sz w:val="22"/>
          <w:vertAlign w:val="superscript"/>
        </w:rPr>
        <w:t>b)</w:t>
      </w:r>
      <w:r w:rsidRPr="00D53FE3">
        <w:rPr>
          <w:rFonts w:ascii="Times New Roman" w:eastAsia="Malgun Gothic" w:hAnsi="Times New Roman" w:cs="Times New Roman"/>
          <w:sz w:val="22"/>
        </w:rPr>
        <w:t xml:space="preserve"> The yields</w:t>
      </w:r>
      <w:r w:rsidRPr="00D53FE3">
        <w:rPr>
          <w:rFonts w:ascii="Times New Roman" w:hAnsi="Times New Roman" w:cs="Times New Roman"/>
          <w:sz w:val="22"/>
        </w:rPr>
        <w:t xml:space="preserve"> of </w:t>
      </w:r>
      <w:r w:rsidRPr="00D53FE3">
        <w:rPr>
          <w:rFonts w:ascii="Times New Roman" w:hAnsi="Times New Roman" w:cs="Times New Roman"/>
          <w:b/>
          <w:bCs/>
          <w:sz w:val="22"/>
        </w:rPr>
        <w:t>3a</w:t>
      </w:r>
      <w:r w:rsidRPr="00D53FE3">
        <w:rPr>
          <w:rFonts w:ascii="Times New Roman" w:hAnsi="Times New Roman" w:cs="Times New Roman"/>
          <w:sz w:val="22"/>
        </w:rPr>
        <w:t xml:space="preserve"> were determined by </w:t>
      </w:r>
      <w:r w:rsidRPr="00D53FE3">
        <w:rPr>
          <w:rFonts w:ascii="Times New Roman" w:hAnsi="Times New Roman" w:cs="Times New Roman"/>
          <w:sz w:val="22"/>
          <w:vertAlign w:val="superscript"/>
        </w:rPr>
        <w:t>1</w:t>
      </w:r>
      <w:r w:rsidRPr="00D53FE3">
        <w:rPr>
          <w:rFonts w:ascii="Times New Roman" w:hAnsi="Times New Roman" w:cs="Times New Roman"/>
          <w:sz w:val="22"/>
        </w:rPr>
        <w:t xml:space="preserve">H NMR spectroscopic analysis with 1,2-dibromoethane as an internal standard. </w:t>
      </w:r>
      <w:r w:rsidRPr="00D53FE3">
        <w:rPr>
          <w:rFonts w:ascii="Times New Roman" w:hAnsi="Times New Roman" w:cs="Times New Roman"/>
          <w:sz w:val="22"/>
          <w:vertAlign w:val="superscript"/>
        </w:rPr>
        <w:t>c)</w:t>
      </w:r>
      <w:r w:rsidRPr="00D53FE3">
        <w:rPr>
          <w:rFonts w:ascii="Times New Roman" w:eastAsia="Malgun Gothic" w:hAnsi="Times New Roman" w:cs="Times New Roman"/>
          <w:sz w:val="22"/>
        </w:rPr>
        <w:t xml:space="preserve"> The diastereomeric</w:t>
      </w:r>
      <w:r w:rsidRPr="00D53FE3">
        <w:rPr>
          <w:rFonts w:ascii="Times New Roman" w:hAnsi="Times New Roman" w:cs="Times New Roman"/>
          <w:sz w:val="22"/>
        </w:rPr>
        <w:t xml:space="preserve"> ratio (dr) was determined by spectroscopic analysis. </w:t>
      </w:r>
      <w:r w:rsidRPr="00D53FE3">
        <w:rPr>
          <w:rFonts w:ascii="Times New Roman" w:hAnsi="Times New Roman" w:cs="Times New Roman"/>
          <w:sz w:val="22"/>
          <w:vertAlign w:val="superscript"/>
        </w:rPr>
        <w:t>d)</w:t>
      </w:r>
      <w:r w:rsidRPr="00D53FE3">
        <w:rPr>
          <w:rFonts w:ascii="Times New Roman" w:eastAsia="Malgun Gothic" w:hAnsi="Times New Roman" w:cs="Times New Roman"/>
          <w:sz w:val="22"/>
          <w:vertAlign w:val="superscript"/>
        </w:rPr>
        <w:t xml:space="preserve"> </w:t>
      </w:r>
      <w:r w:rsidRPr="00D53FE3">
        <w:rPr>
          <w:rFonts w:ascii="Times New Roman" w:hAnsi="Times New Roman" w:cs="Times New Roman"/>
          <w:sz w:val="22"/>
        </w:rPr>
        <w:t xml:space="preserve">Enantiomeric excess (ee) was determined by HPLC analysis. </w:t>
      </w:r>
      <w:r w:rsidRPr="00D53FE3">
        <w:rPr>
          <w:rFonts w:ascii="Times New Roman" w:hAnsi="Times New Roman" w:cs="Times New Roman"/>
          <w:sz w:val="22"/>
          <w:vertAlign w:val="superscript"/>
        </w:rPr>
        <w:t>e)</w:t>
      </w:r>
      <w:r w:rsidRPr="00D53FE3">
        <w:rPr>
          <w:rFonts w:ascii="Times New Roman" w:eastAsia="Malgun Gothic" w:hAnsi="Times New Roman" w:cs="Times New Roman"/>
          <w:sz w:val="22"/>
        </w:rPr>
        <w:t xml:space="preserve"> The reaction</w:t>
      </w:r>
      <w:r w:rsidRPr="00D53FE3">
        <w:rPr>
          <w:rFonts w:ascii="Times New Roman" w:hAnsi="Times New Roman" w:cs="Times New Roman"/>
          <w:sz w:val="22"/>
        </w:rPr>
        <w:t xml:space="preserve"> was performed at 55 </w:t>
      </w:r>
      <w:r w:rsidRPr="00D53FE3">
        <w:rPr>
          <w:rFonts w:ascii="Times New Roman" w:eastAsia="Malgun Gothic" w:hAnsi="Times New Roman" w:cs="Times New Roman"/>
          <w:sz w:val="22"/>
        </w:rPr>
        <w:t>°C</w:t>
      </w:r>
      <w:r w:rsidRPr="00D53FE3">
        <w:rPr>
          <w:rFonts w:ascii="Times New Roman" w:hAnsi="Times New Roman" w:cs="Times New Roman"/>
          <w:sz w:val="22"/>
        </w:rPr>
        <w:t xml:space="preserve"> for 24 h.</w:t>
      </w:r>
    </w:p>
    <w:p w14:paraId="6445514C" w14:textId="77777777" w:rsidR="00804F09" w:rsidRPr="00D53FE3" w:rsidRDefault="00804F09" w:rsidP="00804F09">
      <w:pPr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D53FE3">
        <w:rPr>
          <w:rFonts w:ascii="Times New Roman" w:hAnsi="Times New Roman" w:cs="Times New Roman"/>
          <w:b/>
          <w:color w:val="0070C0"/>
          <w:sz w:val="24"/>
          <w:szCs w:val="24"/>
        </w:rPr>
        <w:t>Table 2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 xml:space="preserve">. </w:t>
      </w:r>
      <w:bookmarkStart w:id="0" w:name="_Hlk211629318"/>
      <w:r w:rsidRPr="00D53FE3">
        <w:rPr>
          <w:rFonts w:ascii="Times New Roman" w:eastAsia="Malgun Gothic" w:hAnsi="Times New Roman" w:cs="Times New Roman"/>
          <w:color w:val="0070C0"/>
          <w:sz w:val="24"/>
          <w:szCs w:val="24"/>
        </w:rPr>
        <w:t>Optimization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 xml:space="preserve"> of 3-hydroxy-2-</w:t>
      </w:r>
      <w:r w:rsidRPr="00D53FE3">
        <w:rPr>
          <w:rFonts w:ascii="Times New Roman" w:hAnsi="Times New Roman" w:cs="Times New Roman"/>
          <w:noProof/>
          <w:color w:val="0070C0"/>
          <w:sz w:val="24"/>
          <w:szCs w:val="24"/>
        </w:rPr>
        <w:t xml:space="preserve">pyridone </w:t>
      </w:r>
      <w:r w:rsidRPr="00D53FE3">
        <w:rPr>
          <w:rFonts w:ascii="Times New Roman" w:hAnsi="Times New Roman" w:cs="Times New Roman" w:hint="eastAsia"/>
          <w:noProof/>
          <w:color w:val="0070C0"/>
          <w:sz w:val="24"/>
          <w:szCs w:val="24"/>
        </w:rPr>
        <w:t>s</w:t>
      </w:r>
      <w:r w:rsidRPr="00D53FE3">
        <w:rPr>
          <w:rFonts w:ascii="Times New Roman" w:hAnsi="Times New Roman" w:cs="Times New Roman"/>
          <w:noProof/>
          <w:color w:val="0070C0"/>
          <w:sz w:val="24"/>
          <w:szCs w:val="24"/>
        </w:rPr>
        <w:t>ubstrates</w:t>
      </w:r>
      <w:r w:rsidRPr="00D53FE3">
        <w:rPr>
          <w:rFonts w:ascii="Times New Roman" w:hAnsi="Times New Roman" w:cs="Times New Roman"/>
          <w:noProof/>
          <w:color w:val="0070C0"/>
          <w:sz w:val="24"/>
          <w:szCs w:val="24"/>
          <w:vertAlign w:val="superscript"/>
        </w:rPr>
        <w:t>a</w:t>
      </w:r>
      <w:r w:rsidRPr="00D53FE3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>)</w:t>
      </w:r>
      <w:bookmarkEnd w:id="0"/>
    </w:p>
    <w:p w14:paraId="524CB683" w14:textId="77777777" w:rsidR="00804F09" w:rsidRPr="00D53FE3" w:rsidRDefault="00804F09" w:rsidP="00804F09">
      <w:pPr>
        <w:spacing w:line="360" w:lineRule="auto"/>
        <w:rPr>
          <w:rFonts w:ascii="Times New Roman" w:hAnsi="Times New Roman" w:cs="Times New Roman"/>
          <w:sz w:val="22"/>
        </w:rPr>
      </w:pPr>
      <w:r w:rsidRPr="00D53FE3">
        <w:rPr>
          <w:rFonts w:ascii="Times New Roman" w:hAnsi="Times New Roman" w:cs="Times New Roman"/>
          <w:sz w:val="24"/>
          <w:szCs w:val="24"/>
        </w:rPr>
        <w:object w:dxaOrig="9027" w:dyaOrig="5590" w14:anchorId="553B7005">
          <v:shape id="_x0000_i1027" type="#_x0000_t75" alt="" style="width:451.5pt;height:279pt;mso-width-percent:0;mso-height-percent:0;mso-width-percent:0;mso-height-percent:0" o:ole="">
            <v:imagedata r:id="rId6" o:title=""/>
          </v:shape>
          <o:OLEObject Type="Embed" ProgID="ChemDraw.Document.6.0" ShapeID="_x0000_i1027" DrawAspect="Content" ObjectID="_1822811218" r:id="rId7"/>
        </w:object>
      </w:r>
      <w:r w:rsidRPr="00D53FE3">
        <w:rPr>
          <w:rFonts w:ascii="Times New Roman" w:hAnsi="Times New Roman" w:cs="Times New Roman"/>
          <w:sz w:val="22"/>
          <w:vertAlign w:val="superscript"/>
        </w:rPr>
        <w:t>a)</w:t>
      </w:r>
      <w:r w:rsidRPr="00D53FE3">
        <w:rPr>
          <w:rFonts w:ascii="Times New Roman" w:eastAsia="Malgun Gothic" w:hAnsi="Times New Roman" w:cs="Times New Roman"/>
          <w:sz w:val="22"/>
          <w:vertAlign w:val="superscript"/>
        </w:rPr>
        <w:t xml:space="preserve"> </w:t>
      </w:r>
      <w:r w:rsidRPr="00D53FE3">
        <w:rPr>
          <w:rFonts w:ascii="Times New Roman" w:hAnsi="Times New Roman" w:cs="Times New Roman"/>
          <w:sz w:val="22"/>
        </w:rPr>
        <w:t xml:space="preserve">Reaction conditions: Reactions were performed with </w:t>
      </w:r>
      <w:r w:rsidRPr="00D53FE3">
        <w:rPr>
          <w:rFonts w:ascii="Times New Roman" w:hAnsi="Times New Roman" w:cs="Times New Roman"/>
          <w:b/>
          <w:bCs/>
          <w:sz w:val="22"/>
        </w:rPr>
        <w:t>1</w:t>
      </w:r>
      <w:r w:rsidRPr="00D53FE3">
        <w:rPr>
          <w:rFonts w:ascii="Times New Roman" w:hAnsi="Times New Roman" w:cs="Times New Roman"/>
          <w:sz w:val="22"/>
        </w:rPr>
        <w:t xml:space="preserve"> (0.084 mmol), </w:t>
      </w:r>
      <w:r w:rsidRPr="00D53FE3">
        <w:rPr>
          <w:rFonts w:ascii="Times New Roman" w:hAnsi="Times New Roman" w:cs="Times New Roman"/>
          <w:b/>
          <w:bCs/>
          <w:sz w:val="22"/>
        </w:rPr>
        <w:t>2a</w:t>
      </w:r>
      <w:r w:rsidRPr="00D53FE3">
        <w:rPr>
          <w:rFonts w:ascii="Times New Roman" w:hAnsi="Times New Roman" w:cs="Times New Roman"/>
          <w:sz w:val="22"/>
        </w:rPr>
        <w:t xml:space="preserve"> (0.169 mmol), and catalyst </w:t>
      </w:r>
      <w:r w:rsidRPr="00D53FE3">
        <w:rPr>
          <w:rFonts w:ascii="Times New Roman" w:hAnsi="Times New Roman" w:cs="Times New Roman"/>
          <w:b/>
          <w:bCs/>
          <w:sz w:val="22"/>
        </w:rPr>
        <w:t>E</w:t>
      </w:r>
      <w:r w:rsidRPr="00D53FE3">
        <w:rPr>
          <w:rFonts w:ascii="Times New Roman" w:eastAsia="Malgun Gothic" w:hAnsi="Times New Roman" w:cs="Times New Roman"/>
          <w:b/>
          <w:bCs/>
          <w:sz w:val="22"/>
        </w:rPr>
        <w:t xml:space="preserve"> </w:t>
      </w:r>
      <w:r w:rsidRPr="00D53FE3">
        <w:rPr>
          <w:rFonts w:ascii="Times New Roman" w:hAnsi="Times New Roman" w:cs="Times New Roman"/>
          <w:sz w:val="22"/>
        </w:rPr>
        <w:t xml:space="preserve">(10 mol%) in 1,4-dioxane (0.34 mL, 0.25 M) at </w:t>
      </w:r>
      <w:r w:rsidRPr="00D53FE3">
        <w:rPr>
          <w:rFonts w:ascii="Times New Roman" w:hAnsi="Times New Roman" w:cs="Times New Roman"/>
          <w:noProof/>
          <w:sz w:val="22"/>
        </w:rPr>
        <w:t xml:space="preserve">r.t. </w:t>
      </w:r>
      <w:r w:rsidRPr="00D53FE3">
        <w:rPr>
          <w:rFonts w:ascii="Times New Roman" w:hAnsi="Times New Roman" w:cs="Times New Roman"/>
          <w:sz w:val="22"/>
        </w:rPr>
        <w:t xml:space="preserve">for </w:t>
      </w:r>
      <w:r w:rsidRPr="00D53FE3">
        <w:rPr>
          <w:rFonts w:ascii="Times New Roman" w:eastAsia="Malgun Gothic" w:hAnsi="Times New Roman" w:cs="Times New Roman"/>
          <w:sz w:val="22"/>
        </w:rPr>
        <w:t>3–5</w:t>
      </w:r>
      <w:r w:rsidRPr="00D53FE3">
        <w:rPr>
          <w:rFonts w:ascii="Times New Roman" w:hAnsi="Times New Roman" w:cs="Times New Roman"/>
          <w:sz w:val="22"/>
        </w:rPr>
        <w:t xml:space="preserve"> days. </w:t>
      </w:r>
      <w:r w:rsidRPr="00D53FE3">
        <w:rPr>
          <w:rFonts w:ascii="Times New Roman" w:eastAsia="Malgun Gothic" w:hAnsi="Times New Roman" w:cs="Times New Roman"/>
          <w:sz w:val="22"/>
        </w:rPr>
        <w:t>The yields</w:t>
      </w:r>
      <w:r w:rsidRPr="00D53FE3">
        <w:rPr>
          <w:rFonts w:ascii="Times New Roman" w:hAnsi="Times New Roman" w:cs="Times New Roman"/>
          <w:sz w:val="22"/>
        </w:rPr>
        <w:t xml:space="preserve"> of </w:t>
      </w:r>
      <w:r w:rsidRPr="00D53FE3">
        <w:rPr>
          <w:rFonts w:ascii="Times New Roman" w:eastAsia="Malgun Gothic" w:hAnsi="Times New Roman" w:cs="Times New Roman"/>
          <w:sz w:val="22"/>
        </w:rPr>
        <w:t xml:space="preserve">the </w:t>
      </w:r>
      <w:r w:rsidRPr="00D53FE3">
        <w:rPr>
          <w:rFonts w:ascii="Times New Roman" w:hAnsi="Times New Roman" w:cs="Times New Roman"/>
          <w:sz w:val="22"/>
        </w:rPr>
        <w:t xml:space="preserve">products were determined by </w:t>
      </w:r>
      <w:r w:rsidRPr="00D53FE3">
        <w:rPr>
          <w:rFonts w:ascii="Times New Roman" w:hAnsi="Times New Roman" w:cs="Times New Roman"/>
          <w:sz w:val="22"/>
          <w:vertAlign w:val="superscript"/>
        </w:rPr>
        <w:t>1</w:t>
      </w:r>
      <w:r w:rsidRPr="00D53FE3">
        <w:rPr>
          <w:rFonts w:ascii="Times New Roman" w:hAnsi="Times New Roman" w:cs="Times New Roman"/>
          <w:sz w:val="22"/>
        </w:rPr>
        <w:t xml:space="preserve">H NMR spectroscopic analysis with 1,2-dibromoethane as an internal standard. </w:t>
      </w:r>
      <w:r w:rsidRPr="00D53FE3">
        <w:rPr>
          <w:rFonts w:ascii="Times New Roman" w:eastAsia="Malgun Gothic" w:hAnsi="Times New Roman" w:cs="Times New Roman"/>
          <w:sz w:val="22"/>
        </w:rPr>
        <w:t>The diastereomeric</w:t>
      </w:r>
      <w:r w:rsidRPr="00D53FE3">
        <w:rPr>
          <w:rFonts w:ascii="Times New Roman" w:hAnsi="Times New Roman" w:cs="Times New Roman"/>
          <w:sz w:val="22"/>
        </w:rPr>
        <w:t xml:space="preserve"> ratio (dr) was determined by spectroscopic analysis. Enantiomeric excess (ee) was determined by HPLC analysis.</w:t>
      </w:r>
    </w:p>
    <w:p w14:paraId="1C2F669D" w14:textId="77777777" w:rsidR="00804F09" w:rsidRPr="00D53FE3" w:rsidRDefault="00804F09" w:rsidP="00804F09">
      <w:pPr>
        <w:jc w:val="left"/>
      </w:pPr>
      <w:r w:rsidRPr="00D53FE3">
        <w:rPr>
          <w:rFonts w:ascii="Times New Roman" w:hAnsi="Times New Roman" w:cs="Times New Roman" w:hint="eastAsia"/>
          <w:b/>
          <w:color w:val="0070C0"/>
          <w:sz w:val="24"/>
          <w:szCs w:val="24"/>
        </w:rPr>
        <w:t>Table</w:t>
      </w:r>
      <w:r w:rsidRPr="00D53FE3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3</w:t>
      </w:r>
      <w:r w:rsidRPr="00D53FE3">
        <w:rPr>
          <w:rFonts w:ascii="Times New Roman" w:hAnsi="Times New Roman" w:cs="Times New Roman"/>
          <w:bCs/>
          <w:color w:val="0070C0"/>
          <w:sz w:val="24"/>
          <w:szCs w:val="24"/>
        </w:rPr>
        <w:t>. Substrate scope</w:t>
      </w:r>
      <w:r w:rsidRPr="00D53FE3">
        <w:rPr>
          <w:rFonts w:ascii="Times New Roman" w:hAnsi="Times New Roman" w:cs="Times New Roman"/>
          <w:bCs/>
          <w:noProof/>
          <w:color w:val="0070C0"/>
          <w:sz w:val="24"/>
          <w:szCs w:val="24"/>
          <w:vertAlign w:val="superscript"/>
        </w:rPr>
        <w:t>a</w:t>
      </w:r>
      <w:r w:rsidRPr="00D53FE3">
        <w:rPr>
          <w:rFonts w:ascii="Times New Roman" w:hAnsi="Times New Roman" w:cs="Times New Roman"/>
          <w:bCs/>
          <w:color w:val="0070C0"/>
          <w:sz w:val="24"/>
          <w:szCs w:val="24"/>
          <w:vertAlign w:val="superscript"/>
        </w:rPr>
        <w:t>)</w:t>
      </w:r>
    </w:p>
    <w:bookmarkStart w:id="1" w:name="_Hlk211629220"/>
    <w:p w14:paraId="618043F0" w14:textId="77777777" w:rsidR="00804F09" w:rsidRPr="00D53FE3" w:rsidRDefault="00804F09" w:rsidP="00804F09">
      <w:pPr>
        <w:rPr>
          <w:rFonts w:ascii="Times New Roman" w:hAnsi="Times New Roman" w:cs="Times New Roman"/>
          <w:sz w:val="22"/>
        </w:rPr>
      </w:pPr>
      <w:r>
        <w:rPr>
          <w:rFonts w:hint="eastAsia"/>
          <w:kern w:val="0"/>
        </w:rPr>
        <w:object w:dxaOrig="15806" w:dyaOrig="20109" w14:anchorId="1998F659">
          <v:shape id="_x0000_i1029" type="#_x0000_t75" alt="" style="width:455pt;height:579pt" o:ole="">
            <v:imagedata r:id="rId8" o:title=""/>
          </v:shape>
          <o:OLEObject Type="Embed" ProgID="ChemDraw.Document.6.0" ShapeID="_x0000_i1029" DrawAspect="Content" ObjectID="_1822811219" r:id="rId9"/>
        </w:object>
      </w:r>
      <w:bookmarkEnd w:id="1"/>
      <w:r w:rsidRPr="00D53FE3">
        <w:rPr>
          <w:rFonts w:ascii="Times New Roman" w:hAnsi="Times New Roman" w:cs="Times New Roman"/>
          <w:sz w:val="22"/>
          <w:vertAlign w:val="superscript"/>
        </w:rPr>
        <w:t>a)</w:t>
      </w:r>
      <w:r w:rsidRPr="00D53FE3">
        <w:rPr>
          <w:rFonts w:ascii="Times New Roman" w:eastAsia="Malgun Gothic" w:hAnsi="Times New Roman" w:cs="Times New Roman"/>
          <w:sz w:val="22"/>
          <w:vertAlign w:val="superscript"/>
        </w:rPr>
        <w:t xml:space="preserve"> </w:t>
      </w:r>
      <w:r w:rsidRPr="00D53FE3">
        <w:rPr>
          <w:rFonts w:ascii="Times New Roman" w:hAnsi="Times New Roman" w:cs="Times New Roman"/>
          <w:sz w:val="22"/>
        </w:rPr>
        <w:t xml:space="preserve">Reaction conditions: Reactions were performed with </w:t>
      </w:r>
      <w:r w:rsidRPr="00D53FE3">
        <w:rPr>
          <w:rFonts w:ascii="Times New Roman" w:hAnsi="Times New Roman" w:cs="Times New Roman"/>
          <w:b/>
          <w:bCs/>
          <w:sz w:val="22"/>
        </w:rPr>
        <w:t>1</w:t>
      </w:r>
      <w:r w:rsidRPr="00D53FE3">
        <w:rPr>
          <w:rFonts w:ascii="Times New Roman" w:hAnsi="Times New Roman" w:cs="Times New Roman"/>
          <w:sz w:val="22"/>
        </w:rPr>
        <w:t xml:space="preserve"> (0.084 mmol), </w:t>
      </w:r>
      <w:r w:rsidRPr="00D53FE3">
        <w:rPr>
          <w:rFonts w:ascii="Times New Roman" w:hAnsi="Times New Roman" w:cs="Times New Roman"/>
          <w:b/>
          <w:bCs/>
          <w:sz w:val="22"/>
        </w:rPr>
        <w:t>2a</w:t>
      </w:r>
      <w:r w:rsidRPr="00D53FE3">
        <w:rPr>
          <w:rFonts w:ascii="Times New Roman" w:hAnsi="Times New Roman" w:cs="Times New Roman"/>
          <w:sz w:val="22"/>
        </w:rPr>
        <w:t xml:space="preserve"> (0.169 mmol), and catalyst E</w:t>
      </w:r>
      <w:r w:rsidRPr="00D53FE3">
        <w:rPr>
          <w:rFonts w:ascii="Times New Roman" w:eastAsia="Malgun Gothic" w:hAnsi="Times New Roman" w:cs="Times New Roman"/>
          <w:sz w:val="22"/>
        </w:rPr>
        <w:t xml:space="preserve"> </w:t>
      </w:r>
      <w:r w:rsidRPr="00D53FE3">
        <w:rPr>
          <w:rFonts w:ascii="Times New Roman" w:hAnsi="Times New Roman" w:cs="Times New Roman"/>
          <w:sz w:val="22"/>
        </w:rPr>
        <w:t xml:space="preserve">(10 mol%) in 1,4- dioxane (0.34 mL, 0.25 M) at </w:t>
      </w:r>
      <w:r w:rsidRPr="00D53FE3">
        <w:rPr>
          <w:rFonts w:ascii="Times New Roman" w:hAnsi="Times New Roman" w:cs="Times New Roman"/>
          <w:noProof/>
          <w:sz w:val="22"/>
        </w:rPr>
        <w:t xml:space="preserve">r.t. </w:t>
      </w:r>
      <w:r w:rsidRPr="00D53FE3">
        <w:rPr>
          <w:rFonts w:ascii="Times New Roman" w:hAnsi="Times New Roman" w:cs="Times New Roman"/>
          <w:sz w:val="22"/>
        </w:rPr>
        <w:t xml:space="preserve">for </w:t>
      </w:r>
      <w:r w:rsidRPr="00D53FE3">
        <w:rPr>
          <w:rFonts w:ascii="Times New Roman" w:eastAsia="Malgun Gothic" w:hAnsi="Times New Roman" w:cs="Times New Roman"/>
          <w:sz w:val="22"/>
        </w:rPr>
        <w:t>5–7</w:t>
      </w:r>
      <w:r w:rsidRPr="00D53FE3">
        <w:rPr>
          <w:rFonts w:ascii="Times New Roman" w:hAnsi="Times New Roman" w:cs="Times New Roman"/>
          <w:sz w:val="22"/>
        </w:rPr>
        <w:t xml:space="preserve"> days. </w:t>
      </w:r>
      <w:r w:rsidRPr="00D53FE3">
        <w:rPr>
          <w:rFonts w:ascii="Times New Roman" w:eastAsia="Malgun Gothic" w:hAnsi="Times New Roman" w:cs="Times New Roman"/>
          <w:sz w:val="22"/>
        </w:rPr>
        <w:t>The yields</w:t>
      </w:r>
      <w:r w:rsidRPr="00D53FE3">
        <w:rPr>
          <w:rFonts w:ascii="Times New Roman" w:hAnsi="Times New Roman" w:cs="Times New Roman"/>
          <w:sz w:val="22"/>
        </w:rPr>
        <w:t xml:space="preserve"> of </w:t>
      </w:r>
      <w:r w:rsidRPr="00D53FE3">
        <w:rPr>
          <w:rFonts w:ascii="Times New Roman" w:eastAsia="Malgun Gothic" w:hAnsi="Times New Roman" w:cs="Times New Roman"/>
          <w:sz w:val="22"/>
        </w:rPr>
        <w:t xml:space="preserve">the </w:t>
      </w:r>
      <w:r w:rsidRPr="00D53FE3">
        <w:rPr>
          <w:rFonts w:ascii="Times New Roman" w:hAnsi="Times New Roman" w:cs="Times New Roman"/>
          <w:sz w:val="22"/>
        </w:rPr>
        <w:t xml:space="preserve">products were determined by </w:t>
      </w:r>
      <w:r w:rsidRPr="00D53FE3">
        <w:rPr>
          <w:rFonts w:ascii="Times New Roman" w:hAnsi="Times New Roman" w:cs="Times New Roman"/>
          <w:sz w:val="22"/>
          <w:vertAlign w:val="superscript"/>
        </w:rPr>
        <w:t>1</w:t>
      </w:r>
      <w:r w:rsidRPr="00D53FE3">
        <w:rPr>
          <w:rFonts w:ascii="Times New Roman" w:hAnsi="Times New Roman" w:cs="Times New Roman"/>
          <w:sz w:val="22"/>
        </w:rPr>
        <w:t xml:space="preserve">H NMR spectroscopic analysis with 1,2-dibromoethane as an internal standard. </w:t>
      </w:r>
      <w:r w:rsidRPr="00D53FE3">
        <w:rPr>
          <w:rFonts w:ascii="Times New Roman" w:eastAsia="Malgun Gothic" w:hAnsi="Times New Roman" w:cs="Times New Roman"/>
          <w:sz w:val="22"/>
        </w:rPr>
        <w:t>The diastereomeric</w:t>
      </w:r>
      <w:r w:rsidRPr="00D53FE3">
        <w:rPr>
          <w:rFonts w:ascii="Times New Roman" w:hAnsi="Times New Roman" w:cs="Times New Roman"/>
          <w:sz w:val="22"/>
        </w:rPr>
        <w:t xml:space="preserve"> ratio (dr) was determined by spectroscopic analysis. Enantiomeric excess (ee) was determined by HPLC analysis. </w:t>
      </w:r>
      <w:r w:rsidRPr="00D53FE3">
        <w:rPr>
          <w:rFonts w:ascii="Times New Roman" w:hAnsi="Times New Roman" w:cs="Times New Roman"/>
          <w:sz w:val="22"/>
          <w:vertAlign w:val="superscript"/>
        </w:rPr>
        <w:t>b)</w:t>
      </w:r>
      <w:r w:rsidRPr="00D53FE3">
        <w:rPr>
          <w:rFonts w:ascii="Times New Roman" w:eastAsia="Malgun Gothic" w:hAnsi="Times New Roman" w:cs="Times New Roman"/>
          <w:sz w:val="22"/>
          <w:vertAlign w:val="superscript"/>
        </w:rPr>
        <w:t xml:space="preserve"> </w:t>
      </w:r>
      <w:r w:rsidRPr="00D53FE3">
        <w:rPr>
          <w:rFonts w:ascii="Times New Roman" w:hAnsi="Times New Roman" w:cs="Times New Roman"/>
          <w:sz w:val="22"/>
        </w:rPr>
        <w:t xml:space="preserve">Reactions were performed with </w:t>
      </w:r>
      <w:r w:rsidRPr="00D53FE3">
        <w:rPr>
          <w:rFonts w:ascii="Times New Roman" w:hAnsi="Times New Roman" w:cs="Times New Roman" w:hint="eastAsia"/>
          <w:sz w:val="22"/>
        </w:rPr>
        <w:t xml:space="preserve">a </w:t>
      </w:r>
      <w:r w:rsidRPr="00D53FE3">
        <w:rPr>
          <w:rFonts w:ascii="Times New Roman" w:hAnsi="Times New Roman" w:cs="Times New Roman" w:hint="eastAsia"/>
          <w:noProof/>
          <w:sz w:val="22"/>
        </w:rPr>
        <w:t>p</w:t>
      </w:r>
      <w:r w:rsidRPr="00D53FE3">
        <w:rPr>
          <w:rFonts w:ascii="Times New Roman" w:hAnsi="Times New Roman" w:cs="Times New Roman"/>
          <w:noProof/>
          <w:sz w:val="22"/>
        </w:rPr>
        <w:t xml:space="preserve">seudoenantiomer </w:t>
      </w:r>
      <w:r w:rsidRPr="00D53FE3">
        <w:rPr>
          <w:rFonts w:ascii="Times New Roman" w:hAnsi="Times New Roman" w:cs="Times New Roman"/>
          <w:sz w:val="22"/>
        </w:rPr>
        <w:t xml:space="preserve">of catalyst E (10 mol%) under </w:t>
      </w:r>
      <w:r w:rsidRPr="00D53FE3">
        <w:rPr>
          <w:rFonts w:ascii="Times New Roman" w:eastAsia="Malgun Gothic" w:hAnsi="Times New Roman" w:cs="Times New Roman"/>
          <w:sz w:val="22"/>
        </w:rPr>
        <w:t xml:space="preserve">the </w:t>
      </w:r>
      <w:r w:rsidRPr="00D53FE3">
        <w:rPr>
          <w:rFonts w:ascii="Times New Roman" w:hAnsi="Times New Roman" w:cs="Times New Roman"/>
          <w:sz w:val="22"/>
        </w:rPr>
        <w:t xml:space="preserve">same </w:t>
      </w:r>
      <w:r w:rsidRPr="00D53FE3">
        <w:rPr>
          <w:rFonts w:ascii="Times New Roman" w:eastAsia="Malgun Gothic" w:hAnsi="Times New Roman" w:cs="Times New Roman"/>
          <w:sz w:val="22"/>
        </w:rPr>
        <w:t xml:space="preserve">conditions </w:t>
      </w:r>
      <w:r w:rsidRPr="00D53FE3">
        <w:rPr>
          <w:rFonts w:ascii="Times New Roman" w:hAnsi="Times New Roman" w:cs="Times New Roman"/>
          <w:sz w:val="22"/>
        </w:rPr>
        <w:t>(see Table S5).</w:t>
      </w:r>
    </w:p>
    <w:p w14:paraId="4CE6A90C" w14:textId="77777777" w:rsidR="00804F09" w:rsidRPr="00D53FE3" w:rsidRDefault="00804F09" w:rsidP="00804F09">
      <w:pPr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D53FE3">
        <w:rPr>
          <w:rFonts w:ascii="Times New Roman" w:hAnsi="Times New Roman" w:cs="Times New Roman" w:hint="eastAsia"/>
          <w:b/>
          <w:color w:val="0070C0"/>
          <w:sz w:val="24"/>
          <w:szCs w:val="24"/>
        </w:rPr>
        <w:t>T</w:t>
      </w:r>
      <w:r w:rsidRPr="00D53FE3">
        <w:rPr>
          <w:rFonts w:ascii="Times New Roman" w:hAnsi="Times New Roman" w:cs="Times New Roman"/>
          <w:b/>
          <w:color w:val="0070C0"/>
          <w:sz w:val="24"/>
          <w:szCs w:val="24"/>
        </w:rPr>
        <w:t>able 4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>. Optimization of the deoxygenation of allylic alcohols.</w:t>
      </w:r>
    </w:p>
    <w:p w14:paraId="47EFFC83" w14:textId="77777777" w:rsidR="00804F09" w:rsidRPr="00423480" w:rsidRDefault="00804F09" w:rsidP="00804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3FE3">
        <w:rPr>
          <w:rFonts w:ascii="Times New Roman" w:hAnsi="Times New Roman" w:cs="Times New Roman"/>
          <w:sz w:val="24"/>
          <w:szCs w:val="24"/>
        </w:rPr>
        <w:object w:dxaOrig="5523" w:dyaOrig="4963" w14:anchorId="16A82D83">
          <v:shape id="_x0000_i1031" type="#_x0000_t75" alt="" style="width:276pt;height:248pt;mso-width-percent:0;mso-height-percent:0;mso-width-percent:0;mso-height-percent:0" o:ole="">
            <v:imagedata r:id="rId10" o:title=""/>
          </v:shape>
          <o:OLEObject Type="Embed" ProgID="ChemDraw.Document.6.0" ShapeID="_x0000_i1031" DrawAspect="Content" ObjectID="_1822811220" r:id="rId11"/>
        </w:object>
      </w:r>
    </w:p>
    <w:p w14:paraId="5C3DED95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F09"/>
    <w:rsid w:val="00523B6F"/>
    <w:rsid w:val="005C0D39"/>
    <w:rsid w:val="0070406C"/>
    <w:rsid w:val="00724754"/>
    <w:rsid w:val="00804F09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E4151"/>
  <w15:chartTrackingRefBased/>
  <w15:docId w15:val="{FD484A5C-8C5D-4531-83E6-92C62C848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F09"/>
    <w:pPr>
      <w:spacing w:after="120" w:line="240" w:lineRule="atLeast"/>
      <w:jc w:val="both"/>
    </w:pPr>
    <w:rPr>
      <w:rFonts w:eastAsiaTheme="minorEastAsia"/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4F0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F0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F09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F09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F09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F09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F09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F09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F09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F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F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F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F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F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F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F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F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F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F0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4F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F09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4F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F09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4F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F09"/>
    <w:pPr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4F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F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F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F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276</Words>
  <Characters>1496</Characters>
  <Application>Microsoft Office Word</Application>
  <DocSecurity>0</DocSecurity>
  <Lines>24</Lines>
  <Paragraphs>8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2025-10-24T06:09:00Z</dcterms:created>
  <dcterms:modified xsi:type="dcterms:W3CDTF">2025-10-24T06:10:00Z</dcterms:modified>
</cp:coreProperties>
</file>