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D1B9F" w14:textId="0824C4A2" w:rsidR="007C3A8E" w:rsidRPr="003E22DE" w:rsidRDefault="00091BD2" w:rsidP="00892D41">
      <w:pPr>
        <w:spacing w:after="120"/>
        <w:rPr>
          <w:rStyle w:val="normaltextrun"/>
          <w:rFonts w:ascii="Arial" w:hAnsi="Arial" w:cs="Arial"/>
          <w:b/>
          <w:bCs/>
          <w:color w:val="000000"/>
          <w:sz w:val="22"/>
          <w:szCs w:val="22"/>
          <w:bdr w:val="none" w:sz="0" w:space="0" w:color="auto" w:frame="1"/>
          <w:lang w:val="en-GB"/>
        </w:rPr>
      </w:pPr>
      <w:r w:rsidRPr="003E22DE">
        <w:rPr>
          <w:rStyle w:val="normaltextrun"/>
          <w:rFonts w:ascii="Arial" w:hAnsi="Arial" w:cs="Arial"/>
          <w:b/>
          <w:bCs/>
          <w:color w:val="000000"/>
          <w:sz w:val="22"/>
          <w:szCs w:val="22"/>
          <w:bdr w:val="none" w:sz="0" w:space="0" w:color="auto" w:frame="1"/>
          <w:lang w:val="en-GB"/>
        </w:rPr>
        <w:t xml:space="preserve">Supplementary </w:t>
      </w:r>
      <w:r w:rsidR="007C3A8E" w:rsidRPr="003E22DE">
        <w:rPr>
          <w:rStyle w:val="normaltextrun"/>
          <w:rFonts w:ascii="Arial" w:hAnsi="Arial" w:cs="Arial"/>
          <w:b/>
          <w:bCs/>
          <w:color w:val="000000"/>
          <w:sz w:val="22"/>
          <w:szCs w:val="22"/>
          <w:bdr w:val="none" w:sz="0" w:space="0" w:color="auto" w:frame="1"/>
          <w:lang w:val="en-GB"/>
        </w:rPr>
        <w:t xml:space="preserve">Table </w:t>
      </w:r>
      <w:r w:rsidRPr="003E22DE">
        <w:rPr>
          <w:rStyle w:val="normaltextrun"/>
          <w:rFonts w:ascii="Arial" w:hAnsi="Arial" w:cs="Arial"/>
          <w:b/>
          <w:bCs/>
          <w:color w:val="000000"/>
          <w:sz w:val="22"/>
          <w:szCs w:val="22"/>
          <w:bdr w:val="none" w:sz="0" w:space="0" w:color="auto" w:frame="1"/>
          <w:lang w:val="en-GB"/>
        </w:rPr>
        <w:t>3</w:t>
      </w:r>
      <w:r w:rsidR="007C3A8E" w:rsidRPr="003E22DE">
        <w:rPr>
          <w:rStyle w:val="normaltextrun"/>
          <w:rFonts w:ascii="Arial" w:hAnsi="Arial" w:cs="Arial"/>
          <w:b/>
          <w:bCs/>
          <w:color w:val="000000"/>
          <w:sz w:val="22"/>
          <w:szCs w:val="22"/>
          <w:bdr w:val="none" w:sz="0" w:space="0" w:color="auto" w:frame="1"/>
          <w:lang w:val="en-GB"/>
        </w:rPr>
        <w:t xml:space="preserve">. </w:t>
      </w:r>
      <w:r w:rsidRPr="003E22DE">
        <w:rPr>
          <w:rFonts w:ascii="Arial" w:hAnsi="Arial" w:cs="Arial"/>
          <w:sz w:val="22"/>
          <w:szCs w:val="22"/>
          <w:bdr w:val="none" w:sz="0" w:space="0" w:color="auto" w:frame="1"/>
        </w:rPr>
        <w:t>Criteria for inclusion and exclusion of participants</w:t>
      </w:r>
      <w:r w:rsidRPr="003E22DE">
        <w:rPr>
          <w:rFonts w:ascii="Arial" w:hAnsi="Arial" w:cs="Arial"/>
          <w:sz w:val="22"/>
          <w:szCs w:val="22"/>
          <w:bdr w:val="none" w:sz="0" w:space="0" w:color="auto" w:frame="1"/>
        </w:rPr>
        <w:t>.</w:t>
      </w:r>
    </w:p>
    <w:tbl>
      <w:tblPr>
        <w:tblStyle w:val="TableGrid"/>
        <w:tblW w:w="0" w:type="auto"/>
        <w:tblLook w:val="04A0" w:firstRow="1" w:lastRow="0" w:firstColumn="1" w:lastColumn="0" w:noHBand="0" w:noVBand="1"/>
      </w:tblPr>
      <w:tblGrid>
        <w:gridCol w:w="1271"/>
        <w:gridCol w:w="7739"/>
      </w:tblGrid>
      <w:tr w:rsidR="007C3A8E" w:rsidRPr="003E22DE" w14:paraId="2818C6A7" w14:textId="77777777" w:rsidTr="00F04645">
        <w:tc>
          <w:tcPr>
            <w:tcW w:w="1271" w:type="dxa"/>
          </w:tcPr>
          <w:p w14:paraId="24F96227" w14:textId="77777777" w:rsidR="007C3A8E" w:rsidRPr="003E22DE" w:rsidRDefault="007C3A8E" w:rsidP="0048528B">
            <w:pPr>
              <w:spacing w:before="120"/>
              <w:rPr>
                <w:rFonts w:ascii="Arial" w:hAnsi="Arial" w:cs="Arial"/>
                <w:b/>
                <w:bCs/>
                <w:sz w:val="22"/>
                <w:szCs w:val="22"/>
              </w:rPr>
            </w:pPr>
            <w:r w:rsidRPr="003E22DE">
              <w:rPr>
                <w:rFonts w:ascii="Arial" w:hAnsi="Arial" w:cs="Arial"/>
                <w:b/>
                <w:bCs/>
                <w:sz w:val="22"/>
                <w:szCs w:val="22"/>
              </w:rPr>
              <w:t>Inclusion criteria</w:t>
            </w:r>
          </w:p>
        </w:tc>
        <w:tc>
          <w:tcPr>
            <w:tcW w:w="7739" w:type="dxa"/>
          </w:tcPr>
          <w:p w14:paraId="1118F848" w14:textId="77777777" w:rsidR="00456FB0" w:rsidRPr="003E22DE" w:rsidRDefault="007C3A8E" w:rsidP="0048528B">
            <w:pPr>
              <w:pStyle w:val="ListParagraph"/>
              <w:numPr>
                <w:ilvl w:val="0"/>
                <w:numId w:val="3"/>
              </w:numPr>
              <w:spacing w:before="120"/>
              <w:rPr>
                <w:rFonts w:ascii="Arial" w:hAnsi="Arial" w:cs="Arial"/>
                <w:sz w:val="22"/>
                <w:szCs w:val="22"/>
              </w:rPr>
            </w:pPr>
            <w:r w:rsidRPr="003E22DE">
              <w:rPr>
                <w:rFonts w:ascii="Arial" w:hAnsi="Arial" w:cs="Arial"/>
                <w:sz w:val="22"/>
                <w:szCs w:val="22"/>
              </w:rPr>
              <w:t xml:space="preserve">Age ≥18 years ≤75 years. </w:t>
            </w:r>
          </w:p>
          <w:p w14:paraId="21EB1AD1" w14:textId="77777777" w:rsidR="00456FB0" w:rsidRPr="003E22DE" w:rsidRDefault="007C3A8E" w:rsidP="0048528B">
            <w:pPr>
              <w:pStyle w:val="ListParagraph"/>
              <w:numPr>
                <w:ilvl w:val="0"/>
                <w:numId w:val="3"/>
              </w:numPr>
              <w:spacing w:before="120"/>
              <w:rPr>
                <w:rFonts w:ascii="Arial" w:hAnsi="Arial" w:cs="Arial"/>
                <w:sz w:val="22"/>
                <w:szCs w:val="22"/>
              </w:rPr>
            </w:pPr>
            <w:r w:rsidRPr="003E22DE">
              <w:rPr>
                <w:rFonts w:ascii="Arial" w:hAnsi="Arial" w:cs="Arial"/>
                <w:sz w:val="22"/>
                <w:szCs w:val="22"/>
              </w:rPr>
              <w:t xml:space="preserve">Diagnosis of unipolar depressive episode or bipolar disorder in depressive phase or dysthymia </w:t>
            </w:r>
          </w:p>
          <w:p w14:paraId="4DB959F6" w14:textId="77777777" w:rsidR="00456FB0" w:rsidRPr="003E22DE" w:rsidRDefault="007C3A8E" w:rsidP="0048528B">
            <w:pPr>
              <w:pStyle w:val="ListParagraph"/>
              <w:numPr>
                <w:ilvl w:val="0"/>
                <w:numId w:val="3"/>
              </w:numPr>
              <w:spacing w:before="120"/>
              <w:rPr>
                <w:rFonts w:ascii="Arial" w:hAnsi="Arial" w:cs="Arial"/>
                <w:sz w:val="22"/>
                <w:szCs w:val="22"/>
              </w:rPr>
            </w:pPr>
            <w:r w:rsidRPr="003E22DE">
              <w:rPr>
                <w:rFonts w:ascii="Arial" w:hAnsi="Arial" w:cs="Arial"/>
                <w:sz w:val="22"/>
                <w:szCs w:val="22"/>
              </w:rPr>
              <w:t xml:space="preserve">Clinically significant anhedonia symptoms: 3 or 4 points on ≥ 3 items of the SHAPS. </w:t>
            </w:r>
          </w:p>
          <w:p w14:paraId="2230FBAB" w14:textId="77777777" w:rsidR="00456FB0" w:rsidRPr="003E22DE" w:rsidRDefault="007C3A8E" w:rsidP="0048528B">
            <w:pPr>
              <w:pStyle w:val="ListParagraph"/>
              <w:numPr>
                <w:ilvl w:val="0"/>
                <w:numId w:val="3"/>
              </w:numPr>
              <w:spacing w:before="120"/>
              <w:rPr>
                <w:rFonts w:ascii="Arial" w:hAnsi="Arial" w:cs="Arial"/>
                <w:sz w:val="22"/>
                <w:szCs w:val="22"/>
              </w:rPr>
            </w:pPr>
            <w:r w:rsidRPr="003E22DE">
              <w:rPr>
                <w:rFonts w:ascii="Arial" w:hAnsi="Arial" w:cs="Arial"/>
                <w:sz w:val="22"/>
                <w:szCs w:val="22"/>
              </w:rPr>
              <w:t>Ongoing treatment with at least one antidepressant or mood stabilizing medication ≥ 4 weeks. Has tried an antidepressant at a therapeutic dose but not achieved remission (refractory stage 1 depression).</w:t>
            </w:r>
          </w:p>
          <w:p w14:paraId="45820579" w14:textId="3684DD77" w:rsidR="007C3A8E" w:rsidRPr="003E22DE" w:rsidRDefault="007C3A8E" w:rsidP="0048528B">
            <w:pPr>
              <w:pStyle w:val="ListParagraph"/>
              <w:numPr>
                <w:ilvl w:val="0"/>
                <w:numId w:val="3"/>
              </w:numPr>
              <w:spacing w:before="120"/>
              <w:rPr>
                <w:rFonts w:ascii="Arial" w:hAnsi="Arial" w:cs="Arial"/>
                <w:sz w:val="22"/>
                <w:szCs w:val="22"/>
              </w:rPr>
            </w:pPr>
            <w:r w:rsidRPr="003E22DE">
              <w:rPr>
                <w:rFonts w:ascii="Arial" w:hAnsi="Arial" w:cs="Arial"/>
                <w:sz w:val="22"/>
                <w:szCs w:val="22"/>
              </w:rPr>
              <w:t xml:space="preserve"> The research subject has given informed consent to participate in the study.</w:t>
            </w:r>
          </w:p>
        </w:tc>
      </w:tr>
      <w:tr w:rsidR="007C3A8E" w:rsidRPr="003E22DE" w14:paraId="6BF2E122" w14:textId="77777777" w:rsidTr="00F04645">
        <w:tc>
          <w:tcPr>
            <w:tcW w:w="1271" w:type="dxa"/>
          </w:tcPr>
          <w:p w14:paraId="5989CA62" w14:textId="77777777" w:rsidR="007C3A8E" w:rsidRPr="003E22DE" w:rsidRDefault="007C3A8E" w:rsidP="0048528B">
            <w:pPr>
              <w:spacing w:before="120"/>
              <w:rPr>
                <w:rFonts w:ascii="Arial" w:hAnsi="Arial" w:cs="Arial"/>
                <w:b/>
                <w:bCs/>
                <w:sz w:val="22"/>
                <w:szCs w:val="22"/>
              </w:rPr>
            </w:pPr>
            <w:r w:rsidRPr="003E22DE">
              <w:rPr>
                <w:rFonts w:ascii="Arial" w:hAnsi="Arial" w:cs="Arial"/>
                <w:b/>
                <w:bCs/>
                <w:sz w:val="22"/>
                <w:szCs w:val="22"/>
              </w:rPr>
              <w:t>Exclusion criteria</w:t>
            </w:r>
          </w:p>
        </w:tc>
        <w:tc>
          <w:tcPr>
            <w:tcW w:w="7739" w:type="dxa"/>
          </w:tcPr>
          <w:p w14:paraId="2A0394B4" w14:textId="77777777" w:rsidR="00456FB0" w:rsidRPr="003E22DE" w:rsidRDefault="007C3A8E" w:rsidP="0048528B">
            <w:pPr>
              <w:pStyle w:val="ListParagraph"/>
              <w:numPr>
                <w:ilvl w:val="0"/>
                <w:numId w:val="4"/>
              </w:numPr>
              <w:spacing w:before="120"/>
              <w:rPr>
                <w:rFonts w:ascii="Arial" w:hAnsi="Arial" w:cs="Arial"/>
                <w:sz w:val="22"/>
                <w:szCs w:val="22"/>
              </w:rPr>
            </w:pPr>
            <w:r w:rsidRPr="003E22DE">
              <w:rPr>
                <w:rFonts w:ascii="Arial" w:hAnsi="Arial" w:cs="Arial"/>
                <w:sz w:val="22"/>
                <w:szCs w:val="22"/>
              </w:rPr>
              <w:t xml:space="preserve">Pregnancy, breastfeeding or planned pregnancy (if female). </w:t>
            </w:r>
          </w:p>
          <w:p w14:paraId="45CB8ED9" w14:textId="77777777" w:rsidR="00456FB0" w:rsidRPr="003E22DE" w:rsidRDefault="007C3A8E" w:rsidP="0048528B">
            <w:pPr>
              <w:pStyle w:val="ListParagraph"/>
              <w:numPr>
                <w:ilvl w:val="0"/>
                <w:numId w:val="4"/>
              </w:numPr>
              <w:spacing w:before="120"/>
              <w:rPr>
                <w:rFonts w:ascii="Arial" w:hAnsi="Arial" w:cs="Arial"/>
                <w:sz w:val="22"/>
                <w:szCs w:val="22"/>
              </w:rPr>
            </w:pPr>
            <w:r w:rsidRPr="003E22DE">
              <w:rPr>
                <w:rFonts w:ascii="Arial" w:hAnsi="Arial" w:cs="Arial"/>
                <w:sz w:val="22"/>
                <w:szCs w:val="22"/>
              </w:rPr>
              <w:t xml:space="preserve">High suicide risk according to the overall clinical assessment of the research physician. </w:t>
            </w:r>
          </w:p>
          <w:p w14:paraId="05A8C870" w14:textId="77777777" w:rsidR="00456FB0" w:rsidRPr="003E22DE" w:rsidRDefault="007C3A8E" w:rsidP="0048528B">
            <w:pPr>
              <w:pStyle w:val="ListParagraph"/>
              <w:numPr>
                <w:ilvl w:val="0"/>
                <w:numId w:val="4"/>
              </w:numPr>
              <w:spacing w:before="120"/>
              <w:rPr>
                <w:rFonts w:ascii="Arial" w:hAnsi="Arial" w:cs="Arial"/>
                <w:sz w:val="22"/>
                <w:szCs w:val="22"/>
              </w:rPr>
            </w:pPr>
            <w:r w:rsidRPr="003E22DE">
              <w:rPr>
                <w:rFonts w:ascii="Arial" w:hAnsi="Arial" w:cs="Arial"/>
                <w:sz w:val="22"/>
                <w:szCs w:val="22"/>
              </w:rPr>
              <w:t>Ongoing substance abuse (within 6 months).</w:t>
            </w:r>
          </w:p>
          <w:p w14:paraId="5D51D8DC" w14:textId="77777777" w:rsidR="00456FB0" w:rsidRPr="003E22DE" w:rsidRDefault="007C3A8E" w:rsidP="0048528B">
            <w:pPr>
              <w:pStyle w:val="ListParagraph"/>
              <w:numPr>
                <w:ilvl w:val="0"/>
                <w:numId w:val="4"/>
              </w:numPr>
              <w:spacing w:before="120"/>
              <w:rPr>
                <w:rFonts w:ascii="Arial" w:hAnsi="Arial" w:cs="Arial"/>
                <w:sz w:val="22"/>
                <w:szCs w:val="22"/>
              </w:rPr>
            </w:pPr>
            <w:r w:rsidRPr="003E22DE">
              <w:rPr>
                <w:rFonts w:ascii="Arial" w:hAnsi="Arial" w:cs="Arial"/>
                <w:sz w:val="22"/>
                <w:szCs w:val="22"/>
              </w:rPr>
              <w:t>Diagnosis of current psychotic disorder.</w:t>
            </w:r>
          </w:p>
          <w:p w14:paraId="381A9BFF" w14:textId="77777777" w:rsidR="00456FB0" w:rsidRPr="003E22DE" w:rsidRDefault="007C3A8E" w:rsidP="0048528B">
            <w:pPr>
              <w:pStyle w:val="ListParagraph"/>
              <w:numPr>
                <w:ilvl w:val="0"/>
                <w:numId w:val="4"/>
              </w:numPr>
              <w:spacing w:before="120"/>
              <w:rPr>
                <w:rFonts w:ascii="Arial" w:hAnsi="Arial" w:cs="Arial"/>
                <w:sz w:val="22"/>
                <w:szCs w:val="22"/>
              </w:rPr>
            </w:pPr>
            <w:r w:rsidRPr="003E22DE">
              <w:rPr>
                <w:rFonts w:ascii="Arial" w:hAnsi="Arial" w:cs="Arial"/>
                <w:sz w:val="22"/>
                <w:szCs w:val="22"/>
              </w:rPr>
              <w:t>Known diagnosis of Emotionally Unstable Personality Disorder.</w:t>
            </w:r>
          </w:p>
          <w:p w14:paraId="1249D0F2" w14:textId="77777777" w:rsidR="00456FB0" w:rsidRPr="003E22DE" w:rsidRDefault="007C3A8E" w:rsidP="0048528B">
            <w:pPr>
              <w:pStyle w:val="ListParagraph"/>
              <w:numPr>
                <w:ilvl w:val="0"/>
                <w:numId w:val="4"/>
              </w:numPr>
              <w:spacing w:before="120"/>
              <w:rPr>
                <w:rFonts w:ascii="Arial" w:hAnsi="Arial" w:cs="Arial"/>
                <w:sz w:val="22"/>
                <w:szCs w:val="22"/>
              </w:rPr>
            </w:pPr>
            <w:r w:rsidRPr="003E22DE">
              <w:rPr>
                <w:rFonts w:ascii="Arial" w:hAnsi="Arial" w:cs="Arial"/>
                <w:sz w:val="22"/>
                <w:szCs w:val="22"/>
              </w:rPr>
              <w:t>Ongoing treatment under the Compulsory Psychiatric Care Act.</w:t>
            </w:r>
          </w:p>
          <w:p w14:paraId="50B4F908" w14:textId="77777777" w:rsidR="00456FB0" w:rsidRPr="003E22DE" w:rsidRDefault="007C3A8E" w:rsidP="0048528B">
            <w:pPr>
              <w:pStyle w:val="ListParagraph"/>
              <w:numPr>
                <w:ilvl w:val="0"/>
                <w:numId w:val="4"/>
              </w:numPr>
              <w:spacing w:before="120"/>
              <w:rPr>
                <w:rFonts w:ascii="Arial" w:hAnsi="Arial" w:cs="Arial"/>
                <w:sz w:val="22"/>
                <w:szCs w:val="22"/>
              </w:rPr>
            </w:pPr>
            <w:r w:rsidRPr="003E22DE">
              <w:rPr>
                <w:rFonts w:ascii="Arial" w:hAnsi="Arial" w:cs="Arial"/>
                <w:sz w:val="22"/>
                <w:szCs w:val="22"/>
              </w:rPr>
              <w:t xml:space="preserve">Medical history or strong clinical suspicion of impulse control disorder (including current binge-eating disorder) or a current ADHD diagnosis with hyperactivity. </w:t>
            </w:r>
          </w:p>
          <w:p w14:paraId="37839932" w14:textId="77777777" w:rsidR="00456FB0" w:rsidRPr="003E22DE" w:rsidRDefault="007C3A8E" w:rsidP="0048528B">
            <w:pPr>
              <w:pStyle w:val="ListParagraph"/>
              <w:numPr>
                <w:ilvl w:val="0"/>
                <w:numId w:val="4"/>
              </w:numPr>
              <w:spacing w:before="120"/>
              <w:rPr>
                <w:rFonts w:ascii="Arial" w:hAnsi="Arial" w:cs="Arial"/>
                <w:sz w:val="22"/>
                <w:szCs w:val="22"/>
              </w:rPr>
            </w:pPr>
            <w:r w:rsidRPr="003E22DE">
              <w:rPr>
                <w:rFonts w:ascii="Arial" w:hAnsi="Arial" w:cs="Arial"/>
                <w:sz w:val="22"/>
                <w:szCs w:val="22"/>
              </w:rPr>
              <w:t>Diagnosis of intellectual disability, dementia, or other circumstances that makes it difficult to understand the meaning of participating in the trial and provide informed consent.</w:t>
            </w:r>
          </w:p>
          <w:p w14:paraId="1BE65E21" w14:textId="77777777" w:rsidR="00456FB0" w:rsidRPr="003E22DE" w:rsidRDefault="007C3A8E" w:rsidP="0048528B">
            <w:pPr>
              <w:pStyle w:val="ListParagraph"/>
              <w:numPr>
                <w:ilvl w:val="0"/>
                <w:numId w:val="4"/>
              </w:numPr>
              <w:spacing w:before="120"/>
              <w:rPr>
                <w:rFonts w:ascii="Arial" w:hAnsi="Arial" w:cs="Arial"/>
                <w:sz w:val="22"/>
                <w:szCs w:val="22"/>
              </w:rPr>
            </w:pPr>
            <w:r w:rsidRPr="003E22DE">
              <w:rPr>
                <w:rFonts w:ascii="Arial" w:hAnsi="Arial" w:cs="Arial"/>
                <w:sz w:val="22"/>
                <w:szCs w:val="22"/>
              </w:rPr>
              <w:t>Diagnosis of renal failure (eGFR &lt; 50 ml/min/1.73m2) or severe cardiovascular disease (specifically symptomatic heart failure NYHA Class II or greater).</w:t>
            </w:r>
          </w:p>
          <w:p w14:paraId="625B9523" w14:textId="77777777" w:rsidR="00456FB0" w:rsidRPr="003E22DE" w:rsidRDefault="007C3A8E" w:rsidP="0048528B">
            <w:pPr>
              <w:pStyle w:val="ListParagraph"/>
              <w:numPr>
                <w:ilvl w:val="0"/>
                <w:numId w:val="4"/>
              </w:numPr>
              <w:spacing w:before="120"/>
              <w:rPr>
                <w:rFonts w:ascii="Arial" w:hAnsi="Arial" w:cs="Arial"/>
                <w:sz w:val="22"/>
                <w:szCs w:val="22"/>
              </w:rPr>
            </w:pPr>
            <w:r w:rsidRPr="003E22DE">
              <w:rPr>
                <w:rFonts w:ascii="Arial" w:hAnsi="Arial" w:cs="Arial"/>
                <w:sz w:val="22"/>
                <w:szCs w:val="22"/>
              </w:rPr>
              <w:t xml:space="preserve"> Recently started psychotherapy (within 6 weeks) or planning to start such treatment during participation in the trial. </w:t>
            </w:r>
          </w:p>
          <w:p w14:paraId="11BB6622" w14:textId="77777777" w:rsidR="00456FB0" w:rsidRPr="003E22DE" w:rsidRDefault="007C3A8E" w:rsidP="0048528B">
            <w:pPr>
              <w:pStyle w:val="ListParagraph"/>
              <w:numPr>
                <w:ilvl w:val="0"/>
                <w:numId w:val="4"/>
              </w:numPr>
              <w:spacing w:before="120"/>
              <w:rPr>
                <w:rFonts w:ascii="Arial" w:hAnsi="Arial" w:cs="Arial"/>
                <w:sz w:val="22"/>
                <w:szCs w:val="22"/>
              </w:rPr>
            </w:pPr>
            <w:r w:rsidRPr="003E22DE">
              <w:rPr>
                <w:rFonts w:ascii="Arial" w:hAnsi="Arial" w:cs="Arial"/>
                <w:sz w:val="22"/>
                <w:szCs w:val="22"/>
              </w:rPr>
              <w:t xml:space="preserve">Ongoing ECT, ketamine or rTMS treatment, except maintenance ECT, ketamine or rTMS. (Maintenance treatment is defined as the use of ECT/ketamine/rTMS for a period exceeding 3 months after a series of ECT/ketamine/rTMS treatment in order to prevent the onset of a new episode). </w:t>
            </w:r>
          </w:p>
          <w:p w14:paraId="3B10638F" w14:textId="77777777" w:rsidR="00456FB0" w:rsidRPr="003E22DE" w:rsidRDefault="007C3A8E" w:rsidP="0048528B">
            <w:pPr>
              <w:pStyle w:val="ListParagraph"/>
              <w:numPr>
                <w:ilvl w:val="0"/>
                <w:numId w:val="4"/>
              </w:numPr>
              <w:spacing w:before="120"/>
              <w:rPr>
                <w:rFonts w:ascii="Arial" w:hAnsi="Arial" w:cs="Arial"/>
                <w:sz w:val="22"/>
                <w:szCs w:val="22"/>
              </w:rPr>
            </w:pPr>
            <w:r w:rsidRPr="003E22DE">
              <w:rPr>
                <w:rFonts w:ascii="Arial" w:hAnsi="Arial" w:cs="Arial"/>
                <w:sz w:val="22"/>
                <w:szCs w:val="22"/>
              </w:rPr>
              <w:t>Other medical conditions or other concomitant drug treatment which, in the opinion of the investigators, may affect the evaluability of the trial or conditions that increase trial risk. For example, Parkinson's disease, hepatic insufficiency, ongoing cancer not in remission for more than one year, obesity surgery affecting the absorption of extended-release tablets.</w:t>
            </w:r>
          </w:p>
          <w:p w14:paraId="09809D3A" w14:textId="77777777" w:rsidR="00456FB0" w:rsidRPr="003E22DE" w:rsidRDefault="007C3A8E" w:rsidP="0048528B">
            <w:pPr>
              <w:pStyle w:val="ListParagraph"/>
              <w:numPr>
                <w:ilvl w:val="0"/>
                <w:numId w:val="4"/>
              </w:numPr>
              <w:spacing w:before="120"/>
              <w:rPr>
                <w:rFonts w:ascii="Arial" w:hAnsi="Arial" w:cs="Arial"/>
                <w:sz w:val="22"/>
                <w:szCs w:val="22"/>
              </w:rPr>
            </w:pPr>
            <w:r w:rsidRPr="003E22DE">
              <w:rPr>
                <w:rFonts w:ascii="Arial" w:hAnsi="Arial" w:cs="Arial"/>
                <w:sz w:val="22"/>
                <w:szCs w:val="22"/>
              </w:rPr>
              <w:t xml:space="preserve"> Ongoing treatment with drugs that affect plasma levels of pramipexole or have similar or antagonistic mechanism of action as pramipexole are not allowed. Ongoing treatment with neuroleptics is not allowed except for low-dose quetiapine (≤150 mg/day) since it has very low binding to dopamine receptors at such low doses. </w:t>
            </w:r>
          </w:p>
          <w:p w14:paraId="6A7E8D84" w14:textId="77777777" w:rsidR="00456FB0" w:rsidRPr="003E22DE" w:rsidRDefault="007C3A8E" w:rsidP="0048528B">
            <w:pPr>
              <w:pStyle w:val="ListParagraph"/>
              <w:numPr>
                <w:ilvl w:val="0"/>
                <w:numId w:val="4"/>
              </w:numPr>
              <w:spacing w:before="120"/>
              <w:rPr>
                <w:rFonts w:ascii="Arial" w:hAnsi="Arial" w:cs="Arial"/>
                <w:sz w:val="22"/>
                <w:szCs w:val="22"/>
              </w:rPr>
            </w:pPr>
            <w:r w:rsidRPr="003E22DE">
              <w:rPr>
                <w:rFonts w:ascii="Arial" w:hAnsi="Arial" w:cs="Arial"/>
                <w:sz w:val="22"/>
                <w:szCs w:val="22"/>
              </w:rPr>
              <w:t xml:space="preserve">Known or suspected allergy to any active substance or excipient in the medicinal product included in the trial. </w:t>
            </w:r>
          </w:p>
          <w:p w14:paraId="10CB6F0F" w14:textId="77777777" w:rsidR="00456FB0" w:rsidRPr="003E22DE" w:rsidRDefault="007C3A8E" w:rsidP="0048528B">
            <w:pPr>
              <w:pStyle w:val="ListParagraph"/>
              <w:numPr>
                <w:ilvl w:val="0"/>
                <w:numId w:val="4"/>
              </w:numPr>
              <w:spacing w:before="120"/>
              <w:rPr>
                <w:rFonts w:ascii="Arial" w:hAnsi="Arial" w:cs="Arial"/>
                <w:sz w:val="22"/>
                <w:szCs w:val="22"/>
              </w:rPr>
            </w:pPr>
            <w:r w:rsidRPr="003E22DE">
              <w:rPr>
                <w:rFonts w:ascii="Arial" w:hAnsi="Arial" w:cs="Arial"/>
                <w:sz w:val="22"/>
                <w:szCs w:val="22"/>
              </w:rPr>
              <w:t xml:space="preserve">Participation in other treatment studies. </w:t>
            </w:r>
          </w:p>
          <w:p w14:paraId="1C290008" w14:textId="1ED74C45" w:rsidR="007C3A8E" w:rsidRPr="003E22DE" w:rsidRDefault="007C3A8E" w:rsidP="0048528B">
            <w:pPr>
              <w:pStyle w:val="ListParagraph"/>
              <w:numPr>
                <w:ilvl w:val="0"/>
                <w:numId w:val="4"/>
              </w:numPr>
              <w:spacing w:before="120"/>
              <w:rPr>
                <w:rFonts w:ascii="Arial" w:hAnsi="Arial" w:cs="Arial"/>
                <w:sz w:val="22"/>
                <w:szCs w:val="22"/>
              </w:rPr>
            </w:pPr>
            <w:r w:rsidRPr="003E22DE">
              <w:rPr>
                <w:rFonts w:ascii="Arial" w:hAnsi="Arial" w:cs="Arial"/>
                <w:sz w:val="22"/>
                <w:szCs w:val="22"/>
              </w:rPr>
              <w:t xml:space="preserve">Other </w:t>
            </w:r>
            <w:r w:rsidR="007E24EB" w:rsidRPr="003E22DE">
              <w:rPr>
                <w:rFonts w:ascii="Arial" w:hAnsi="Arial" w:cs="Arial"/>
                <w:sz w:val="22"/>
                <w:szCs w:val="22"/>
              </w:rPr>
              <w:t>reasons</w:t>
            </w:r>
            <w:r w:rsidRPr="003E22DE">
              <w:rPr>
                <w:rFonts w:ascii="Arial" w:hAnsi="Arial" w:cs="Arial"/>
                <w:sz w:val="22"/>
                <w:szCs w:val="22"/>
              </w:rPr>
              <w:t>, as assessed by the investigator, that prevents the research subject's participation, such as the risk that the research subject is unable to complete the trial (non-compliance).</w:t>
            </w:r>
          </w:p>
        </w:tc>
      </w:tr>
    </w:tbl>
    <w:p w14:paraId="25F3CEE1" w14:textId="77777777" w:rsidR="006B3CA5" w:rsidRPr="003E22DE" w:rsidRDefault="006B3CA5">
      <w:pPr>
        <w:rPr>
          <w:rFonts w:ascii="Arial" w:hAnsi="Arial" w:cs="Arial"/>
          <w:sz w:val="22"/>
          <w:szCs w:val="22"/>
        </w:rPr>
      </w:pPr>
    </w:p>
    <w:sectPr w:rsidR="006B3CA5" w:rsidRPr="003E22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1974"/>
    <w:multiLevelType w:val="hybridMultilevel"/>
    <w:tmpl w:val="8AFC560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3E24B46"/>
    <w:multiLevelType w:val="hybridMultilevel"/>
    <w:tmpl w:val="28803CA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9996E3B"/>
    <w:multiLevelType w:val="hybridMultilevel"/>
    <w:tmpl w:val="32A07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B17861"/>
    <w:multiLevelType w:val="hybridMultilevel"/>
    <w:tmpl w:val="AC26CBF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0009784">
    <w:abstractNumId w:val="2"/>
  </w:num>
  <w:num w:numId="2" w16cid:durableId="1432579309">
    <w:abstractNumId w:val="3"/>
  </w:num>
  <w:num w:numId="3" w16cid:durableId="649024338">
    <w:abstractNumId w:val="0"/>
  </w:num>
  <w:num w:numId="4" w16cid:durableId="1442802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A8E"/>
    <w:rsid w:val="00011CF0"/>
    <w:rsid w:val="00021921"/>
    <w:rsid w:val="000629FA"/>
    <w:rsid w:val="000918A1"/>
    <w:rsid w:val="00091BD2"/>
    <w:rsid w:val="000C07FF"/>
    <w:rsid w:val="000D006B"/>
    <w:rsid w:val="000D0FAB"/>
    <w:rsid w:val="001012EF"/>
    <w:rsid w:val="00120238"/>
    <w:rsid w:val="001209B9"/>
    <w:rsid w:val="001A7F9F"/>
    <w:rsid w:val="001C053B"/>
    <w:rsid w:val="001D6EB6"/>
    <w:rsid w:val="001E580C"/>
    <w:rsid w:val="00217E09"/>
    <w:rsid w:val="00227A91"/>
    <w:rsid w:val="00232939"/>
    <w:rsid w:val="002350EB"/>
    <w:rsid w:val="00242945"/>
    <w:rsid w:val="0025288E"/>
    <w:rsid w:val="0027261E"/>
    <w:rsid w:val="002C63B2"/>
    <w:rsid w:val="00321144"/>
    <w:rsid w:val="003619A0"/>
    <w:rsid w:val="003A65C4"/>
    <w:rsid w:val="003B1F41"/>
    <w:rsid w:val="003D55DF"/>
    <w:rsid w:val="003E22DE"/>
    <w:rsid w:val="003E56BA"/>
    <w:rsid w:val="00404414"/>
    <w:rsid w:val="004134D7"/>
    <w:rsid w:val="00423C36"/>
    <w:rsid w:val="00445655"/>
    <w:rsid w:val="00456FB0"/>
    <w:rsid w:val="004678B4"/>
    <w:rsid w:val="0048528B"/>
    <w:rsid w:val="00493BE8"/>
    <w:rsid w:val="00493CE3"/>
    <w:rsid w:val="004C3A9C"/>
    <w:rsid w:val="004C6720"/>
    <w:rsid w:val="004D483D"/>
    <w:rsid w:val="004D51D3"/>
    <w:rsid w:val="0050396A"/>
    <w:rsid w:val="005115DE"/>
    <w:rsid w:val="0052635D"/>
    <w:rsid w:val="00594CFC"/>
    <w:rsid w:val="005A4462"/>
    <w:rsid w:val="00602511"/>
    <w:rsid w:val="0061512E"/>
    <w:rsid w:val="006264CB"/>
    <w:rsid w:val="00635C8C"/>
    <w:rsid w:val="0066010E"/>
    <w:rsid w:val="006647A3"/>
    <w:rsid w:val="00680367"/>
    <w:rsid w:val="006B3CA5"/>
    <w:rsid w:val="006B4A5F"/>
    <w:rsid w:val="006C7AC3"/>
    <w:rsid w:val="006E598C"/>
    <w:rsid w:val="00704261"/>
    <w:rsid w:val="00730961"/>
    <w:rsid w:val="00792998"/>
    <w:rsid w:val="007B6FB0"/>
    <w:rsid w:val="007C3A8E"/>
    <w:rsid w:val="007E24EB"/>
    <w:rsid w:val="007E624D"/>
    <w:rsid w:val="00805CF9"/>
    <w:rsid w:val="00837EFB"/>
    <w:rsid w:val="008448C1"/>
    <w:rsid w:val="0086773F"/>
    <w:rsid w:val="008712E6"/>
    <w:rsid w:val="00891423"/>
    <w:rsid w:val="00892D41"/>
    <w:rsid w:val="008A4C99"/>
    <w:rsid w:val="008E57C1"/>
    <w:rsid w:val="008F7216"/>
    <w:rsid w:val="008F7A1C"/>
    <w:rsid w:val="0092110F"/>
    <w:rsid w:val="00935FF7"/>
    <w:rsid w:val="00944FC3"/>
    <w:rsid w:val="00967923"/>
    <w:rsid w:val="0097607A"/>
    <w:rsid w:val="009774FE"/>
    <w:rsid w:val="00A0214A"/>
    <w:rsid w:val="00A12971"/>
    <w:rsid w:val="00A51453"/>
    <w:rsid w:val="00AC179C"/>
    <w:rsid w:val="00AF2330"/>
    <w:rsid w:val="00B15426"/>
    <w:rsid w:val="00B52382"/>
    <w:rsid w:val="00B86A41"/>
    <w:rsid w:val="00BA67E9"/>
    <w:rsid w:val="00BB54CF"/>
    <w:rsid w:val="00C0636B"/>
    <w:rsid w:val="00C44598"/>
    <w:rsid w:val="00C75325"/>
    <w:rsid w:val="00CA6EC6"/>
    <w:rsid w:val="00D37896"/>
    <w:rsid w:val="00DB0BBC"/>
    <w:rsid w:val="00E05927"/>
    <w:rsid w:val="00E135E5"/>
    <w:rsid w:val="00E20386"/>
    <w:rsid w:val="00E47B11"/>
    <w:rsid w:val="00E86878"/>
    <w:rsid w:val="00EA38AB"/>
    <w:rsid w:val="00EF5084"/>
    <w:rsid w:val="00EF5B38"/>
    <w:rsid w:val="00F0453F"/>
    <w:rsid w:val="00F23B17"/>
    <w:rsid w:val="00F50EA3"/>
    <w:rsid w:val="00F6177B"/>
    <w:rsid w:val="00F76AE4"/>
    <w:rsid w:val="00F824C2"/>
    <w:rsid w:val="00F93580"/>
    <w:rsid w:val="00F93A45"/>
    <w:rsid w:val="00FC7A9F"/>
    <w:rsid w:val="00FE6E97"/>
    <w:rsid w:val="00FF29D4"/>
    <w:rsid w:val="00FF3A98"/>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3E314"/>
  <w15:chartTrackingRefBased/>
  <w15:docId w15:val="{E6B35528-5155-4F49-A9DF-ECD83CEB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A8E"/>
    <w:pPr>
      <w:pBdr>
        <w:top w:val="nil"/>
        <w:left w:val="nil"/>
        <w:bottom w:val="nil"/>
        <w:right w:val="nil"/>
        <w:between w:val="nil"/>
        <w:bar w:val="nil"/>
      </w:pBdr>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7C3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A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A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A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A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A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A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A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A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A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A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A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A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A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A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A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A8E"/>
    <w:rPr>
      <w:rFonts w:eastAsiaTheme="majorEastAsia" w:cstheme="majorBidi"/>
      <w:color w:val="272727" w:themeColor="text1" w:themeTint="D8"/>
    </w:rPr>
  </w:style>
  <w:style w:type="paragraph" w:styleId="Title">
    <w:name w:val="Title"/>
    <w:basedOn w:val="Normal"/>
    <w:next w:val="Normal"/>
    <w:link w:val="TitleChar"/>
    <w:uiPriority w:val="10"/>
    <w:qFormat/>
    <w:rsid w:val="007C3A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A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A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A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A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3A8E"/>
    <w:rPr>
      <w:i/>
      <w:iCs/>
      <w:color w:val="404040" w:themeColor="text1" w:themeTint="BF"/>
    </w:rPr>
  </w:style>
  <w:style w:type="paragraph" w:styleId="ListParagraph">
    <w:name w:val="List Paragraph"/>
    <w:basedOn w:val="Normal"/>
    <w:uiPriority w:val="34"/>
    <w:qFormat/>
    <w:rsid w:val="007C3A8E"/>
    <w:pPr>
      <w:ind w:left="720"/>
      <w:contextualSpacing/>
    </w:pPr>
  </w:style>
  <w:style w:type="character" w:styleId="IntenseEmphasis">
    <w:name w:val="Intense Emphasis"/>
    <w:basedOn w:val="DefaultParagraphFont"/>
    <w:uiPriority w:val="21"/>
    <w:qFormat/>
    <w:rsid w:val="007C3A8E"/>
    <w:rPr>
      <w:i/>
      <w:iCs/>
      <w:color w:val="0F4761" w:themeColor="accent1" w:themeShade="BF"/>
    </w:rPr>
  </w:style>
  <w:style w:type="paragraph" w:styleId="IntenseQuote">
    <w:name w:val="Intense Quote"/>
    <w:basedOn w:val="Normal"/>
    <w:next w:val="Normal"/>
    <w:link w:val="IntenseQuoteChar"/>
    <w:uiPriority w:val="30"/>
    <w:qFormat/>
    <w:rsid w:val="007C3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A8E"/>
    <w:rPr>
      <w:i/>
      <w:iCs/>
      <w:color w:val="0F4761" w:themeColor="accent1" w:themeShade="BF"/>
    </w:rPr>
  </w:style>
  <w:style w:type="character" w:styleId="IntenseReference">
    <w:name w:val="Intense Reference"/>
    <w:basedOn w:val="DefaultParagraphFont"/>
    <w:uiPriority w:val="32"/>
    <w:qFormat/>
    <w:rsid w:val="007C3A8E"/>
    <w:rPr>
      <w:b/>
      <w:bCs/>
      <w:smallCaps/>
      <w:color w:val="0F4761" w:themeColor="accent1" w:themeShade="BF"/>
      <w:spacing w:val="5"/>
    </w:rPr>
  </w:style>
  <w:style w:type="character" w:customStyle="1" w:styleId="normaltextrun">
    <w:name w:val="normaltextrun"/>
    <w:basedOn w:val="DefaultParagraphFont"/>
    <w:rsid w:val="007C3A8E"/>
  </w:style>
  <w:style w:type="table" w:styleId="TableGrid">
    <w:name w:val="Table Grid"/>
    <w:basedOn w:val="TableNormal"/>
    <w:uiPriority w:val="39"/>
    <w:rsid w:val="007C3A8E"/>
    <w:pPr>
      <w:pBdr>
        <w:top w:val="nil"/>
        <w:left w:val="nil"/>
        <w:bottom w:val="nil"/>
        <w:right w:val="nil"/>
        <w:between w:val="nil"/>
        <w:bar w:val="nil"/>
      </w:pBdr>
    </w:pPr>
    <w:rPr>
      <w:rFonts w:ascii="Times New Roman" w:eastAsia="Arial Unicode MS" w:hAnsi="Times New Roman" w:cs="Times New Roman"/>
      <w:kern w:val="0"/>
      <w:sz w:val="20"/>
      <w:szCs w:val="20"/>
      <w:bdr w:val="nil"/>
      <w:lang w:val="sv-SE"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432</Words>
  <Characters>2468</Characters>
  <Application>Microsoft Office Word</Application>
  <DocSecurity>0</DocSecurity>
  <Lines>20</Lines>
  <Paragraphs>5</Paragraphs>
  <ScaleCrop>false</ScaleCrop>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Lindqvist</dc:creator>
  <cp:keywords/>
  <dc:description/>
  <cp:lastModifiedBy>Filip Ventorp</cp:lastModifiedBy>
  <cp:revision>8</cp:revision>
  <dcterms:created xsi:type="dcterms:W3CDTF">2025-08-22T13:00:00Z</dcterms:created>
  <dcterms:modified xsi:type="dcterms:W3CDTF">2025-09-30T10:58:00Z</dcterms:modified>
</cp:coreProperties>
</file>