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91B4F" w14:textId="77777777" w:rsidR="006A69AE" w:rsidRDefault="006A69AE" w:rsidP="006A69AE">
      <w:pPr>
        <w:spacing w:after="160" w:line="276" w:lineRule="auto"/>
        <w:rPr>
          <w:rFonts w:ascii="Calibri" w:eastAsia="Calibri" w:hAnsi="Calibri" w:cs="Calibri"/>
          <w:b/>
          <w:bCs/>
          <w:color w:val="1F1F1F"/>
          <w:sz w:val="22"/>
          <w:szCs w:val="22"/>
        </w:rPr>
      </w:pPr>
      <w:r>
        <w:rPr>
          <w:rFonts w:ascii="Calibri" w:eastAsia="Calibri" w:hAnsi="Calibri" w:cs="Calibri"/>
          <w:b/>
          <w:bCs/>
          <w:color w:val="1F1F1F"/>
          <w:sz w:val="22"/>
          <w:szCs w:val="22"/>
        </w:rPr>
        <w:t>Tables</w:t>
      </w:r>
    </w:p>
    <w:p w14:paraId="09698264" w14:textId="77777777" w:rsidR="006A69AE" w:rsidRDefault="006A69AE" w:rsidP="006A69AE">
      <w:pPr>
        <w:spacing w:after="160" w:line="276" w:lineRule="auto"/>
        <w:rPr>
          <w:rFonts w:ascii="Calibri" w:eastAsia="Calibri" w:hAnsi="Calibri" w:cs="Calibri"/>
          <w:b/>
          <w:bCs/>
          <w:color w:val="1F1F1F"/>
          <w:sz w:val="22"/>
          <w:szCs w:val="22"/>
        </w:rPr>
      </w:pPr>
      <w:r w:rsidRPr="006B2352">
        <w:rPr>
          <w:rFonts w:ascii="Calibri" w:eastAsia="Calibri" w:hAnsi="Calibri" w:cs="Calibri"/>
          <w:b/>
          <w:bCs/>
          <w:noProof/>
          <w:color w:val="1F1F1F"/>
          <w:sz w:val="22"/>
          <w:szCs w:val="22"/>
        </w:rPr>
        <w:drawing>
          <wp:inline distT="0" distB="0" distL="0" distR="0" wp14:anchorId="4E872297" wp14:editId="3146E4CE">
            <wp:extent cx="5731510" cy="4382770"/>
            <wp:effectExtent l="0" t="0" r="2540" b="0"/>
            <wp:docPr id="2" name="table" descr="A table with numbers and symbols&#10;&#10;AI-generated content may be incorrect.">
              <a:extLst xmlns:a="http://schemas.openxmlformats.org/drawingml/2006/main">
                <a:ext uri="{FF2B5EF4-FFF2-40B4-BE49-F238E27FC236}">
                  <a16:creationId xmlns:a16="http://schemas.microsoft.com/office/drawing/2014/main" id="{CA1FB1EB-6822-EE7F-147B-85CF6F2615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descr="A table with numbers and symbols&#10;&#10;AI-generated content may be incorrect.">
                      <a:extLst>
                        <a:ext uri="{FF2B5EF4-FFF2-40B4-BE49-F238E27FC236}">
                          <a16:creationId xmlns:a16="http://schemas.microsoft.com/office/drawing/2014/main" id="{CA1FB1EB-6822-EE7F-147B-85CF6F2615EB}"/>
                        </a:ext>
                      </a:extLst>
                    </pic:cNvPr>
                    <pic:cNvPicPr>
                      <a:picLocks noChangeAspect="1"/>
                    </pic:cNvPicPr>
                  </pic:nvPicPr>
                  <pic:blipFill>
                    <a:blip r:embed="rId4"/>
                    <a:stretch>
                      <a:fillRect/>
                    </a:stretch>
                  </pic:blipFill>
                  <pic:spPr>
                    <a:xfrm>
                      <a:off x="0" y="0"/>
                      <a:ext cx="5731510" cy="4382770"/>
                    </a:xfrm>
                    <a:prstGeom prst="rect">
                      <a:avLst/>
                    </a:prstGeom>
                  </pic:spPr>
                </pic:pic>
              </a:graphicData>
            </a:graphic>
          </wp:inline>
        </w:drawing>
      </w:r>
    </w:p>
    <w:p w14:paraId="2FBBDDE4" w14:textId="77777777" w:rsidR="006A69AE" w:rsidRDefault="006A69AE" w:rsidP="006A69AE">
      <w:pPr>
        <w:spacing w:after="160" w:line="276" w:lineRule="auto"/>
        <w:rPr>
          <w:rFonts w:ascii="Calibri" w:eastAsia="Calibri" w:hAnsi="Calibri" w:cs="Calibri"/>
          <w:b/>
          <w:bCs/>
          <w:color w:val="1F1F1F"/>
          <w:sz w:val="22"/>
          <w:szCs w:val="22"/>
          <w:lang w:val="en-US"/>
        </w:rPr>
      </w:pPr>
      <w:r w:rsidRPr="006B2352">
        <w:rPr>
          <w:rFonts w:ascii="Calibri" w:eastAsia="Calibri" w:hAnsi="Calibri" w:cs="Calibri"/>
          <w:b/>
          <w:bCs/>
          <w:color w:val="1F1F1F"/>
          <w:sz w:val="22"/>
          <w:szCs w:val="22"/>
          <w:lang w:val="en-US"/>
        </w:rPr>
        <w:t>Table 1</w:t>
      </w:r>
      <w:r>
        <w:rPr>
          <w:rFonts w:ascii="Calibri" w:eastAsia="Calibri" w:hAnsi="Calibri" w:cs="Calibri"/>
          <w:b/>
          <w:bCs/>
          <w:color w:val="1F1F1F"/>
          <w:sz w:val="22"/>
          <w:szCs w:val="22"/>
          <w:lang w:val="en-US"/>
        </w:rPr>
        <w:t>.</w:t>
      </w:r>
      <w:r w:rsidRPr="006B2352">
        <w:rPr>
          <w:rFonts w:ascii="Calibri" w:eastAsia="Calibri" w:hAnsi="Calibri" w:cs="Calibri"/>
          <w:b/>
          <w:bCs/>
          <w:color w:val="1F1F1F"/>
          <w:sz w:val="22"/>
          <w:szCs w:val="22"/>
          <w:lang w:val="en-US"/>
        </w:rPr>
        <w:t xml:space="preserve"> Prevalence of mutations in antibody-binding sites on RSV-F from sequences collected in the UK, 2019-2024. </w:t>
      </w:r>
      <w:r w:rsidRPr="006B2352">
        <w:rPr>
          <w:rFonts w:ascii="Calibri" w:eastAsia="Calibri" w:hAnsi="Calibri" w:cs="Calibri"/>
          <w:color w:val="1F1F1F"/>
          <w:sz w:val="22"/>
          <w:szCs w:val="22"/>
          <w:lang w:val="en-US"/>
        </w:rPr>
        <w:t>Mutations are displayed within nirsevimab binding sites (divided into residues on the F2 and F1 sub-unit) and palivizumab sites with count representing the number of sequences in which the mutation was identified out of 3,037 samples (RSV-A and RSV-B subtype) samples. Biochemical properties of the reference amino acid are given alongside that of the mutated amino acid. Highlighted mutations signify those reported to have altered susceptibility to the antibody. Mutations found in RSV-A samples (n=1,491) compared to reference.</w:t>
      </w:r>
    </w:p>
    <w:p w14:paraId="553C4A12" w14:textId="77777777" w:rsidR="006A69AE" w:rsidRDefault="006A69AE" w:rsidP="006A69AE">
      <w:pPr>
        <w:spacing w:after="160" w:line="276" w:lineRule="auto"/>
        <w:rPr>
          <w:rFonts w:ascii="Calibri" w:eastAsia="Calibri" w:hAnsi="Calibri" w:cs="Calibri"/>
          <w:b/>
          <w:bCs/>
          <w:color w:val="1F1F1F"/>
          <w:sz w:val="22"/>
          <w:szCs w:val="22"/>
          <w:lang w:val="en-US"/>
        </w:rPr>
      </w:pPr>
      <w:r>
        <w:rPr>
          <w:rFonts w:ascii="Calibri" w:eastAsia="Calibri" w:hAnsi="Calibri" w:cs="Calibri"/>
          <w:b/>
          <w:bCs/>
          <w:color w:val="1F1F1F"/>
          <w:sz w:val="22"/>
          <w:szCs w:val="22"/>
          <w:lang w:val="en-US"/>
        </w:rPr>
        <w:br w:type="page"/>
      </w:r>
    </w:p>
    <w:p w14:paraId="04F27101" w14:textId="77777777" w:rsidR="006A69AE" w:rsidRPr="006B2352" w:rsidRDefault="006A69AE" w:rsidP="006A69AE">
      <w:pPr>
        <w:spacing w:after="160" w:line="276" w:lineRule="auto"/>
        <w:rPr>
          <w:rFonts w:ascii="Calibri" w:eastAsia="Calibri" w:hAnsi="Calibri" w:cs="Calibri"/>
          <w:b/>
          <w:bCs/>
          <w:color w:val="1F1F1F"/>
          <w:sz w:val="22"/>
          <w:szCs w:val="22"/>
        </w:rPr>
      </w:pPr>
      <w:r w:rsidRPr="000948AF">
        <w:rPr>
          <w:rFonts w:ascii="Calibri" w:eastAsia="Calibri" w:hAnsi="Calibri" w:cs="Calibri"/>
          <w:b/>
          <w:bCs/>
          <w:noProof/>
          <w:color w:val="1F1F1F"/>
          <w:sz w:val="22"/>
          <w:szCs w:val="22"/>
        </w:rPr>
        <w:lastRenderedPageBreak/>
        <w:drawing>
          <wp:inline distT="0" distB="0" distL="0" distR="0" wp14:anchorId="07C48689" wp14:editId="1969E520">
            <wp:extent cx="5731510" cy="5190490"/>
            <wp:effectExtent l="0" t="0" r="2540" b="0"/>
            <wp:docPr id="2033694384" name="table" descr="A screenshot of a computer&#10;&#10;AI-generated content may be incorrect.">
              <a:extLst xmlns:a="http://schemas.openxmlformats.org/drawingml/2006/main">
                <a:ext uri="{FF2B5EF4-FFF2-40B4-BE49-F238E27FC236}">
                  <a16:creationId xmlns:a16="http://schemas.microsoft.com/office/drawing/2014/main" id="{EF5454A9-2DE0-F1F6-A366-433378B263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694384" name="table" descr="A screenshot of a computer&#10;&#10;AI-generated content may be incorrect.">
                      <a:extLst>
                        <a:ext uri="{FF2B5EF4-FFF2-40B4-BE49-F238E27FC236}">
                          <a16:creationId xmlns:a16="http://schemas.microsoft.com/office/drawing/2014/main" id="{EF5454A9-2DE0-F1F6-A366-433378B263C8}"/>
                        </a:ext>
                      </a:extLst>
                    </pic:cNvPr>
                    <pic:cNvPicPr>
                      <a:picLocks noChangeAspect="1"/>
                    </pic:cNvPicPr>
                  </pic:nvPicPr>
                  <pic:blipFill>
                    <a:blip r:embed="rId5"/>
                    <a:stretch>
                      <a:fillRect/>
                    </a:stretch>
                  </pic:blipFill>
                  <pic:spPr>
                    <a:xfrm>
                      <a:off x="0" y="0"/>
                      <a:ext cx="5731510" cy="5190490"/>
                    </a:xfrm>
                    <a:prstGeom prst="rect">
                      <a:avLst/>
                    </a:prstGeom>
                  </pic:spPr>
                </pic:pic>
              </a:graphicData>
            </a:graphic>
          </wp:inline>
        </w:drawing>
      </w:r>
    </w:p>
    <w:p w14:paraId="63E5EC62" w14:textId="77777777" w:rsidR="006A69AE" w:rsidRPr="00472C2B" w:rsidRDefault="006A69AE" w:rsidP="006A69AE">
      <w:pPr>
        <w:spacing w:after="160" w:line="276" w:lineRule="auto"/>
        <w:rPr>
          <w:rFonts w:ascii="Calibri" w:eastAsia="Calibri" w:hAnsi="Calibri" w:cs="Calibri"/>
          <w:color w:val="1F1F1F"/>
          <w:sz w:val="22"/>
          <w:szCs w:val="22"/>
        </w:rPr>
      </w:pPr>
      <w:r w:rsidRPr="00472C2B">
        <w:rPr>
          <w:rFonts w:ascii="Calibri" w:eastAsia="Calibri" w:hAnsi="Calibri" w:cs="Calibri"/>
          <w:b/>
          <w:bCs/>
          <w:color w:val="1F1F1F"/>
          <w:sz w:val="22"/>
          <w:szCs w:val="22"/>
          <w:lang w:val="en-US"/>
        </w:rPr>
        <w:t>Table 2</w:t>
      </w:r>
      <w:r>
        <w:rPr>
          <w:rFonts w:ascii="Calibri" w:eastAsia="Calibri" w:hAnsi="Calibri" w:cs="Calibri"/>
          <w:b/>
          <w:bCs/>
          <w:color w:val="1F1F1F"/>
          <w:sz w:val="22"/>
          <w:szCs w:val="22"/>
          <w:lang w:val="en-US"/>
        </w:rPr>
        <w:t>.</w:t>
      </w:r>
      <w:r w:rsidRPr="00472C2B">
        <w:rPr>
          <w:rFonts w:ascii="Calibri" w:eastAsia="Calibri" w:hAnsi="Calibri" w:cs="Calibri"/>
          <w:b/>
          <w:bCs/>
          <w:color w:val="1F1F1F"/>
          <w:sz w:val="22"/>
          <w:szCs w:val="22"/>
          <w:lang w:val="en-US"/>
        </w:rPr>
        <w:t xml:space="preserve"> Prevalence of mutations in antibody-binding sites on RSV-F from sequences collected in the UK, 2019-2024. </w:t>
      </w:r>
      <w:r w:rsidRPr="00472C2B">
        <w:rPr>
          <w:rFonts w:ascii="Calibri" w:eastAsia="Calibri" w:hAnsi="Calibri" w:cs="Calibri"/>
          <w:color w:val="1F1F1F"/>
          <w:sz w:val="22"/>
          <w:szCs w:val="22"/>
          <w:lang w:val="en-US"/>
        </w:rPr>
        <w:t>Mutations are displayed within nirsevimab binding sites (divided into residues on the F2 and F1 sub-unit)</w:t>
      </w:r>
      <w:r>
        <w:rPr>
          <w:rFonts w:ascii="Calibri" w:eastAsia="Calibri" w:hAnsi="Calibri" w:cs="Calibri"/>
          <w:color w:val="1F1F1F"/>
          <w:sz w:val="22"/>
          <w:szCs w:val="22"/>
          <w:lang w:val="en-US"/>
        </w:rPr>
        <w:t xml:space="preserve"> and</w:t>
      </w:r>
      <w:r w:rsidRPr="00472C2B">
        <w:rPr>
          <w:rFonts w:ascii="Calibri" w:eastAsia="Calibri" w:hAnsi="Calibri" w:cs="Calibri"/>
          <w:color w:val="1F1F1F"/>
          <w:sz w:val="22"/>
          <w:szCs w:val="22"/>
          <w:lang w:val="en-US"/>
        </w:rPr>
        <w:t xml:space="preserve"> palivizumab sites with count representing the number of sequences in which the mutation was identified out of 3</w:t>
      </w:r>
      <w:r>
        <w:rPr>
          <w:rFonts w:ascii="Calibri" w:eastAsia="Calibri" w:hAnsi="Calibri" w:cs="Calibri"/>
          <w:color w:val="1F1F1F"/>
          <w:sz w:val="22"/>
          <w:szCs w:val="22"/>
          <w:lang w:val="en-US"/>
        </w:rPr>
        <w:t>,</w:t>
      </w:r>
      <w:r w:rsidRPr="00472C2B">
        <w:rPr>
          <w:rFonts w:ascii="Calibri" w:eastAsia="Calibri" w:hAnsi="Calibri" w:cs="Calibri"/>
          <w:color w:val="1F1F1F"/>
          <w:sz w:val="22"/>
          <w:szCs w:val="22"/>
          <w:lang w:val="en-US"/>
        </w:rPr>
        <w:t xml:space="preserve">037 samples (RSV-A and RSV-B subtype) samples. Biochemical properties of the reference amino acid are given alongside that of the mutated amino acid. Highlighted mutations signify those reported to have altered susceptibility to the antibody. </w:t>
      </w:r>
      <w:r w:rsidRPr="00472C2B">
        <w:rPr>
          <w:rFonts w:ascii="Calibri" w:eastAsia="Calibri" w:hAnsi="Calibri" w:cs="Calibri"/>
          <w:color w:val="1F1F1F"/>
          <w:sz w:val="22"/>
          <w:szCs w:val="22"/>
        </w:rPr>
        <w:t>Mutations found in RSV-B samples (n=1</w:t>
      </w:r>
      <w:r>
        <w:rPr>
          <w:rFonts w:ascii="Calibri" w:eastAsia="Calibri" w:hAnsi="Calibri" w:cs="Calibri"/>
          <w:color w:val="1F1F1F"/>
          <w:sz w:val="22"/>
          <w:szCs w:val="22"/>
        </w:rPr>
        <w:t>,</w:t>
      </w:r>
      <w:r w:rsidRPr="00472C2B">
        <w:rPr>
          <w:rFonts w:ascii="Calibri" w:eastAsia="Calibri" w:hAnsi="Calibri" w:cs="Calibri"/>
          <w:color w:val="1F1F1F"/>
          <w:sz w:val="22"/>
          <w:szCs w:val="22"/>
        </w:rPr>
        <w:t>546)</w:t>
      </w:r>
      <w:r>
        <w:rPr>
          <w:rFonts w:ascii="Calibri" w:eastAsia="Calibri" w:hAnsi="Calibri" w:cs="Calibri"/>
          <w:color w:val="1F1F1F"/>
          <w:sz w:val="22"/>
          <w:szCs w:val="22"/>
        </w:rPr>
        <w:t>.</w:t>
      </w:r>
    </w:p>
    <w:p w14:paraId="06AA4E36" w14:textId="77777777" w:rsidR="006A69AE" w:rsidRDefault="006A69AE" w:rsidP="006A69AE">
      <w:pPr>
        <w:spacing w:after="160" w:line="276" w:lineRule="auto"/>
        <w:rPr>
          <w:rFonts w:ascii="Calibri" w:eastAsia="Calibri" w:hAnsi="Calibri" w:cs="Calibri"/>
          <w:b/>
          <w:bCs/>
          <w:color w:val="1F1F1F"/>
          <w:sz w:val="22"/>
          <w:szCs w:val="22"/>
        </w:rPr>
      </w:pPr>
      <w:r>
        <w:rPr>
          <w:rFonts w:ascii="Calibri" w:eastAsia="Calibri" w:hAnsi="Calibri" w:cs="Calibri"/>
          <w:b/>
          <w:bCs/>
          <w:color w:val="1F1F1F"/>
          <w:sz w:val="22"/>
          <w:szCs w:val="22"/>
        </w:rPr>
        <w:br w:type="page"/>
      </w:r>
    </w:p>
    <w:p w14:paraId="4A540C74"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9AE"/>
    <w:rsid w:val="002E281E"/>
    <w:rsid w:val="003201BB"/>
    <w:rsid w:val="00641205"/>
    <w:rsid w:val="006A69AE"/>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0FDC9"/>
  <w15:chartTrackingRefBased/>
  <w15:docId w15:val="{AF2FCCCA-366C-47C7-B890-4B07D5E97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9AE"/>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6A69A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6A69A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6A69A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6A69AE"/>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6A69AE"/>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6A69AE"/>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6A69AE"/>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6A69AE"/>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6A69AE"/>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69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69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69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69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69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69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69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69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69AE"/>
    <w:rPr>
      <w:rFonts w:eastAsiaTheme="majorEastAsia" w:cstheme="majorBidi"/>
      <w:color w:val="272727" w:themeColor="text1" w:themeTint="D8"/>
    </w:rPr>
  </w:style>
  <w:style w:type="paragraph" w:styleId="Title">
    <w:name w:val="Title"/>
    <w:basedOn w:val="Normal"/>
    <w:next w:val="Normal"/>
    <w:link w:val="TitleChar"/>
    <w:uiPriority w:val="10"/>
    <w:qFormat/>
    <w:rsid w:val="006A69AE"/>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6A69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69A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6A69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69AE"/>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6A69AE"/>
    <w:rPr>
      <w:i/>
      <w:iCs/>
      <w:color w:val="404040" w:themeColor="text1" w:themeTint="BF"/>
    </w:rPr>
  </w:style>
  <w:style w:type="paragraph" w:styleId="ListParagraph">
    <w:name w:val="List Paragraph"/>
    <w:basedOn w:val="Normal"/>
    <w:uiPriority w:val="34"/>
    <w:qFormat/>
    <w:rsid w:val="006A69AE"/>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6A69AE"/>
    <w:rPr>
      <w:i/>
      <w:iCs/>
      <w:color w:val="0F4761" w:themeColor="accent1" w:themeShade="BF"/>
    </w:rPr>
  </w:style>
  <w:style w:type="paragraph" w:styleId="IntenseQuote">
    <w:name w:val="Intense Quote"/>
    <w:basedOn w:val="Normal"/>
    <w:next w:val="Normal"/>
    <w:link w:val="IntenseQuoteChar"/>
    <w:uiPriority w:val="30"/>
    <w:qFormat/>
    <w:rsid w:val="006A69A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6A69AE"/>
    <w:rPr>
      <w:i/>
      <w:iCs/>
      <w:color w:val="0F4761" w:themeColor="accent1" w:themeShade="BF"/>
    </w:rPr>
  </w:style>
  <w:style w:type="character" w:styleId="IntenseReference">
    <w:name w:val="Intense Reference"/>
    <w:basedOn w:val="DefaultParagraphFont"/>
    <w:uiPriority w:val="32"/>
    <w:qFormat/>
    <w:rsid w:val="006A69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181</Words>
  <Characters>1105</Characters>
  <Application>Microsoft Office Word</Application>
  <DocSecurity>0</DocSecurity>
  <Lines>25</Lines>
  <Paragraphs>4</Paragraphs>
  <ScaleCrop>false</ScaleCrop>
  <Company>Springer Nature</Company>
  <LinksUpToDate>false</LinksUpToDate>
  <CharactersWithSpaces>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2025-11-19T09:32:00Z</dcterms:created>
  <dcterms:modified xsi:type="dcterms:W3CDTF">2025-11-19T09:32:00Z</dcterms:modified>
</cp:coreProperties>
</file>