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E705C" w14:textId="0E27E1D2" w:rsidR="00457BC6" w:rsidRDefault="00457BC6" w:rsidP="00B34FCA">
      <w:pPr>
        <w:jc w:val="center"/>
        <w:rPr>
          <w:rFonts w:hint="eastAsia"/>
        </w:rPr>
      </w:pPr>
      <w:r w:rsidRPr="00457BC6">
        <w:rPr>
          <w:rFonts w:hint="eastAsia"/>
          <w:noProof/>
        </w:rPr>
        <w:drawing>
          <wp:inline distT="0" distB="0" distL="0" distR="0" wp14:anchorId="000CA4E4" wp14:editId="5FA9BF97">
            <wp:extent cx="2026920" cy="3040380"/>
            <wp:effectExtent l="0" t="0" r="0" b="7620"/>
            <wp:docPr id="37773240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1505" cy="3047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4978A" w14:textId="77777777" w:rsidR="00066D94" w:rsidRPr="00457BC6" w:rsidRDefault="00066D94" w:rsidP="00457BC6">
      <w:pPr>
        <w:rPr>
          <w:rFonts w:hint="eastAsia"/>
        </w:rPr>
      </w:pPr>
    </w:p>
    <w:p w14:paraId="7BD176F6" w14:textId="1C149607" w:rsidR="00B34FCA" w:rsidRDefault="00066D94" w:rsidP="00B34FCA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  <w:sectPr w:rsidR="00B34FC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6115">
        <w:rPr>
          <w:rFonts w:ascii="Times New Roman" w:hAnsi="Times New Roman" w:cs="Times New Roman"/>
          <w:b/>
          <w:bCs/>
          <w:sz w:val="24"/>
        </w:rPr>
        <w:t>Supplementary Fig.</w:t>
      </w:r>
      <w:r w:rsidR="00625692">
        <w:rPr>
          <w:rFonts w:ascii="Times New Roman" w:hAnsi="Times New Roman" w:cs="Times New Roman" w:hint="eastAsia"/>
          <w:b/>
          <w:bCs/>
          <w:sz w:val="24"/>
        </w:rPr>
        <w:t xml:space="preserve"> </w:t>
      </w:r>
      <w:r w:rsidRPr="00EB6115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 w:hint="eastAsia"/>
          <w:b/>
          <w:bCs/>
          <w:sz w:val="24"/>
        </w:rPr>
        <w:t>1</w:t>
      </w:r>
      <w:r w:rsidR="00A174AD" w:rsidRPr="00A174AD">
        <w:rPr>
          <w:rFonts w:ascii="Times New Roman" w:hAnsi="Times New Roman" w:cs="Times New Roman"/>
          <w:color w:val="000000" w:themeColor="text1"/>
          <w:sz w:val="24"/>
        </w:rPr>
        <w:t> Box plots comparing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A174AD" w:rsidRPr="00A174AD">
        <w:rPr>
          <w:rFonts w:ascii="Times New Roman" w:hAnsi="Times New Roman" w:cs="Times New Roman"/>
          <w:color w:val="000000" w:themeColor="text1"/>
          <w:sz w:val="24"/>
        </w:rPr>
        <w:t>the mRNA expression levels of </w:t>
      </w:r>
      <w:r w:rsidR="00A174AD">
        <w:rPr>
          <w:rFonts w:ascii="Times New Roman" w:hAnsi="Times New Roman" w:cs="Times New Roman" w:hint="eastAsia"/>
          <w:i/>
          <w:iCs/>
          <w:color w:val="000000" w:themeColor="text1"/>
          <w:sz w:val="24"/>
        </w:rPr>
        <w:t>Sp1</w:t>
      </w:r>
      <w:r w:rsidR="00A174AD" w:rsidRPr="00A174AD">
        <w:rPr>
          <w:rFonts w:ascii="Times New Roman" w:hAnsi="Times New Roman" w:cs="Times New Roman"/>
          <w:color w:val="000000" w:themeColor="text1"/>
          <w:sz w:val="24"/>
        </w:rPr>
        <w:t> between </w:t>
      </w:r>
      <w:r w:rsidR="00A174AD">
        <w:rPr>
          <w:rFonts w:ascii="Times New Roman" w:hAnsi="Times New Roman" w:cs="Times New Roman" w:hint="eastAsia"/>
          <w:color w:val="000000" w:themeColor="text1"/>
          <w:sz w:val="24"/>
        </w:rPr>
        <w:t>ESCA</w:t>
      </w:r>
      <w:r w:rsidR="00A174AD" w:rsidRPr="00A174AD">
        <w:rPr>
          <w:rFonts w:ascii="Times New Roman" w:hAnsi="Times New Roman" w:cs="Times New Roman"/>
          <w:color w:val="000000" w:themeColor="text1"/>
          <w:sz w:val="24"/>
        </w:rPr>
        <w:t> tumor samples (n=</w:t>
      </w:r>
      <w:r w:rsidR="00A174AD">
        <w:rPr>
          <w:rFonts w:ascii="Times New Roman" w:hAnsi="Times New Roman" w:cs="Times New Roman" w:hint="eastAsia"/>
          <w:color w:val="000000" w:themeColor="text1"/>
          <w:sz w:val="24"/>
        </w:rPr>
        <w:t>182</w:t>
      </w:r>
      <w:r w:rsidR="00A174AD" w:rsidRPr="00A174AD">
        <w:rPr>
          <w:rFonts w:ascii="Times New Roman" w:hAnsi="Times New Roman" w:cs="Times New Roman"/>
          <w:color w:val="000000" w:themeColor="text1"/>
          <w:sz w:val="24"/>
        </w:rPr>
        <w:t>) and matched normal tissues (n=</w:t>
      </w:r>
      <w:r w:rsidR="00A174AD">
        <w:rPr>
          <w:rFonts w:ascii="Times New Roman" w:hAnsi="Times New Roman" w:cs="Times New Roman" w:hint="eastAsia"/>
          <w:color w:val="000000" w:themeColor="text1"/>
          <w:sz w:val="24"/>
        </w:rPr>
        <w:t>13</w:t>
      </w:r>
      <w:r w:rsidR="00A174AD" w:rsidRPr="00A174AD">
        <w:rPr>
          <w:rFonts w:ascii="Times New Roman" w:hAnsi="Times New Roman" w:cs="Times New Roman"/>
          <w:color w:val="000000" w:themeColor="text1"/>
          <w:sz w:val="24"/>
        </w:rPr>
        <w:t>). The analysis was performed using the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="00A174AD" w:rsidRPr="00A174AD">
        <w:rPr>
          <w:rFonts w:ascii="Times New Roman" w:hAnsi="Times New Roman" w:cs="Times New Roman"/>
          <w:color w:val="000000" w:themeColor="text1"/>
          <w:sz w:val="24"/>
        </w:rPr>
        <w:t>GEPIA2 online tool (</w:t>
      </w:r>
      <w:hyperlink r:id="rId7" w:tgtFrame="_blank" w:history="1">
        <w:r w:rsidR="00A174AD" w:rsidRPr="00A174AD">
          <w:rPr>
            <w:rStyle w:val="af"/>
            <w:rFonts w:ascii="Times New Roman" w:hAnsi="Times New Roman" w:cs="Times New Roman"/>
            <w:sz w:val="24"/>
          </w:rPr>
          <w:t>http://gepia2.cancer-pku.cn/</w:t>
        </w:r>
      </w:hyperlink>
      <w:r w:rsidR="00A174AD" w:rsidRPr="00A174AD">
        <w:rPr>
          <w:rFonts w:ascii="Times New Roman" w:hAnsi="Times New Roman" w:cs="Times New Roman"/>
          <w:color w:val="000000" w:themeColor="text1"/>
          <w:sz w:val="24"/>
        </w:rPr>
        <w:t>). The box plots were generated with the following parameters: |Log2FC| Cutoff set to </w:t>
      </w:r>
      <w:r w:rsidR="00A174AD" w:rsidRPr="00A174AD">
        <w:rPr>
          <w:rFonts w:ascii="Times New Roman" w:hAnsi="Times New Roman" w:cs="Times New Roman"/>
          <w:b/>
          <w:bCs/>
          <w:color w:val="000000" w:themeColor="text1"/>
          <w:sz w:val="24"/>
        </w:rPr>
        <w:t>0.5</w:t>
      </w:r>
      <w:r w:rsidR="00A174AD" w:rsidRPr="00A174AD">
        <w:rPr>
          <w:rFonts w:ascii="Times New Roman" w:hAnsi="Times New Roman" w:cs="Times New Roman"/>
          <w:color w:val="000000" w:themeColor="text1"/>
          <w:sz w:val="24"/>
        </w:rPr>
        <w:t xml:space="preserve"> and “Matched Normal Data” option selected to strictly compare TCGA tumors against their own matched TCGA normal controls. The </w:t>
      </w:r>
      <w:r w:rsidR="00A174AD" w:rsidRPr="00770EC7">
        <w:rPr>
          <w:rFonts w:ascii="Times New Roman" w:hAnsi="Times New Roman" w:cs="Times New Roman"/>
          <w:i/>
          <w:iCs/>
          <w:color w:val="000000" w:themeColor="text1"/>
          <w:sz w:val="24"/>
        </w:rPr>
        <w:t>p</w:t>
      </w:r>
      <w:r w:rsidR="00A174AD" w:rsidRPr="00A174AD">
        <w:rPr>
          <w:rFonts w:ascii="Times New Roman" w:hAnsi="Times New Roman" w:cs="Times New Roman"/>
          <w:color w:val="000000" w:themeColor="text1"/>
          <w:sz w:val="24"/>
        </w:rPr>
        <w:t>-value is calculated by the Student's t-test and is displayed on the graph (*</w:t>
      </w:r>
      <w:r w:rsidR="00A174AD" w:rsidRPr="00770EC7">
        <w:rPr>
          <w:rFonts w:ascii="Times New Roman" w:hAnsi="Times New Roman" w:cs="Times New Roman"/>
          <w:i/>
          <w:iCs/>
          <w:color w:val="000000" w:themeColor="text1"/>
          <w:sz w:val="24"/>
        </w:rPr>
        <w:t>p</w:t>
      </w:r>
      <w:r w:rsidR="00A174AD" w:rsidRPr="00A174AD">
        <w:rPr>
          <w:rFonts w:ascii="Times New Roman" w:hAnsi="Times New Roman" w:cs="Times New Roman"/>
          <w:color w:val="000000" w:themeColor="text1"/>
          <w:sz w:val="24"/>
        </w:rPr>
        <w:t xml:space="preserve"> &lt; 0.05).</w:t>
      </w:r>
    </w:p>
    <w:p w14:paraId="7A7831BE" w14:textId="77777777" w:rsidR="00671D5F" w:rsidRDefault="00671D5F" w:rsidP="00A174AD">
      <w:pPr>
        <w:rPr>
          <w:rFonts w:hint="eastAsia"/>
          <w:noProof/>
        </w:rPr>
      </w:pPr>
    </w:p>
    <w:p w14:paraId="7570572B" w14:textId="67E294ED" w:rsidR="00A174AD" w:rsidRDefault="00671D5F" w:rsidP="00A174AD">
      <w:pPr>
        <w:rPr>
          <w:rFonts w:hint="eastAsia"/>
        </w:rPr>
      </w:pPr>
      <w:r w:rsidRPr="00957785">
        <w:rPr>
          <w:rFonts w:hint="eastAsia"/>
          <w:noProof/>
        </w:rPr>
        <w:drawing>
          <wp:inline distT="0" distB="0" distL="0" distR="0" wp14:anchorId="5798CA53" wp14:editId="0FD134C8">
            <wp:extent cx="5274310" cy="4920712"/>
            <wp:effectExtent l="0" t="0" r="2540" b="0"/>
            <wp:docPr id="150490035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20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195F1B" w14:textId="77777777" w:rsidR="00066D94" w:rsidRDefault="00A174AD" w:rsidP="00B34FCA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EB6115">
        <w:rPr>
          <w:rFonts w:ascii="Times New Roman" w:hAnsi="Times New Roman" w:cs="Times New Roman"/>
          <w:b/>
          <w:bCs/>
          <w:sz w:val="24"/>
        </w:rPr>
        <w:t>S</w:t>
      </w:r>
      <w:r w:rsidR="00E83881" w:rsidRPr="00EB6115">
        <w:rPr>
          <w:rFonts w:ascii="Times New Roman" w:hAnsi="Times New Roman" w:cs="Times New Roman"/>
          <w:b/>
          <w:bCs/>
          <w:sz w:val="24"/>
        </w:rPr>
        <w:t>upplementary Fig. S</w:t>
      </w:r>
      <w:r w:rsidR="00E83881">
        <w:rPr>
          <w:rFonts w:ascii="Times New Roman" w:hAnsi="Times New Roman" w:cs="Times New Roman"/>
          <w:b/>
          <w:bCs/>
          <w:sz w:val="24"/>
        </w:rPr>
        <w:t>2</w:t>
      </w:r>
      <w:r w:rsidR="00E83881" w:rsidRPr="00E83881">
        <w:rPr>
          <w:rFonts w:ascii="Segoe UI" w:hAnsi="Segoe UI" w:cs="Segoe UI"/>
          <w:b/>
          <w:bCs/>
          <w:color w:val="404040"/>
          <w:shd w:val="clear" w:color="auto" w:fill="FFFFFF"/>
        </w:rPr>
        <w:t xml:space="preserve"> </w:t>
      </w:r>
      <w:r w:rsidR="00E83881" w:rsidRPr="00066D94">
        <w:rPr>
          <w:rFonts w:ascii="Times New Roman" w:hAnsi="Times New Roman" w:cs="Times New Roman"/>
          <w:sz w:val="24"/>
        </w:rPr>
        <w:t>Sp1 transcriptionally activates</w:t>
      </w:r>
      <w:r w:rsidR="00E83881" w:rsidRPr="00DA52C7">
        <w:rPr>
          <w:rFonts w:ascii="Times New Roman" w:hAnsi="Times New Roman" w:cs="Times New Roman"/>
          <w:i/>
          <w:iCs/>
          <w:sz w:val="24"/>
        </w:rPr>
        <w:t xml:space="preserve"> COX-2</w:t>
      </w:r>
      <w:r w:rsidR="00E83881" w:rsidRPr="00066D94">
        <w:rPr>
          <w:rFonts w:ascii="Times New Roman" w:hAnsi="Times New Roman" w:cs="Times New Roman"/>
          <w:sz w:val="24"/>
        </w:rPr>
        <w:t xml:space="preserve"> expression by directly binding to its promoter.</w:t>
      </w:r>
    </w:p>
    <w:p w14:paraId="31C9DF95" w14:textId="3A67D743" w:rsidR="00A174AD" w:rsidRPr="00066D94" w:rsidRDefault="00E83881" w:rsidP="00B34FCA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E83881">
        <w:rPr>
          <w:rFonts w:ascii="Times New Roman" w:hAnsi="Times New Roman" w:cs="Times New Roman"/>
          <w:b/>
          <w:bCs/>
          <w:sz w:val="24"/>
        </w:rPr>
        <w:t>(A)</w:t>
      </w:r>
      <w:r w:rsidRPr="00E83881">
        <w:rPr>
          <w:rFonts w:ascii="Times New Roman" w:hAnsi="Times New Roman" w:cs="Times New Roman"/>
          <w:sz w:val="24"/>
        </w:rPr>
        <w:t> Five</w:t>
      </w:r>
      <w:r w:rsidR="006A1493">
        <w:rPr>
          <w:rFonts w:ascii="Times New Roman" w:hAnsi="Times New Roman" w:cs="Times New Roman" w:hint="eastAsia"/>
          <w:sz w:val="24"/>
        </w:rPr>
        <w:t xml:space="preserve"> </w:t>
      </w:r>
      <w:r w:rsidRPr="00E83881">
        <w:rPr>
          <w:rFonts w:ascii="Times New Roman" w:hAnsi="Times New Roman" w:cs="Times New Roman"/>
          <w:sz w:val="24"/>
        </w:rPr>
        <w:t xml:space="preserve">Sp1 binding motifs (MA0079.1-MA0079.5) </w:t>
      </w:r>
      <w:r w:rsidR="0088366A">
        <w:rPr>
          <w:rFonts w:ascii="Times New Roman" w:hAnsi="Times New Roman" w:cs="Times New Roman" w:hint="eastAsia"/>
          <w:sz w:val="24"/>
        </w:rPr>
        <w:t xml:space="preserve">predicted </w:t>
      </w:r>
      <w:r w:rsidR="00682F4C">
        <w:rPr>
          <w:rFonts w:ascii="Times New Roman" w:hAnsi="Times New Roman" w:cs="Times New Roman" w:hint="eastAsia"/>
          <w:sz w:val="24"/>
        </w:rPr>
        <w:t xml:space="preserve">by </w:t>
      </w:r>
      <w:r w:rsidRPr="00E83881">
        <w:rPr>
          <w:rFonts w:ascii="Times New Roman" w:hAnsi="Times New Roman" w:cs="Times New Roman"/>
          <w:sz w:val="24"/>
        </w:rPr>
        <w:t>JASPAR database.</w:t>
      </w:r>
      <w:r w:rsidR="006A1493">
        <w:rPr>
          <w:rFonts w:ascii="Times New Roman" w:hAnsi="Times New Roman" w:cs="Times New Roman" w:hint="eastAsia"/>
          <w:sz w:val="24"/>
        </w:rPr>
        <w:t xml:space="preserve"> </w:t>
      </w:r>
      <w:r w:rsidRPr="00E83881">
        <w:rPr>
          <w:rFonts w:ascii="Times New Roman" w:hAnsi="Times New Roman" w:cs="Times New Roman"/>
          <w:b/>
          <w:bCs/>
          <w:sz w:val="24"/>
        </w:rPr>
        <w:t>(B)</w:t>
      </w:r>
      <w:r w:rsidRPr="00E83881">
        <w:rPr>
          <w:rFonts w:ascii="Times New Roman" w:hAnsi="Times New Roman" w:cs="Times New Roman"/>
          <w:sz w:val="24"/>
        </w:rPr>
        <w:t xml:space="preserve"> Schematic of human </w:t>
      </w:r>
      <w:r w:rsidRPr="00DA52C7">
        <w:rPr>
          <w:rFonts w:ascii="Times New Roman" w:hAnsi="Times New Roman" w:cs="Times New Roman"/>
          <w:i/>
          <w:iCs/>
          <w:sz w:val="24"/>
        </w:rPr>
        <w:t>COX-2</w:t>
      </w:r>
      <w:r w:rsidRPr="00E83881">
        <w:rPr>
          <w:rFonts w:ascii="Times New Roman" w:hAnsi="Times New Roman" w:cs="Times New Roman"/>
          <w:sz w:val="24"/>
        </w:rPr>
        <w:t xml:space="preserve"> promoter region (-100 to +899 bp) showing </w:t>
      </w:r>
      <w:r w:rsidR="005B6ABD">
        <w:rPr>
          <w:rFonts w:ascii="Times New Roman" w:hAnsi="Times New Roman" w:cs="Times New Roman" w:hint="eastAsia"/>
          <w:sz w:val="24"/>
        </w:rPr>
        <w:t>eight</w:t>
      </w:r>
      <w:r w:rsidRPr="00E83881">
        <w:rPr>
          <w:rFonts w:ascii="Times New Roman" w:hAnsi="Times New Roman" w:cs="Times New Roman"/>
          <w:sz w:val="24"/>
        </w:rPr>
        <w:t xml:space="preserve"> predicted Sp1 binding sites.</w:t>
      </w:r>
      <w:r w:rsidR="006A1493">
        <w:rPr>
          <w:rFonts w:ascii="Times New Roman" w:hAnsi="Times New Roman" w:cs="Times New Roman" w:hint="eastAsia"/>
          <w:sz w:val="24"/>
        </w:rPr>
        <w:t xml:space="preserve"> </w:t>
      </w:r>
      <w:r w:rsidR="00066D94">
        <w:rPr>
          <w:rFonts w:ascii="Times New Roman" w:hAnsi="Times New Roman" w:cs="Times New Roman" w:hint="eastAsia"/>
          <w:sz w:val="24"/>
        </w:rPr>
        <w:t xml:space="preserve"> </w:t>
      </w:r>
      <w:r w:rsidRPr="00E83881">
        <w:rPr>
          <w:rFonts w:ascii="Times New Roman" w:hAnsi="Times New Roman" w:cs="Times New Roman"/>
          <w:b/>
          <w:bCs/>
          <w:sz w:val="24"/>
        </w:rPr>
        <w:t>(C)</w:t>
      </w:r>
      <w:r w:rsidRPr="00E83881">
        <w:rPr>
          <w:rFonts w:ascii="Times New Roman" w:hAnsi="Times New Roman" w:cs="Times New Roman"/>
          <w:sz w:val="24"/>
        </w:rPr>
        <w:t xml:space="preserve"> Dual-luciferase reporter assay in 293T cells. Sp1 overexpression significantly activated the wild-type (WT) </w:t>
      </w:r>
      <w:r w:rsidRPr="00DA52C7">
        <w:rPr>
          <w:rFonts w:ascii="Times New Roman" w:hAnsi="Times New Roman" w:cs="Times New Roman"/>
          <w:i/>
          <w:iCs/>
          <w:sz w:val="24"/>
        </w:rPr>
        <w:t>COX-2</w:t>
      </w:r>
      <w:r w:rsidRPr="00E83881">
        <w:rPr>
          <w:rFonts w:ascii="Times New Roman" w:hAnsi="Times New Roman" w:cs="Times New Roman"/>
          <w:sz w:val="24"/>
        </w:rPr>
        <w:t xml:space="preserve"> promoter. Deletion mutations in the Sp1 binding sites abolished this transactivation, reducing activity to baseline levels and eliminating Sp1 responsiveness. Data represent mean ± SD (n=3); **</w:t>
      </w:r>
      <w:r w:rsidRPr="00DA52C7">
        <w:rPr>
          <w:rFonts w:ascii="Times New Roman" w:hAnsi="Times New Roman" w:cs="Times New Roman"/>
          <w:i/>
          <w:iCs/>
          <w:sz w:val="24"/>
        </w:rPr>
        <w:t>p</w:t>
      </w:r>
      <w:r w:rsidRPr="00E83881">
        <w:rPr>
          <w:rFonts w:ascii="Times New Roman" w:hAnsi="Times New Roman" w:cs="Times New Roman"/>
          <w:sz w:val="24"/>
        </w:rPr>
        <w:t xml:space="preserve"> &lt; 0.01, NS (not significant); one-way ANOVA with Tukey's test.</w:t>
      </w:r>
    </w:p>
    <w:p w14:paraId="2DCDB9B3" w14:textId="77777777" w:rsidR="00B34FCA" w:rsidRDefault="00B34FCA" w:rsidP="006A1493">
      <w:pPr>
        <w:rPr>
          <w:rFonts w:hint="eastAsia"/>
        </w:rPr>
        <w:sectPr w:rsidR="00B34FC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458FB5F" w14:textId="022D8C09" w:rsidR="00361A76" w:rsidRDefault="00361A76" w:rsidP="00361A76">
      <w:pPr>
        <w:rPr>
          <w:rFonts w:hint="eastAsia"/>
        </w:rPr>
      </w:pPr>
      <w:r w:rsidRPr="00361A76">
        <w:rPr>
          <w:rFonts w:hint="eastAsia"/>
          <w:noProof/>
        </w:rPr>
        <w:lastRenderedPageBreak/>
        <w:drawing>
          <wp:inline distT="0" distB="0" distL="0" distR="0" wp14:anchorId="14949D08" wp14:editId="516367B5">
            <wp:extent cx="5274310" cy="5274310"/>
            <wp:effectExtent l="0" t="0" r="2540" b="2540"/>
            <wp:docPr id="762165597" name="图片 10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165597" name="图片 10" descr="图示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A4C36D" w14:textId="77777777" w:rsidR="00066D94" w:rsidRPr="00361A76" w:rsidRDefault="00066D94" w:rsidP="00361A76">
      <w:pPr>
        <w:rPr>
          <w:rFonts w:hint="eastAsia"/>
        </w:rPr>
      </w:pPr>
    </w:p>
    <w:p w14:paraId="78C8C969" w14:textId="56DB5D07" w:rsidR="006A1493" w:rsidRPr="006A1493" w:rsidRDefault="00066D94" w:rsidP="00B34FC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B6115">
        <w:rPr>
          <w:rFonts w:ascii="Times New Roman" w:hAnsi="Times New Roman" w:cs="Times New Roman"/>
          <w:b/>
          <w:bCs/>
          <w:sz w:val="24"/>
        </w:rPr>
        <w:t>Supplementary Fig.</w:t>
      </w:r>
      <w:r w:rsidR="006A1493" w:rsidRPr="006A1493">
        <w:rPr>
          <w:rFonts w:ascii="Times New Roman" w:hAnsi="Times New Roman" w:cs="Times New Roman"/>
          <w:b/>
          <w:bCs/>
          <w:sz w:val="24"/>
          <w:szCs w:val="24"/>
        </w:rPr>
        <w:t xml:space="preserve"> S3 </w:t>
      </w:r>
      <w:r w:rsidR="006A1493" w:rsidRPr="006A1493">
        <w:rPr>
          <w:rFonts w:ascii="Times New Roman" w:hAnsi="Times New Roman" w:cs="Times New Roman"/>
          <w:sz w:val="24"/>
          <w:szCs w:val="24"/>
        </w:rPr>
        <w:t>Evaluation of the in vivo safety profile of DHA treatment in xenograft mouse models.</w:t>
      </w:r>
    </w:p>
    <w:p w14:paraId="5FA81763" w14:textId="739DF467" w:rsidR="00361A76" w:rsidRPr="00B34FCA" w:rsidRDefault="006A1493" w:rsidP="00B34FC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A1493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6A1493">
        <w:rPr>
          <w:rFonts w:ascii="Times New Roman" w:hAnsi="Times New Roman" w:cs="Times New Roman"/>
          <w:sz w:val="24"/>
          <w:szCs w:val="24"/>
        </w:rPr>
        <w:t> Representative macroscopic images of major organs (heart, liver, spleen, lungs, and kidneys) harvested from nude mice in the Control (PCMV3 + DMSO),</w:t>
      </w:r>
      <w:r w:rsidR="00DA52C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A1493">
        <w:rPr>
          <w:rFonts w:ascii="Times New Roman" w:hAnsi="Times New Roman" w:cs="Times New Roman"/>
          <w:sz w:val="24"/>
          <w:szCs w:val="24"/>
        </w:rPr>
        <w:t>Sp1</w:t>
      </w:r>
      <w:r w:rsidR="00DA52C7">
        <w:rPr>
          <w:rFonts w:ascii="Times New Roman" w:hAnsi="Times New Roman" w:cs="Times New Roman" w:hint="eastAsia"/>
          <w:sz w:val="24"/>
          <w:szCs w:val="24"/>
        </w:rPr>
        <w:t>-overexpression</w:t>
      </w:r>
      <w:r w:rsidRPr="006A1493">
        <w:rPr>
          <w:rFonts w:ascii="Times New Roman" w:hAnsi="Times New Roman" w:cs="Times New Roman"/>
          <w:sz w:val="24"/>
          <w:szCs w:val="24"/>
        </w:rPr>
        <w:t xml:space="preserve"> (OE-Sp1 + DMSO), and DHA-treated (OE-Sp1 + DHA, 100 mg/kg) groups.</w:t>
      </w:r>
      <w:r w:rsidR="00066D9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A1493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6A1493">
        <w:rPr>
          <w:rFonts w:ascii="Times New Roman" w:hAnsi="Times New Roman" w:cs="Times New Roman"/>
          <w:sz w:val="24"/>
          <w:szCs w:val="24"/>
        </w:rPr>
        <w:t> Representative hematoxylin and eosin (H&amp;E)-stained sections of the corresponding major organs. No significant histopathological abnormalities or morphological alterations were observed in any of the groups, including the DHA-treated group, indicating that DHA administration at this dosage did not cause detectable systemic toxicity.</w:t>
      </w:r>
    </w:p>
    <w:sectPr w:rsidR="00361A76" w:rsidRPr="00B34F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05E338" w14:textId="77777777" w:rsidR="00241F96" w:rsidRDefault="00241F96" w:rsidP="00B34FCA">
      <w:pPr>
        <w:rPr>
          <w:rFonts w:hint="eastAsia"/>
        </w:rPr>
      </w:pPr>
      <w:r>
        <w:separator/>
      </w:r>
    </w:p>
  </w:endnote>
  <w:endnote w:type="continuationSeparator" w:id="0">
    <w:p w14:paraId="6D5AD08D" w14:textId="77777777" w:rsidR="00241F96" w:rsidRDefault="00241F96" w:rsidP="00B34FC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9BDE77" w14:textId="77777777" w:rsidR="00241F96" w:rsidRDefault="00241F96" w:rsidP="00B34FCA">
      <w:pPr>
        <w:rPr>
          <w:rFonts w:hint="eastAsia"/>
        </w:rPr>
      </w:pPr>
      <w:r>
        <w:separator/>
      </w:r>
    </w:p>
  </w:footnote>
  <w:footnote w:type="continuationSeparator" w:id="0">
    <w:p w14:paraId="5ECBF34A" w14:textId="77777777" w:rsidR="00241F96" w:rsidRDefault="00241F96" w:rsidP="00B34FC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BC6"/>
    <w:rsid w:val="00066D94"/>
    <w:rsid w:val="00191DEA"/>
    <w:rsid w:val="00211339"/>
    <w:rsid w:val="00241F96"/>
    <w:rsid w:val="00272C51"/>
    <w:rsid w:val="00351404"/>
    <w:rsid w:val="00361A76"/>
    <w:rsid w:val="00457BC6"/>
    <w:rsid w:val="00495BA2"/>
    <w:rsid w:val="004D07F6"/>
    <w:rsid w:val="005B6ABD"/>
    <w:rsid w:val="00625692"/>
    <w:rsid w:val="00671D5F"/>
    <w:rsid w:val="00682F4C"/>
    <w:rsid w:val="006A1493"/>
    <w:rsid w:val="00730E04"/>
    <w:rsid w:val="00770EC7"/>
    <w:rsid w:val="0088366A"/>
    <w:rsid w:val="008A6528"/>
    <w:rsid w:val="00957759"/>
    <w:rsid w:val="00A174AD"/>
    <w:rsid w:val="00B34FCA"/>
    <w:rsid w:val="00BA75B8"/>
    <w:rsid w:val="00BF2340"/>
    <w:rsid w:val="00C83D21"/>
    <w:rsid w:val="00D35000"/>
    <w:rsid w:val="00DA52C7"/>
    <w:rsid w:val="00DB6B91"/>
    <w:rsid w:val="00E61B10"/>
    <w:rsid w:val="00E83881"/>
    <w:rsid w:val="00F30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93F198"/>
  <w15:chartTrackingRefBased/>
  <w15:docId w15:val="{BC30654C-CA2E-4A49-AC51-73C0DA8A6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57BC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7B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7BC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7BC6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7BC6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7BC6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7BC6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7BC6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7BC6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57BC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57B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57B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57BC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57BC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57BC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57BC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57BC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57BC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57BC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57B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7BC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57BC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57BC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57BC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57BC6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57BC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57B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57BC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57BC6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457BC6"/>
    <w:rPr>
      <w:rFonts w:ascii="Times New Roman" w:hAnsi="Times New Roman" w:cs="Times New Roman"/>
      <w:sz w:val="24"/>
      <w:szCs w:val="24"/>
    </w:rPr>
  </w:style>
  <w:style w:type="character" w:styleId="af">
    <w:name w:val="Hyperlink"/>
    <w:basedOn w:val="a0"/>
    <w:uiPriority w:val="99"/>
    <w:unhideWhenUsed/>
    <w:rsid w:val="00A174AD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A174AD"/>
    <w:rPr>
      <w:color w:val="605E5C"/>
      <w:shd w:val="clear" w:color="auto" w:fill="E1DFDD"/>
    </w:rPr>
  </w:style>
  <w:style w:type="paragraph" w:styleId="af1">
    <w:name w:val="header"/>
    <w:basedOn w:val="a"/>
    <w:link w:val="af2"/>
    <w:uiPriority w:val="99"/>
    <w:unhideWhenUsed/>
    <w:rsid w:val="00B34F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basedOn w:val="a0"/>
    <w:link w:val="af1"/>
    <w:uiPriority w:val="99"/>
    <w:rsid w:val="00B34FCA"/>
    <w:rPr>
      <w:sz w:val="18"/>
      <w:szCs w:val="18"/>
    </w:rPr>
  </w:style>
  <w:style w:type="paragraph" w:styleId="af3">
    <w:name w:val="footer"/>
    <w:basedOn w:val="a"/>
    <w:link w:val="af4"/>
    <w:uiPriority w:val="99"/>
    <w:unhideWhenUsed/>
    <w:rsid w:val="00B34F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4">
    <w:name w:val="页脚 字符"/>
    <w:basedOn w:val="a0"/>
    <w:link w:val="af3"/>
    <w:uiPriority w:val="99"/>
    <w:rsid w:val="00B34F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://gepia2.cancer-pku.c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269</Words>
  <Characters>1686</Characters>
  <Application>Microsoft Office Word</Application>
  <DocSecurity>0</DocSecurity>
  <Lines>14</Lines>
  <Paragraphs>3</Paragraphs>
  <ScaleCrop>false</ScaleCrop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101</dc:creator>
  <cp:keywords/>
  <dc:description/>
  <cp:lastModifiedBy>101</cp:lastModifiedBy>
  <cp:revision>16</cp:revision>
  <dcterms:created xsi:type="dcterms:W3CDTF">2025-08-29T02:35:00Z</dcterms:created>
  <dcterms:modified xsi:type="dcterms:W3CDTF">2025-09-21T05:48:00Z</dcterms:modified>
</cp:coreProperties>
</file>