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18E5" w14:textId="4EB1EC3D" w:rsidR="0010636C" w:rsidRPr="0010636C" w:rsidRDefault="0010636C" w:rsidP="00B27894">
      <w:pPr>
        <w:spacing w:after="240" w:line="240" w:lineRule="auto"/>
        <w:contextualSpacing/>
        <w:rPr>
          <w:i/>
          <w:iCs/>
          <w:spacing w:val="-10"/>
          <w:kern w:val="28"/>
          <w:sz w:val="40"/>
          <w:szCs w:val="40"/>
          <w:lang w:val="en-GB"/>
          <w14:ligatures w14:val="standardContextual"/>
        </w:rPr>
      </w:pPr>
      <w:bookmarkStart w:id="0" w:name="_Hlk182392250"/>
      <w:r w:rsidRPr="0010636C">
        <w:rPr>
          <w:i/>
          <w:iCs/>
          <w:spacing w:val="-10"/>
          <w:kern w:val="28"/>
          <w:sz w:val="40"/>
          <w:szCs w:val="40"/>
          <w:lang w:val="en-GB"/>
          <w14:ligatures w14:val="standardContextual"/>
        </w:rPr>
        <w:t>Supplementary Data</w:t>
      </w:r>
    </w:p>
    <w:p w14:paraId="6D02F6CF" w14:textId="77777777" w:rsidR="0010636C" w:rsidRDefault="0010636C" w:rsidP="00B27894">
      <w:pPr>
        <w:spacing w:after="240" w:line="240" w:lineRule="auto"/>
        <w:contextualSpacing/>
        <w:rPr>
          <w:spacing w:val="-10"/>
          <w:kern w:val="28"/>
          <w:sz w:val="40"/>
          <w:szCs w:val="40"/>
          <w:lang w:val="en-GB"/>
          <w14:ligatures w14:val="standardContextual"/>
        </w:rPr>
      </w:pPr>
    </w:p>
    <w:bookmarkEnd w:id="0"/>
    <w:p w14:paraId="7B655217" w14:textId="77777777" w:rsidR="00CA6C5B" w:rsidRPr="00CE0199" w:rsidRDefault="00CA6C5B" w:rsidP="00CA6C5B">
      <w:pPr>
        <w:spacing w:after="240" w:line="240" w:lineRule="auto"/>
        <w:contextualSpacing/>
        <w:rPr>
          <w:spacing w:val="-10"/>
          <w:kern w:val="28"/>
          <w:sz w:val="40"/>
          <w:szCs w:val="40"/>
          <w:lang w:val="en-GB"/>
          <w14:ligatures w14:val="standardContextual"/>
        </w:rPr>
      </w:pPr>
      <w:r w:rsidRPr="00A946BF">
        <w:rPr>
          <w:spacing w:val="-10"/>
          <w:kern w:val="28"/>
          <w:sz w:val="40"/>
          <w:szCs w:val="40"/>
          <w:lang w:val="en-GB"/>
          <w14:ligatures w14:val="standardContextual"/>
        </w:rPr>
        <w:t xml:space="preserve">Microstructural </w:t>
      </w:r>
      <w:r>
        <w:rPr>
          <w:spacing w:val="-10"/>
          <w:kern w:val="28"/>
          <w:sz w:val="40"/>
          <w:szCs w:val="40"/>
          <w:lang w:val="en-GB"/>
          <w14:ligatures w14:val="standardContextual"/>
        </w:rPr>
        <w:t>r</w:t>
      </w:r>
      <w:r w:rsidRPr="00A946BF">
        <w:rPr>
          <w:spacing w:val="-10"/>
          <w:kern w:val="28"/>
          <w:sz w:val="40"/>
          <w:szCs w:val="40"/>
          <w:lang w:val="en-GB"/>
          <w14:ligatures w14:val="standardContextual"/>
        </w:rPr>
        <w:t xml:space="preserve">eorganisation and </w:t>
      </w:r>
      <w:r>
        <w:rPr>
          <w:spacing w:val="-10"/>
          <w:kern w:val="28"/>
          <w:sz w:val="40"/>
          <w:szCs w:val="40"/>
          <w:lang w:val="en-GB"/>
          <w14:ligatures w14:val="standardContextual"/>
        </w:rPr>
        <w:t>m</w:t>
      </w:r>
      <w:r w:rsidRPr="00A946BF">
        <w:rPr>
          <w:spacing w:val="-10"/>
          <w:kern w:val="28"/>
          <w:sz w:val="40"/>
          <w:szCs w:val="40"/>
          <w:lang w:val="en-GB"/>
          <w14:ligatures w14:val="standardContextual"/>
        </w:rPr>
        <w:t xml:space="preserve">echanical </w:t>
      </w:r>
      <w:r>
        <w:rPr>
          <w:spacing w:val="-10"/>
          <w:kern w:val="28"/>
          <w:sz w:val="40"/>
          <w:szCs w:val="40"/>
          <w:lang w:val="en-GB"/>
          <w14:ligatures w14:val="standardContextual"/>
        </w:rPr>
        <w:t>property e</w:t>
      </w:r>
      <w:r w:rsidRPr="00A946BF">
        <w:rPr>
          <w:spacing w:val="-10"/>
          <w:kern w:val="28"/>
          <w:sz w:val="40"/>
          <w:szCs w:val="40"/>
          <w:lang w:val="en-GB"/>
          <w14:ligatures w14:val="standardContextual"/>
        </w:rPr>
        <w:t>nhancement in PHA</w:t>
      </w:r>
      <w:r>
        <w:rPr>
          <w:spacing w:val="-10"/>
          <w:kern w:val="28"/>
          <w:sz w:val="40"/>
          <w:szCs w:val="40"/>
          <w:lang w:val="en-GB"/>
          <w14:ligatures w14:val="standardContextual"/>
        </w:rPr>
        <w:t xml:space="preserve">s and their wood </w:t>
      </w:r>
      <w:proofErr w:type="spellStart"/>
      <w:r>
        <w:rPr>
          <w:spacing w:val="-10"/>
          <w:kern w:val="28"/>
          <w:sz w:val="40"/>
          <w:szCs w:val="40"/>
          <w:lang w:val="en-GB"/>
          <w14:ligatures w14:val="standardContextual"/>
        </w:rPr>
        <w:t>b</w:t>
      </w:r>
      <w:r w:rsidRPr="00A946BF">
        <w:rPr>
          <w:spacing w:val="-10"/>
          <w:kern w:val="28"/>
          <w:sz w:val="40"/>
          <w:szCs w:val="40"/>
          <w:lang w:val="en-GB"/>
          <w14:ligatures w14:val="standardContextual"/>
        </w:rPr>
        <w:t>iocomposites</w:t>
      </w:r>
      <w:proofErr w:type="spellEnd"/>
      <w:r w:rsidRPr="00A946BF">
        <w:rPr>
          <w:spacing w:val="-10"/>
          <w:kern w:val="28"/>
          <w:sz w:val="40"/>
          <w:szCs w:val="40"/>
          <w:lang w:val="en-GB"/>
          <w14:ligatures w14:val="standardContextual"/>
        </w:rPr>
        <w:t xml:space="preserve"> through </w:t>
      </w:r>
      <w:r>
        <w:rPr>
          <w:spacing w:val="-10"/>
          <w:kern w:val="28"/>
          <w:sz w:val="40"/>
          <w:szCs w:val="40"/>
          <w:lang w:val="en-GB"/>
          <w14:ligatures w14:val="standardContextual"/>
        </w:rPr>
        <w:t>post-fabrication heat-treatment in annealing and partial-melting conditions.</w:t>
      </w:r>
    </w:p>
    <w:p w14:paraId="790B3D61" w14:textId="77777777" w:rsidR="00CA6C5B" w:rsidRPr="00CE0199" w:rsidRDefault="00CA6C5B" w:rsidP="00CA6C5B">
      <w:pPr>
        <w:spacing w:after="160"/>
        <w:rPr>
          <w:rFonts w:eastAsia="Calibri" w:cs="Arial"/>
          <w:szCs w:val="22"/>
          <w:lang w:val="en-GB"/>
          <w14:ligatures w14:val="standardContextual"/>
        </w:rPr>
      </w:pPr>
    </w:p>
    <w:p w14:paraId="3F3EAA59" w14:textId="254692FF" w:rsidR="00CA6C5B" w:rsidRPr="00CE0199" w:rsidRDefault="00CA6C5B" w:rsidP="00CA6C5B">
      <w:pPr>
        <w:spacing w:after="160"/>
        <w:rPr>
          <w:rFonts w:eastAsia="Calibri" w:cs="Arial"/>
          <w:i/>
          <w:iCs/>
          <w:lang w:val="en-GB"/>
          <w14:ligatures w14:val="standardContextual"/>
        </w:rPr>
      </w:pPr>
      <w:r w:rsidRPr="00CE0199">
        <w:rPr>
          <w:rFonts w:eastAsia="Calibri" w:cs="Arial"/>
          <w:i/>
          <w:iCs/>
          <w:lang w:val="en-GB"/>
          <w14:ligatures w14:val="standardContextual"/>
        </w:rPr>
        <w:t>Vincent Mathel</w:t>
      </w:r>
      <w:r w:rsidRPr="00CE0199">
        <w:rPr>
          <w:rFonts w:eastAsia="Calibri" w:cs="Arial"/>
          <w:i/>
          <w:iCs/>
          <w:vertAlign w:val="superscript"/>
          <w:lang w:val="en-GB"/>
          <w14:ligatures w14:val="standardContextual"/>
        </w:rPr>
        <w:t>1,</w:t>
      </w:r>
      <w:r>
        <w:rPr>
          <w:rFonts w:eastAsia="Calibri" w:cs="Arial"/>
          <w:i/>
          <w:iCs/>
          <w:vertAlign w:val="superscript"/>
          <w:lang w:val="en-GB"/>
          <w14:ligatures w14:val="standardContextual"/>
        </w:rPr>
        <w:t>2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>*,</w:t>
      </w:r>
      <w:r>
        <w:rPr>
          <w:rFonts w:eastAsia="Calibri" w:cs="Arial"/>
          <w:i/>
          <w:iCs/>
          <w:lang w:val="en-GB"/>
          <w14:ligatures w14:val="standardContextual"/>
        </w:rPr>
        <w:t xml:space="preserve"> </w:t>
      </w:r>
      <w:r>
        <w:rPr>
          <w:i/>
          <w:iCs/>
        </w:rPr>
        <w:t>Pauline</w:t>
      </w:r>
      <w:r w:rsidRPr="00261BC2">
        <w:rPr>
          <w:i/>
          <w:iCs/>
        </w:rPr>
        <w:t xml:space="preserve"> </w:t>
      </w:r>
      <w:r>
        <w:rPr>
          <w:i/>
          <w:iCs/>
        </w:rPr>
        <w:t>Le Quellec</w:t>
      </w:r>
      <w:r w:rsidRPr="00261BC2">
        <w:rPr>
          <w:i/>
          <w:iCs/>
          <w:vertAlign w:val="superscript"/>
        </w:rPr>
        <w:t>2</w:t>
      </w:r>
      <w:r w:rsidRPr="00261BC2">
        <w:rPr>
          <w:i/>
          <w:iCs/>
        </w:rPr>
        <w:t>,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 xml:space="preserve"> Shazed Aziz</w:t>
      </w:r>
      <w:r w:rsidRPr="00CE0199">
        <w:rPr>
          <w:rFonts w:eastAsia="Calibri" w:cs="Arial"/>
          <w:i/>
          <w:iCs/>
          <w:vertAlign w:val="superscript"/>
          <w:lang w:val="en-GB"/>
          <w14:ligatures w14:val="standardContextual"/>
        </w:rPr>
        <w:t>1,2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 xml:space="preserve">, </w:t>
      </w:r>
      <w:r w:rsidRPr="00261BC2">
        <w:rPr>
          <w:i/>
          <w:iCs/>
        </w:rPr>
        <w:t>Darren Martin</w:t>
      </w:r>
      <w:r w:rsidRPr="00261BC2">
        <w:rPr>
          <w:i/>
          <w:iCs/>
          <w:vertAlign w:val="superscript"/>
        </w:rPr>
        <w:t>1,</w:t>
      </w:r>
      <w:r>
        <w:rPr>
          <w:i/>
          <w:iCs/>
          <w:vertAlign w:val="superscript"/>
        </w:rPr>
        <w:t>2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 xml:space="preserve">, </w:t>
      </w:r>
      <w:r w:rsidRPr="00261BC2">
        <w:rPr>
          <w:i/>
          <w:iCs/>
        </w:rPr>
        <w:t>Peter Halley</w:t>
      </w:r>
      <w:r w:rsidRPr="00261BC2">
        <w:rPr>
          <w:i/>
          <w:iCs/>
          <w:vertAlign w:val="superscript"/>
        </w:rPr>
        <w:t>1,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, 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 xml:space="preserve">Michael </w:t>
      </w:r>
      <w:r w:rsidR="00CB3ABF" w:rsidRPr="00CB3ABF">
        <w:rPr>
          <w:rFonts w:eastAsia="Calibri" w:cs="Arial"/>
          <w:i/>
          <w:iCs/>
          <w:lang w:val="en-GB"/>
          <w14:ligatures w14:val="standardContextual"/>
        </w:rPr>
        <w:t>Tobias</w:t>
      </w:r>
      <w:r w:rsidR="00CB3ABF">
        <w:rPr>
          <w:rFonts w:eastAsia="Calibri" w:cs="Arial"/>
          <w:i/>
          <w:iCs/>
          <w:lang w:val="en-GB"/>
          <w14:ligatures w14:val="standardContextual"/>
        </w:rPr>
        <w:t xml:space="preserve"> 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>Heitzmann</w:t>
      </w:r>
      <w:r w:rsidRPr="00CE0199">
        <w:rPr>
          <w:rFonts w:eastAsia="Calibri" w:cs="Arial"/>
          <w:i/>
          <w:iCs/>
          <w:vertAlign w:val="superscript"/>
          <w:lang w:val="en-GB"/>
          <w14:ligatures w14:val="standardContextual"/>
        </w:rPr>
        <w:t>2,</w:t>
      </w:r>
      <w:r>
        <w:rPr>
          <w:rFonts w:eastAsia="Calibri" w:cs="Arial"/>
          <w:i/>
          <w:iCs/>
          <w:vertAlign w:val="superscript"/>
          <w:lang w:val="en-GB"/>
          <w14:ligatures w14:val="standardContextual"/>
        </w:rPr>
        <w:t>3</w:t>
      </w:r>
      <w:r>
        <w:rPr>
          <w:rFonts w:eastAsia="Calibri" w:cs="Arial"/>
          <w:i/>
          <w:iCs/>
          <w:lang w:val="en-GB"/>
          <w14:ligatures w14:val="standardContextual"/>
        </w:rPr>
        <w:t>,</w:t>
      </w:r>
      <w:r>
        <w:rPr>
          <w:rFonts w:eastAsia="Calibri" w:cs="Arial"/>
          <w:i/>
          <w:iCs/>
          <w:vertAlign w:val="superscript"/>
          <w:lang w:val="en-GB"/>
          <w14:ligatures w14:val="standardContextual"/>
        </w:rPr>
        <w:t xml:space="preserve"> 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>Luigi-Jules Vandi</w:t>
      </w:r>
      <w:r w:rsidRPr="00CE0199">
        <w:rPr>
          <w:rFonts w:eastAsia="Calibri" w:cs="Arial"/>
          <w:i/>
          <w:iCs/>
          <w:vertAlign w:val="superscript"/>
          <w:lang w:val="en-GB"/>
          <w14:ligatures w14:val="standardContextual"/>
        </w:rPr>
        <w:t>2,</w:t>
      </w:r>
      <w:r>
        <w:rPr>
          <w:rFonts w:eastAsia="Calibri" w:cs="Arial"/>
          <w:i/>
          <w:iCs/>
          <w:vertAlign w:val="superscript"/>
          <w:lang w:val="en-GB"/>
          <w14:ligatures w14:val="standardContextual"/>
        </w:rPr>
        <w:t>3</w:t>
      </w:r>
      <w:r w:rsidRPr="00CE0199">
        <w:rPr>
          <w:rFonts w:eastAsia="Calibri" w:cs="Arial"/>
          <w:i/>
          <w:iCs/>
          <w:lang w:val="en-GB"/>
          <w14:ligatures w14:val="standardContextual"/>
        </w:rPr>
        <w:t>*</w:t>
      </w:r>
    </w:p>
    <w:p w14:paraId="6AC4A661" w14:textId="7450A133" w:rsidR="0010636C" w:rsidRDefault="0010636C" w:rsidP="00B27894">
      <w:pPr>
        <w:spacing w:after="160"/>
        <w:rPr>
          <w:rFonts w:eastAsia="Calibri" w:cs="Arial"/>
          <w:sz w:val="20"/>
          <w:szCs w:val="20"/>
          <w:lang w:val="en-GB"/>
          <w14:ligatures w14:val="standardContextual"/>
        </w:rPr>
      </w:pPr>
      <w:r w:rsidRPr="00CE0199">
        <w:rPr>
          <w:rFonts w:eastAsia="Calibri" w:cs="Arial"/>
          <w:sz w:val="20"/>
          <w:szCs w:val="20"/>
          <w:vertAlign w:val="superscript"/>
          <w:lang w:val="en-GB"/>
          <w14:ligatures w14:val="standardContextual"/>
        </w:rPr>
        <w:t>1</w:t>
      </w:r>
      <w:r w:rsidRPr="00CE0199">
        <w:rPr>
          <w:rFonts w:eastAsia="Calibri" w:cs="Arial"/>
          <w:sz w:val="20"/>
          <w:szCs w:val="20"/>
          <w:lang w:val="en-GB"/>
          <w14:ligatures w14:val="standardContextual"/>
        </w:rPr>
        <w:t>School of Chemical Engineering, The University of Queensland, Brisbane, QLD 4072, Australia</w:t>
      </w:r>
    </w:p>
    <w:p w14:paraId="79FB04CE" w14:textId="77777777" w:rsidR="00B83543" w:rsidRPr="00CE0199" w:rsidRDefault="00B83543" w:rsidP="00B27894">
      <w:pPr>
        <w:spacing w:after="160"/>
        <w:rPr>
          <w:rFonts w:eastAsia="Calibri" w:cs="Arial"/>
          <w:sz w:val="20"/>
          <w:szCs w:val="20"/>
          <w:lang w:val="en-GB"/>
          <w14:ligatures w14:val="standardContextual"/>
        </w:rPr>
      </w:pPr>
    </w:p>
    <w:p w14:paraId="152FB44D" w14:textId="77777777" w:rsidR="0010636C" w:rsidRPr="00CE0199" w:rsidRDefault="0010636C" w:rsidP="00B27894">
      <w:pPr>
        <w:spacing w:after="160"/>
        <w:rPr>
          <w:rFonts w:eastAsia="Calibri" w:cs="Arial"/>
          <w:sz w:val="20"/>
          <w:szCs w:val="20"/>
          <w:lang w:val="en-GB"/>
          <w14:ligatures w14:val="standardContextual"/>
        </w:rPr>
      </w:pPr>
      <w:r w:rsidRPr="00CE0199">
        <w:rPr>
          <w:rFonts w:eastAsia="Calibri" w:cs="Arial"/>
          <w:sz w:val="20"/>
          <w:szCs w:val="20"/>
          <w:vertAlign w:val="superscript"/>
          <w:lang w:val="en-GB"/>
          <w14:ligatures w14:val="standardContextual"/>
        </w:rPr>
        <w:t>2</w:t>
      </w:r>
      <w:r w:rsidRPr="00CE0199">
        <w:rPr>
          <w:rFonts w:eastAsia="Calibri" w:cs="Arial"/>
          <w:sz w:val="20"/>
          <w:szCs w:val="20"/>
          <w:lang w:val="en-GB"/>
          <w14:ligatures w14:val="standardContextual"/>
        </w:rPr>
        <w:t>Centre for Advanced Materials Processing and Manufacturing (AMPAM), The University of Queensland, Brisbane QLD 4072, Australia</w:t>
      </w:r>
    </w:p>
    <w:p w14:paraId="6224B860" w14:textId="77777777" w:rsidR="0010636C" w:rsidRPr="00CE0199" w:rsidRDefault="0010636C" w:rsidP="00B27894">
      <w:pPr>
        <w:spacing w:after="160"/>
        <w:rPr>
          <w:rFonts w:eastAsia="Calibri" w:cs="Arial"/>
          <w:sz w:val="20"/>
          <w:szCs w:val="20"/>
          <w:lang w:val="en-GB"/>
          <w14:ligatures w14:val="standardContextual"/>
        </w:rPr>
      </w:pPr>
      <w:r>
        <w:rPr>
          <w:rFonts w:eastAsia="Calibri" w:cs="Arial"/>
          <w:sz w:val="20"/>
          <w:szCs w:val="20"/>
          <w:vertAlign w:val="superscript"/>
          <w:lang w:val="en-GB"/>
          <w14:ligatures w14:val="standardContextual"/>
        </w:rPr>
        <w:t>3</w:t>
      </w:r>
      <w:r w:rsidRPr="00CE0199">
        <w:rPr>
          <w:rFonts w:eastAsia="Calibri" w:cs="Arial"/>
          <w:sz w:val="20"/>
          <w:szCs w:val="20"/>
          <w:lang w:val="en-GB"/>
          <w14:ligatures w14:val="standardContextual"/>
        </w:rPr>
        <w:t>School of Mechanical and Mining Engineering, The University of Queensland, Brisbane QLD 4072, Australia</w:t>
      </w:r>
    </w:p>
    <w:p w14:paraId="62CE271D" w14:textId="038EBBD1" w:rsidR="007F4EF1" w:rsidRDefault="0010636C" w:rsidP="00B27894">
      <w:pPr>
        <w:spacing w:after="160"/>
        <w:rPr>
          <w:rFonts w:eastAsia="Calibri" w:cs="Arial"/>
          <w:i/>
          <w:iCs/>
          <w:sz w:val="20"/>
          <w:szCs w:val="20"/>
          <w:lang w:val="en-GB"/>
          <w14:ligatures w14:val="standardContextual"/>
        </w:rPr>
      </w:pPr>
      <w:r w:rsidRPr="00CE0199">
        <w:rPr>
          <w:rFonts w:eastAsia="Calibri" w:cs="Arial"/>
          <w:sz w:val="20"/>
          <w:szCs w:val="20"/>
          <w:lang w:val="en-GB"/>
          <w14:ligatures w14:val="standardContextual"/>
        </w:rPr>
        <w:t>*Corresponding authors:</w:t>
      </w:r>
      <w:r w:rsidRPr="00CE0199">
        <w:rPr>
          <w:rFonts w:eastAsia="Calibri" w:cs="Arial"/>
          <w:i/>
          <w:iCs/>
          <w:sz w:val="20"/>
          <w:szCs w:val="20"/>
          <w:lang w:val="en-GB"/>
          <w14:ligatures w14:val="standardContextual"/>
        </w:rPr>
        <w:t xml:space="preserve"> Vincent Mathel (E-mail: v.mathel@uq.edu.au); Luigi-Jules Vandi (E-mail: </w:t>
      </w:r>
      <w:hyperlink r:id="rId4" w:history="1">
        <w:r w:rsidR="00B83543" w:rsidRPr="00CE0199">
          <w:rPr>
            <w:rStyle w:val="Hyperlink"/>
            <w:rFonts w:eastAsia="Calibri" w:cs="Arial"/>
            <w:i/>
            <w:iCs/>
            <w:sz w:val="20"/>
            <w:szCs w:val="20"/>
            <w:lang w:val="en-GB"/>
            <w14:ligatures w14:val="standardContextual"/>
          </w:rPr>
          <w:t>l.vandi@uq.edu.au</w:t>
        </w:r>
      </w:hyperlink>
      <w:r w:rsidRPr="00CE0199">
        <w:rPr>
          <w:rFonts w:eastAsia="Calibri" w:cs="Arial"/>
          <w:i/>
          <w:iCs/>
          <w:sz w:val="20"/>
          <w:szCs w:val="20"/>
          <w:lang w:val="en-GB"/>
          <w14:ligatures w14:val="standardContextual"/>
        </w:rPr>
        <w:t>)</w:t>
      </w:r>
    </w:p>
    <w:p w14:paraId="62B220E4" w14:textId="77777777" w:rsidR="007F4EF1" w:rsidRDefault="007F4EF1" w:rsidP="00B27894">
      <w:pPr>
        <w:spacing w:after="160"/>
        <w:rPr>
          <w:rFonts w:eastAsia="Calibri" w:cs="Arial"/>
          <w:i/>
          <w:iCs/>
          <w:sz w:val="20"/>
          <w:szCs w:val="20"/>
          <w:lang w:val="en-GB"/>
          <w14:ligatures w14:val="standardContextual"/>
        </w:rPr>
      </w:pPr>
    </w:p>
    <w:p w14:paraId="58CBFD92" w14:textId="77777777" w:rsidR="007F4EF1" w:rsidRDefault="007F4EF1" w:rsidP="00B27894">
      <w:pPr>
        <w:spacing w:after="160"/>
        <w:rPr>
          <w:rFonts w:eastAsia="Calibri" w:cs="Arial"/>
          <w:i/>
          <w:iCs/>
          <w:sz w:val="20"/>
          <w:szCs w:val="20"/>
          <w:lang w:val="en-GB"/>
          <w14:ligatures w14:val="standardContextual"/>
        </w:rPr>
      </w:pPr>
    </w:p>
    <w:p w14:paraId="36B07A00" w14:textId="77777777" w:rsidR="007F4EF1" w:rsidRDefault="007F4EF1" w:rsidP="00B27894">
      <w:pPr>
        <w:spacing w:after="160"/>
        <w:rPr>
          <w:rFonts w:eastAsia="Calibri" w:cs="Arial"/>
          <w:i/>
          <w:iCs/>
          <w:sz w:val="20"/>
          <w:szCs w:val="20"/>
          <w:lang w:val="en-GB"/>
          <w14:ligatures w14:val="standardContextual"/>
        </w:rPr>
      </w:pPr>
    </w:p>
    <w:p w14:paraId="44E6AC2D" w14:textId="77777777" w:rsidR="007F4EF1" w:rsidRDefault="007F4EF1" w:rsidP="00B27894">
      <w:pPr>
        <w:spacing w:after="160"/>
        <w:rPr>
          <w:rFonts w:eastAsia="Calibri" w:cs="Arial"/>
          <w:i/>
          <w:iCs/>
          <w:sz w:val="20"/>
          <w:szCs w:val="20"/>
          <w:lang w:val="en-GB"/>
          <w14:ligatures w14:val="standardContextual"/>
        </w:rPr>
      </w:pPr>
    </w:p>
    <w:p w14:paraId="57E19144" w14:textId="6EEA44DF" w:rsidR="000571ED" w:rsidRDefault="0043633B" w:rsidP="00B27894">
      <w:pPr>
        <w:keepNext/>
        <w:spacing w:after="160"/>
      </w:pPr>
      <w:r w:rsidRPr="0043633B">
        <w:rPr>
          <w:rFonts w:eastAsia="Calibri" w:cs="Arial"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34389CA9" wp14:editId="7E84EA2E">
            <wp:extent cx="5731510" cy="6559550"/>
            <wp:effectExtent l="0" t="0" r="2540" b="0"/>
            <wp:docPr id="68" name="Picture 67" descr="A black background with white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A9242C6-575C-B852-8A02-F21841C0DA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7" descr="A black background with white lines&#10;&#10;AI-generated content may be incorrect.">
                      <a:extLst>
                        <a:ext uri="{FF2B5EF4-FFF2-40B4-BE49-F238E27FC236}">
                          <a16:creationId xmlns:a16="http://schemas.microsoft.com/office/drawing/2014/main" id="{CA9242C6-575C-B852-8A02-F21841C0DA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5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4DA5C" w14:textId="3687995D" w:rsidR="000571ED" w:rsidRDefault="000571ED" w:rsidP="00B27894">
      <w:pPr>
        <w:keepNext/>
        <w:spacing w:after="160"/>
      </w:pPr>
      <w:r w:rsidRPr="000571ED">
        <w:t>Fig.S1: heating DSC curves obtained after heat post-treatment during 5 min for a) PHBV, b) PHBV/P34HB, c) PHBV-Wood, d) PHBV/P34HB-wood and heat post-treatment during 30 min for e) PHBV, f) PHBV/P34HB, g) PHBV-Wood, h) PHBV/P34HB-wood</w:t>
      </w:r>
    </w:p>
    <w:p w14:paraId="2095B5AD" w14:textId="6BD8E6F7" w:rsidR="007F4EF1" w:rsidRDefault="003770BC" w:rsidP="00B27894">
      <w:pPr>
        <w:keepNext/>
        <w:spacing w:after="160"/>
      </w:pPr>
      <w:r w:rsidRPr="003770BC">
        <w:rPr>
          <w:noProof/>
        </w:rPr>
        <w:lastRenderedPageBreak/>
        <w:drawing>
          <wp:inline distT="0" distB="0" distL="0" distR="0" wp14:anchorId="4EC9E8BD" wp14:editId="667E944C">
            <wp:extent cx="5731510" cy="5704840"/>
            <wp:effectExtent l="0" t="0" r="0" b="0"/>
            <wp:docPr id="73" name="Picture 72" descr="A black background with many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5D59959-33B9-C970-9B3B-C25AF64D3C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2" descr="A black background with many lines&#10;&#10;AI-generated content may be incorrect.">
                      <a:extLst>
                        <a:ext uri="{FF2B5EF4-FFF2-40B4-BE49-F238E27FC236}">
                          <a16:creationId xmlns:a16="http://schemas.microsoft.com/office/drawing/2014/main" id="{15D59959-33B9-C970-9B3B-C25AF64D3C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4F365" w14:textId="5A4A5583" w:rsidR="000571ED" w:rsidRDefault="000571ED" w:rsidP="00B27894">
      <w:pPr>
        <w:keepNext/>
        <w:spacing w:after="160"/>
      </w:pPr>
      <w:r>
        <w:t>Fig.</w:t>
      </w:r>
      <w:r w:rsidRPr="00672A95">
        <w:t>S2</w:t>
      </w:r>
      <w:r>
        <w:t>: DMA curves obtained after heat post-treatment during 5 min for a) PHBV, b) PHBV/P34HB, c) PHBV-Wood, d) PHBV/P34HB-wood and heat post-treatment during 30 min for e) PHBV, f) PHBV/P34HB, g) PHBV-Wood, h) PHBV/P34HB-wood</w:t>
      </w:r>
    </w:p>
    <w:p w14:paraId="54C1623E" w14:textId="77777777" w:rsidR="007F4EF1" w:rsidRDefault="007F4EF1" w:rsidP="00B27894">
      <w:pPr>
        <w:keepNext/>
        <w:spacing w:after="160"/>
      </w:pPr>
    </w:p>
    <w:p w14:paraId="58BCE521" w14:textId="77777777" w:rsidR="007F4EF1" w:rsidRDefault="007F4EF1" w:rsidP="00B27894">
      <w:pPr>
        <w:keepNext/>
        <w:spacing w:after="160"/>
      </w:pPr>
    </w:p>
    <w:p w14:paraId="012D7149" w14:textId="77777777" w:rsidR="000571ED" w:rsidRDefault="000571ED" w:rsidP="00B27894">
      <w:pPr>
        <w:keepNext/>
        <w:spacing w:after="160"/>
      </w:pPr>
    </w:p>
    <w:p w14:paraId="3A8C558A" w14:textId="77777777" w:rsidR="000571ED" w:rsidRDefault="000571ED" w:rsidP="00B27894">
      <w:pPr>
        <w:keepNext/>
        <w:spacing w:after="160"/>
      </w:pPr>
    </w:p>
    <w:p w14:paraId="7A7A4069" w14:textId="77777777" w:rsidR="000571ED" w:rsidRDefault="000571ED" w:rsidP="00B27894">
      <w:pPr>
        <w:keepNext/>
        <w:spacing w:after="160"/>
      </w:pPr>
    </w:p>
    <w:p w14:paraId="7D687B2C" w14:textId="766CAF08" w:rsidR="00B27894" w:rsidRDefault="00B27894" w:rsidP="00B27894">
      <w:pPr>
        <w:keepNext/>
        <w:spacing w:after="160"/>
      </w:pPr>
      <w:r>
        <w:lastRenderedPageBreak/>
        <w:t xml:space="preserve">Table S1: </w:t>
      </w:r>
      <w:r w:rsidR="000A122B">
        <w:rPr>
          <w:bCs/>
          <w:iCs/>
        </w:rPr>
        <w:t>Evolution of %MAF and %RAF of materials in function of heat post-treatment condition</w:t>
      </w: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851"/>
        <w:gridCol w:w="850"/>
        <w:gridCol w:w="992"/>
        <w:gridCol w:w="993"/>
        <w:gridCol w:w="850"/>
        <w:gridCol w:w="851"/>
        <w:gridCol w:w="850"/>
        <w:gridCol w:w="851"/>
      </w:tblGrid>
      <w:tr w:rsidR="00B27894" w:rsidRPr="0072682A" w14:paraId="28825730" w14:textId="77777777" w:rsidTr="00AB421B">
        <w:trPr>
          <w:trHeight w:val="219"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559712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Post-treatment temperature (℃)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FFFFFF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916FFF" w14:textId="6CF1352A" w:rsidR="00B27894" w:rsidRPr="0072682A" w:rsidRDefault="007F4EF1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% MAF</w:t>
            </w:r>
          </w:p>
        </w:tc>
      </w:tr>
      <w:tr w:rsidR="00B27894" w:rsidRPr="0072682A" w14:paraId="1E78C5D5" w14:textId="77777777" w:rsidTr="00AB421B">
        <w:trPr>
          <w:trHeight w:val="607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57A634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8FE398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1B1BBB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PHBV/P34HB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03A2CA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PHBV-Wood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88C84B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PHBV/P34HB-Wood</w:t>
            </w:r>
          </w:p>
        </w:tc>
      </w:tr>
      <w:tr w:rsidR="00B27894" w:rsidRPr="0072682A" w14:paraId="549BFF2A" w14:textId="77777777" w:rsidTr="00AB421B">
        <w:trPr>
          <w:trHeight w:val="35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4A3507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↓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E10D4F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C85947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15E0DE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14:paraId="2A608A07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</w:tr>
      <w:tr w:rsidR="00B27894" w:rsidRPr="0072682A" w14:paraId="0C69C73A" w14:textId="77777777" w:rsidTr="00AB421B">
        <w:trPr>
          <w:trHeight w:val="607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98D92D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Duration (min) →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09B45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16CB9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4DA10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</w:tcBorders>
            <w:vAlign w:val="center"/>
            <w:hideMark/>
          </w:tcPr>
          <w:p w14:paraId="6FFE5E05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</w:tr>
      <w:tr w:rsidR="00B27894" w:rsidRPr="0072682A" w14:paraId="131B85CB" w14:textId="77777777" w:rsidTr="00AB421B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CB4A4" w14:textId="77777777" w:rsidR="00B27894" w:rsidRPr="0072682A" w:rsidRDefault="00B27894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AD6BC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8CDE5C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3B5732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D08F6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D7925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3D479F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F1997F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9A64D8" w14:textId="77777777" w:rsidR="00B27894" w:rsidRPr="0072682A" w:rsidRDefault="00B27894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</w:tr>
      <w:tr w:rsidR="00B27894" w:rsidRPr="0072682A" w14:paraId="5ECAE848" w14:textId="77777777" w:rsidTr="007F4EF1">
        <w:trPr>
          <w:trHeight w:val="83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E86FA0" w14:textId="77777777" w:rsidR="00B27894" w:rsidRPr="0072682A" w:rsidRDefault="00B27894" w:rsidP="007F4EF1">
            <w:pPr>
              <w:spacing w:line="240" w:lineRule="auto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Non-treated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0F0D69" w14:textId="605B1121" w:rsidR="00B27894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4EF1">
              <w:rPr>
                <w:sz w:val="20"/>
                <w:szCs w:val="20"/>
              </w:rPr>
              <w:t>0.37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826F80" w14:textId="74E87498" w:rsidR="00B27894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4EF1">
              <w:rPr>
                <w:sz w:val="20"/>
                <w:szCs w:val="20"/>
              </w:rPr>
              <w:t>0.73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FC732B" w14:textId="16505609" w:rsidR="00B27894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4EF1">
              <w:rPr>
                <w:sz w:val="20"/>
                <w:szCs w:val="20"/>
              </w:rPr>
              <w:t>0.45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DB013B" w14:textId="5D2CAF5C" w:rsidR="00B27894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4EF1">
              <w:rPr>
                <w:sz w:val="20"/>
                <w:szCs w:val="20"/>
              </w:rPr>
              <w:t>0.63</w:t>
            </w:r>
          </w:p>
        </w:tc>
      </w:tr>
      <w:tr w:rsidR="007F4EF1" w:rsidRPr="0072682A" w14:paraId="5D57516F" w14:textId="77777777" w:rsidTr="00C67364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3E06AC" w14:textId="7777777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92B945" w14:textId="3D8C3169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DA5C2A" w14:textId="1231EEE8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0E97C5" w14:textId="40BF48D8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E1123E" w14:textId="77E2A038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85BEC5" w14:textId="711391EA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F47B22" w14:textId="069D996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0.39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24B2F4" w14:textId="51FAD6D3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F1E7D2" w14:textId="4A6C43F0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0.57</w:t>
            </w:r>
          </w:p>
        </w:tc>
      </w:tr>
      <w:tr w:rsidR="007F4EF1" w:rsidRPr="0072682A" w14:paraId="343BDBE9" w14:textId="77777777" w:rsidTr="00C67364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DBE9C2" w14:textId="7777777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A3C0E6" w14:textId="1649EF11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2BF021" w14:textId="1DE79009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A7DAC9" w14:textId="6653EFBC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811EB8" w14:textId="3586883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84608C" w14:textId="654E0131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789D52" w14:textId="51F64D2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38310C" w14:textId="5D1D2AC6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BE8687" w14:textId="4644FF94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0.59</w:t>
            </w:r>
          </w:p>
        </w:tc>
      </w:tr>
      <w:tr w:rsidR="007F4EF1" w:rsidRPr="0072682A" w14:paraId="2AEC1930" w14:textId="77777777" w:rsidTr="00C67364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03EA7" w14:textId="7777777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2071AC" w14:textId="087C00CB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B5A7A0" w14:textId="15E39D50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ECA4A6" w14:textId="7C6562F4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57A80" w14:textId="7B73E759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E966A2" w14:textId="35D98CE5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12F824" w14:textId="4FAFDE44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C66C1F" w14:textId="66A4656D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2EC297" w14:textId="1E274E64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0.64</w:t>
            </w:r>
          </w:p>
        </w:tc>
      </w:tr>
      <w:tr w:rsidR="007F4EF1" w:rsidRPr="0072682A" w14:paraId="0B0DEFEA" w14:textId="77777777" w:rsidTr="00C67364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8F035B" w14:textId="7777777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808763" w14:textId="7652A2BA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D6A5D3" w14:textId="4D45D8F5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A466B8" w14:textId="3BAC3A5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057D3C" w14:textId="1131D460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A218DA" w14:textId="6FF55390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A0238F" w14:textId="07D61370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80FFE9" w14:textId="32AF5210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E67B1E" w14:textId="1C54FC2E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0.65</w:t>
            </w:r>
          </w:p>
        </w:tc>
      </w:tr>
      <w:tr w:rsidR="007F4EF1" w:rsidRPr="0072682A" w14:paraId="382F2E46" w14:textId="77777777" w:rsidTr="00C67364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B99875" w14:textId="77777777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1AA009" w14:textId="5AA7B5AF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7A69D0" w14:textId="5311E2C4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3A23A9" w14:textId="4C577549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76CEBB" w14:textId="45937371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E5A895" w14:textId="2A9C2CA8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81555C" w14:textId="2FD50F84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B4A695" w14:textId="570E5B06" w:rsidR="007F4EF1" w:rsidRPr="0072682A" w:rsidRDefault="007F4EF1" w:rsidP="007F4EF1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6754DC" w14:textId="537C336B" w:rsidR="007F4EF1" w:rsidRPr="0072682A" w:rsidRDefault="007F4EF1" w:rsidP="007F4EF1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0.65</w:t>
            </w:r>
          </w:p>
        </w:tc>
      </w:tr>
      <w:tr w:rsidR="00BD2D8A" w:rsidRPr="0072682A" w14:paraId="748956A7" w14:textId="77777777" w:rsidTr="00BD2D8A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0F0FAC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D8DD9A" w14:textId="0843897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BA258C" w14:textId="1091C849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3F6C70" w14:textId="03C7C70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0.73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2FD2D6" w14:textId="2962ABE2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B846E4" w14:textId="5521D7B2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8468EE" w14:textId="16A355E3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BA2C9A" w14:textId="536E3594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="000A122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E0E59" w14:textId="4B580945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0.65</w:t>
            </w:r>
          </w:p>
        </w:tc>
      </w:tr>
      <w:tr w:rsidR="00BD2D8A" w:rsidRPr="0072682A" w14:paraId="5216D37B" w14:textId="77777777" w:rsidTr="00BD2D8A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CE3B34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C22185" w14:textId="41B9945E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8CA6D0" w14:textId="7B830D2F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E83595" w14:textId="6FE809D0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0.71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5C5B90" w14:textId="67FCEEEF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317342" w14:textId="2CB55962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1FA3E8" w14:textId="6B33CD42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0.37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E00214" w14:textId="123183C3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0.6</w:t>
            </w:r>
            <w:r w:rsidR="000A12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BC8A69" w14:textId="2CC38BDD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0.57</w:t>
            </w:r>
          </w:p>
        </w:tc>
      </w:tr>
      <w:tr w:rsidR="00BD2D8A" w:rsidRPr="0072682A" w14:paraId="7E7A4EF8" w14:textId="77777777" w:rsidTr="00C67364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C00E8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7B9B59" w14:textId="03603376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0381B8" w14:textId="2E43C4A5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944842" w14:textId="2207DB4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A4F2B3" w14:textId="58ADF92E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FFBE6F" w14:textId="371AC37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39501D" w14:textId="05CD365A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0.43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C32D52" w14:textId="3226E37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AE72E3" w14:textId="73D5EEA9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0.62</w:t>
            </w:r>
          </w:p>
        </w:tc>
      </w:tr>
      <w:tr w:rsidR="00BD2D8A" w:rsidRPr="0072682A" w14:paraId="38F6B40B" w14:textId="77777777" w:rsidTr="00C67364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347E80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185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E5B876" w14:textId="1BE21D6C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E2570A" w14:textId="35353604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32021C" w14:textId="43EC675F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87C017" w14:textId="2F55E5F0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E11CFA" w14:textId="274F3AE0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218EDD" w14:textId="7E92C764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72B1A4" w14:textId="5435EEA2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0.72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15B613" w14:textId="7D0CE37A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7F4EF1">
              <w:rPr>
                <w:sz w:val="20"/>
                <w:szCs w:val="20"/>
              </w:rPr>
              <w:t>-</w:t>
            </w:r>
          </w:p>
        </w:tc>
      </w:tr>
      <w:tr w:rsidR="00BD2D8A" w:rsidRPr="0072682A" w14:paraId="4D398DF0" w14:textId="77777777" w:rsidTr="00AB421B">
        <w:trPr>
          <w:trHeight w:val="102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65EC3A" w14:textId="77777777" w:rsidR="00BD2D8A" w:rsidRPr="0072682A" w:rsidRDefault="00BD2D8A" w:rsidP="00BD2D8A">
            <w:pPr>
              <w:spacing w:line="240" w:lineRule="auto"/>
              <w:textAlignment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FFFFFF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245765" w14:textId="269B1D53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% RAF</w:t>
            </w:r>
          </w:p>
        </w:tc>
      </w:tr>
      <w:tr w:rsidR="00BD2D8A" w:rsidRPr="0072682A" w14:paraId="10DC20B5" w14:textId="77777777" w:rsidTr="00AB421B">
        <w:trPr>
          <w:trHeight w:val="290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071EA2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Non-treated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2EFCA7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B34843">
              <w:rPr>
                <w:sz w:val="20"/>
                <w:szCs w:val="20"/>
                <w:lang w:eastAsia="en-AU"/>
              </w:rPr>
              <w:t>35.4±1.5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9F574D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B34843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25.9</w:t>
            </w:r>
            <w:r w:rsidRPr="00B34843">
              <w:rPr>
                <w:sz w:val="20"/>
                <w:szCs w:val="20"/>
                <w:lang w:eastAsia="en-AU"/>
              </w:rPr>
              <w:t>±0.2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E50D7F" w14:textId="7777777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4843">
              <w:rPr>
                <w:sz w:val="20"/>
                <w:szCs w:val="20"/>
              </w:rPr>
              <w:t>37.2</w:t>
            </w:r>
            <w:r w:rsidRPr="00B34843">
              <w:rPr>
                <w:sz w:val="20"/>
                <w:szCs w:val="20"/>
                <w:lang w:eastAsia="en-AU"/>
              </w:rPr>
              <w:t>±1.0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43A9F5" w14:textId="7777777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4843">
              <w:rPr>
                <w:sz w:val="20"/>
                <w:szCs w:val="20"/>
              </w:rPr>
              <w:t>22.2</w:t>
            </w:r>
            <w:r w:rsidRPr="00B34843">
              <w:rPr>
                <w:sz w:val="20"/>
                <w:szCs w:val="20"/>
                <w:lang w:eastAsia="en-AU"/>
              </w:rPr>
              <w:t>±0.5</w:t>
            </w:r>
          </w:p>
        </w:tc>
      </w:tr>
      <w:tr w:rsidR="00BD2D8A" w:rsidRPr="0072682A" w14:paraId="53BBAA53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DF673D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884CD" w14:textId="53FFEC7A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5B66B2" w14:textId="0E699342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7F7350" w14:textId="3D9E2900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778F54" w14:textId="13A3A53B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C261BF" w14:textId="7E788C89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2C9E79" w14:textId="2D193F7C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C869BD" w14:textId="2D154535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D5327" w14:textId="1AB529CB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BD2D8A" w:rsidRPr="0072682A" w14:paraId="64E697E7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8223F7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AAB78F" w14:textId="2F7149A8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50DA51" w14:textId="734A2341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D42872" w14:textId="2FBA50FC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208125" w14:textId="359B86D8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073937" w14:textId="14B4ECCE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2AC57A" w14:textId="5A1BA226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E6B2A2" w14:textId="34EA46F6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5FDE78" w14:textId="168BCF58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BD2D8A" w:rsidRPr="0072682A" w14:paraId="2486139F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5E71D9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42987B" w14:textId="2C30F2A6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E069E5" w14:textId="7504EAE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4B4D69" w14:textId="237E21E0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E5791C" w14:textId="7595AD10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63D0FC" w14:textId="1B4FD8EF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5514A9" w14:textId="3E9AE390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066B51" w14:textId="7135B9AC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4FC6B0" w14:textId="4D83FF56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BD2D8A" w:rsidRPr="0072682A" w14:paraId="50814016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B91C1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036E88" w14:textId="5757EC0C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B433F2" w14:textId="3100C5A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398AE6" w14:textId="1B26114F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929E68" w14:textId="34654E71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D3C823" w14:textId="7C7E3449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B19DB7" w14:textId="39F257FD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FC3565" w14:textId="57E85F1A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993B35" w14:textId="635302B6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BD2D8A" w:rsidRPr="0072682A" w14:paraId="02A2B61E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84720C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17F8F9" w14:textId="34C546F9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B72E4A" w14:textId="39878229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77B1CF" w14:textId="74A432AD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ED45BC" w14:textId="5A44AA55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94118" w14:textId="283FEFB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63230A" w14:textId="0E0CBB45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4410FF" w14:textId="542C1716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4CE2B9" w14:textId="223B1BE4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BD2D8A" w:rsidRPr="0072682A" w14:paraId="39D019E5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314762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C5411" w14:textId="1889F997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81FC5F" w14:textId="1C74005B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BBAD71" w14:textId="720530CC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0.16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F9953A" w14:textId="66C67DBB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DEAF5B" w14:textId="0A529931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FA155F" w14:textId="25F36AEF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1292C9" w14:textId="3AC892EB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0.22 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96087A" w14:textId="69231268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</w:tr>
      <w:tr w:rsidR="00BD2D8A" w:rsidRPr="0072682A" w14:paraId="40BBB63B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7E3D7B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0988FA" w14:textId="105DC58B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D8AADF" w14:textId="7FC88223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2014DD" w14:textId="33846E9F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0.17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CD32D5" w14:textId="142A2DC8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23F956" w14:textId="5A2BBE20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21178E" w14:textId="6BE56065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918F16" w14:textId="2397856D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2AF312" w14:textId="25ED04BB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BD2D8A" w:rsidRPr="0072682A" w14:paraId="7AE3D13B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4AD437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BC3991" w14:textId="47D673DD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F9459F" w14:textId="52ED968A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F0A55A" w14:textId="615F1459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043734" w14:textId="6A8E71B8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C680A3" w14:textId="1FA58C42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41B046" w14:textId="56B4458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145D12" w14:textId="08D93069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436E1C" w14:textId="46D5B4D9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</w:tr>
      <w:tr w:rsidR="00BD2D8A" w:rsidRPr="0072682A" w14:paraId="71A285DD" w14:textId="77777777" w:rsidTr="00DB2A8C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DEB2F5" w14:textId="7777777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185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84117B" w14:textId="67FEBE3D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9F8987" w14:textId="3396A830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6BE4D2" w14:textId="7B6DBDD4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3631E5" w14:textId="0E943FC0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24DD5B" w14:textId="09E1EDC5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4CCA9F" w14:textId="1CE43C71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05F215" w14:textId="4FBA93D7" w:rsidR="00BD2D8A" w:rsidRPr="0072682A" w:rsidRDefault="00BD2D8A" w:rsidP="00BD2D8A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24CB92" w14:textId="33C3C36D" w:rsidR="00BD2D8A" w:rsidRPr="0072682A" w:rsidRDefault="00BD2D8A" w:rsidP="00BD2D8A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ECEFE27" w14:textId="77777777" w:rsidR="00B27894" w:rsidRDefault="00B27894" w:rsidP="00B27894">
      <w:pPr>
        <w:keepNext/>
        <w:spacing w:after="160"/>
      </w:pPr>
    </w:p>
    <w:p w14:paraId="0542DB85" w14:textId="1666C625" w:rsidR="000A122B" w:rsidRDefault="00A92F28" w:rsidP="000A122B">
      <w:pPr>
        <w:keepNext/>
        <w:spacing w:after="160"/>
      </w:pPr>
      <w:r w:rsidRPr="00A92F28">
        <w:rPr>
          <w:noProof/>
        </w:rPr>
        <w:drawing>
          <wp:inline distT="0" distB="0" distL="0" distR="0" wp14:anchorId="7FCC42F1" wp14:editId="6A4C1D29">
            <wp:extent cx="5731510" cy="2402205"/>
            <wp:effectExtent l="0" t="0" r="2540" b="0"/>
            <wp:docPr id="79" name="Picture 78" descr="A screenshot of a video gam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B791FBC-9863-5058-B20F-1FC2B6E85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8" descr="A screenshot of a video game&#10;&#10;AI-generated content may be incorrect.">
                      <a:extLst>
                        <a:ext uri="{FF2B5EF4-FFF2-40B4-BE49-F238E27FC236}">
                          <a16:creationId xmlns:a16="http://schemas.microsoft.com/office/drawing/2014/main" id="{1B791FBC-9863-5058-B20F-1FC2B6E856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B2013" w14:textId="782086B5" w:rsidR="000A122B" w:rsidRPr="00A92F28" w:rsidRDefault="000A122B" w:rsidP="000A122B">
      <w:pPr>
        <w:pStyle w:val="Caption"/>
        <w:rPr>
          <w:i w:val="0"/>
          <w:iCs w:val="0"/>
          <w:sz w:val="24"/>
          <w:szCs w:val="24"/>
        </w:rPr>
      </w:pPr>
      <w:r w:rsidRPr="00A92F28">
        <w:rPr>
          <w:i w:val="0"/>
          <w:iCs w:val="0"/>
          <w:sz w:val="24"/>
          <w:szCs w:val="24"/>
        </w:rPr>
        <w:t>Fig</w:t>
      </w:r>
      <w:r w:rsidR="000571ED">
        <w:rPr>
          <w:i w:val="0"/>
          <w:iCs w:val="0"/>
          <w:sz w:val="24"/>
          <w:szCs w:val="24"/>
        </w:rPr>
        <w:t xml:space="preserve">. </w:t>
      </w:r>
      <w:r w:rsidR="00672A95" w:rsidRPr="00672A95">
        <w:rPr>
          <w:i w:val="0"/>
          <w:iCs w:val="0"/>
          <w:sz w:val="24"/>
          <w:szCs w:val="24"/>
        </w:rPr>
        <w:t>S3</w:t>
      </w:r>
      <w:r w:rsidRPr="00A92F28">
        <w:rPr>
          <w:i w:val="0"/>
          <w:iCs w:val="0"/>
          <w:sz w:val="24"/>
          <w:szCs w:val="24"/>
        </w:rPr>
        <w:t xml:space="preserve">: Evolution of </w:t>
      </w:r>
      <w:proofErr w:type="spellStart"/>
      <w:r w:rsidRPr="00A92F28">
        <w:rPr>
          <w:sz w:val="24"/>
          <w:szCs w:val="24"/>
        </w:rPr>
        <w:t>Tg</w:t>
      </w:r>
      <w:proofErr w:type="spellEnd"/>
      <w:r w:rsidRPr="00A92F28">
        <w:rPr>
          <w:i w:val="0"/>
          <w:iCs w:val="0"/>
          <w:sz w:val="24"/>
          <w:szCs w:val="24"/>
        </w:rPr>
        <w:t xml:space="preserve"> evaluated by DMA for heat post-treated materials for 5 min (left) and 30 min (right) </w:t>
      </w:r>
    </w:p>
    <w:p w14:paraId="0F4B47C2" w14:textId="77777777" w:rsidR="0043633B" w:rsidRDefault="0043633B" w:rsidP="00B27894">
      <w:pPr>
        <w:keepNext/>
        <w:spacing w:after="160"/>
      </w:pPr>
    </w:p>
    <w:p w14:paraId="5004562D" w14:textId="7C60952D" w:rsidR="00A92F28" w:rsidRDefault="00A92F28" w:rsidP="00A92F28">
      <w:pPr>
        <w:keepNext/>
        <w:spacing w:after="160"/>
      </w:pPr>
      <w:r>
        <w:t xml:space="preserve">Table S2: </w:t>
      </w:r>
      <w:r>
        <w:rPr>
          <w:bCs/>
          <w:iCs/>
        </w:rPr>
        <w:t xml:space="preserve">Evolution of </w:t>
      </w:r>
      <w:proofErr w:type="spellStart"/>
      <w:r w:rsidRPr="00A92F28">
        <w:rPr>
          <w:bCs/>
          <w:i/>
        </w:rPr>
        <w:t>Tg</w:t>
      </w:r>
      <w:proofErr w:type="spellEnd"/>
      <w:r>
        <w:rPr>
          <w:bCs/>
          <w:iCs/>
        </w:rPr>
        <w:t xml:space="preserve"> evaluated by DMA for all materials in function of heat post-treatment condition</w:t>
      </w: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851"/>
        <w:gridCol w:w="850"/>
        <w:gridCol w:w="992"/>
        <w:gridCol w:w="993"/>
        <w:gridCol w:w="850"/>
        <w:gridCol w:w="851"/>
        <w:gridCol w:w="850"/>
        <w:gridCol w:w="851"/>
      </w:tblGrid>
      <w:tr w:rsidR="00A92F28" w:rsidRPr="0072682A" w14:paraId="66A268EC" w14:textId="77777777" w:rsidTr="00AB421B">
        <w:trPr>
          <w:trHeight w:val="219"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B52910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Post-treatment temperature (℃)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FFFFFF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F53941" w14:textId="1FAC53E2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proofErr w:type="spellStart"/>
            <w:r w:rsidRPr="00A92F28">
              <w:rPr>
                <w:i/>
                <w:iCs/>
                <w:color w:val="000000" w:themeColor="dark1"/>
                <w:kern w:val="24"/>
                <w:sz w:val="20"/>
                <w:szCs w:val="20"/>
                <w:lang w:eastAsia="en-AU"/>
              </w:rPr>
              <w:t>Tg</w:t>
            </w:r>
            <w:proofErr w:type="spellEnd"/>
            <w:r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 xml:space="preserve"> (℃)</w:t>
            </w:r>
          </w:p>
        </w:tc>
      </w:tr>
      <w:tr w:rsidR="00A92F28" w:rsidRPr="0072682A" w14:paraId="39DADD94" w14:textId="77777777" w:rsidTr="00AB421B">
        <w:trPr>
          <w:trHeight w:val="607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A01EBD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C84646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3CD0F5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PHBV/P34HB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292590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PHBV-Wood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92E7FE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PHBV/P34HB-Wood</w:t>
            </w:r>
          </w:p>
        </w:tc>
      </w:tr>
      <w:tr w:rsidR="00A92F28" w:rsidRPr="0072682A" w14:paraId="47933988" w14:textId="77777777" w:rsidTr="00AB421B">
        <w:trPr>
          <w:trHeight w:val="35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735C98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↓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B4074B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887414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DA0712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14:paraId="4D4E1548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</w:tr>
      <w:tr w:rsidR="00A92F28" w:rsidRPr="0072682A" w14:paraId="4E581D84" w14:textId="77777777" w:rsidTr="00AB421B">
        <w:trPr>
          <w:trHeight w:val="607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12F018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Duration (min) →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1B2D1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5DD8F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1846C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</w:tcBorders>
            <w:vAlign w:val="center"/>
            <w:hideMark/>
          </w:tcPr>
          <w:p w14:paraId="26921C65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</w:tr>
      <w:tr w:rsidR="00A92F28" w:rsidRPr="0072682A" w14:paraId="462B22FE" w14:textId="77777777" w:rsidTr="00AB421B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12E17" w14:textId="77777777" w:rsidR="00A92F28" w:rsidRPr="0072682A" w:rsidRDefault="00A92F28" w:rsidP="00AB421B">
            <w:pPr>
              <w:spacing w:line="240" w:lineRule="auto"/>
              <w:jc w:val="left"/>
              <w:rPr>
                <w:rFonts w:ascii="Arial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1F9BB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D63874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40727D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506AB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8D9F1F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1E294D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233BED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BEBB7B" w14:textId="77777777" w:rsidR="00A92F28" w:rsidRPr="0072682A" w:rsidRDefault="00A92F28" w:rsidP="00AB421B">
            <w:pPr>
              <w:spacing w:line="240" w:lineRule="auto"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30</w:t>
            </w:r>
          </w:p>
        </w:tc>
      </w:tr>
      <w:tr w:rsidR="00A92F28" w:rsidRPr="0072682A" w14:paraId="0AE2BA08" w14:textId="77777777" w:rsidTr="00AB421B">
        <w:trPr>
          <w:trHeight w:val="83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EA44C9" w14:textId="77777777" w:rsidR="00A92F28" w:rsidRPr="0072682A" w:rsidRDefault="00A92F28" w:rsidP="00AB421B">
            <w:pPr>
              <w:spacing w:line="240" w:lineRule="auto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Non-treated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5DBD0B" w14:textId="4C1A402C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92F28">
              <w:rPr>
                <w:sz w:val="20"/>
                <w:szCs w:val="20"/>
              </w:rPr>
              <w:t>19.1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2A29BB" w14:textId="1E6F4F16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92F28">
              <w:rPr>
                <w:sz w:val="20"/>
                <w:szCs w:val="20"/>
              </w:rPr>
              <w:t>17.2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FE9DC" w14:textId="72D3797E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92F28">
              <w:rPr>
                <w:sz w:val="20"/>
                <w:szCs w:val="20"/>
              </w:rPr>
              <w:t>21.7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0B91BC" w14:textId="046615EB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92F28">
              <w:rPr>
                <w:sz w:val="20"/>
                <w:szCs w:val="20"/>
              </w:rPr>
              <w:t>15.8</w:t>
            </w:r>
          </w:p>
        </w:tc>
      </w:tr>
      <w:tr w:rsidR="00A92F28" w:rsidRPr="0072682A" w14:paraId="7BE4F9C1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078B7D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7F184C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D3E5F1" w14:textId="783E3F4E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290938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538BCD" w14:textId="529E8446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2704E0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F2D134" w14:textId="611A49E0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508AD6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EB1081" w14:textId="0C27218C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16.5</w:t>
            </w:r>
          </w:p>
        </w:tc>
      </w:tr>
      <w:tr w:rsidR="00A92F28" w:rsidRPr="0072682A" w14:paraId="56F7C343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4E599A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D01F6B" w14:textId="5B1EE484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21.0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5227BC" w14:textId="7D061695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CB254C" w14:textId="5E1FF5C4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62B1D1" w14:textId="4ACD0E98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4C9DA1" w14:textId="22981BFF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480940" w14:textId="4890FB3A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9794F9" w14:textId="78122244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3ADB30" w14:textId="016B4900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14.2</w:t>
            </w:r>
          </w:p>
        </w:tc>
      </w:tr>
      <w:tr w:rsidR="00A92F28" w:rsidRPr="0072682A" w14:paraId="0B591831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0AC0DF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961B8F" w14:textId="5432AF3F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ABE9D4" w14:textId="4552D0BC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3662A7" w14:textId="03768298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736514" w14:textId="4F680133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F983E3" w14:textId="295A14A9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456A37" w14:textId="7D02CCA3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B089625" w14:textId="6AB99279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75054D" w14:textId="38C180DC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13.7</w:t>
            </w:r>
          </w:p>
        </w:tc>
      </w:tr>
      <w:tr w:rsidR="00A92F28" w:rsidRPr="0072682A" w14:paraId="094C40BB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01D2A2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FA91F5" w14:textId="7036A5B1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BE1649" w14:textId="51E58936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699D6C" w14:textId="3C4EAD58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C92D32" w14:textId="5F8375D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15.6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D7C5C2" w14:textId="051793E1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CA8137" w14:textId="480A37EB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CBD75F" w14:textId="0AA5D6C4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1240C9" w14:textId="0FC533F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13.7</w:t>
            </w:r>
          </w:p>
        </w:tc>
      </w:tr>
      <w:tr w:rsidR="00A92F28" w:rsidRPr="0072682A" w14:paraId="218EF2CB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5BF404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AD0C20" w14:textId="64ADDAE2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B71D31" w14:textId="0BD70A66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E7940D" w14:textId="315CD3E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2799DB" w14:textId="051AD825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13.8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4625F2" w14:textId="755B7CF0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2AA862" w14:textId="4B10071D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8A678D" w14:textId="791E88E8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15.3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B39604" w14:textId="6A571BF5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16.6</w:t>
            </w:r>
          </w:p>
        </w:tc>
      </w:tr>
      <w:tr w:rsidR="00A92F28" w:rsidRPr="0072682A" w14:paraId="40D967B9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051956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A9A593" w14:textId="7A23ED6C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41CE1F" w14:textId="1FB31BAB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8D4D4E" w14:textId="513A019C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DBA592" w14:textId="22DAB82C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6B8BA8" w14:textId="74BEDBC3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D9A005" w14:textId="7E07E0B4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19.0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DCC08E" w14:textId="2A0A0FCD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D3A7CE" w14:textId="1E02FA5B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17.5</w:t>
            </w:r>
          </w:p>
        </w:tc>
      </w:tr>
      <w:tr w:rsidR="00A92F28" w:rsidRPr="0072682A" w14:paraId="42F3FE9F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6CEE89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07DECD" w14:textId="0786D1F5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FB4100" w14:textId="6CBA5033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F997BB" w14:textId="04D277D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3ECF00" w14:textId="717E4D60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982CC2" w14:textId="31256532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F9EEC3" w14:textId="1A1C190F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4971FA" w14:textId="76E434D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15.6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A65411" w14:textId="54981B2B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18.5</w:t>
            </w:r>
          </w:p>
        </w:tc>
      </w:tr>
      <w:tr w:rsidR="00A92F28" w:rsidRPr="0072682A" w14:paraId="7A56B201" w14:textId="77777777" w:rsidTr="009B1157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7BE9B6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DC1BDB1" w14:textId="324EF759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96E939" w14:textId="1A4B5EDC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7DF2D8" w14:textId="395C9C75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DA18B7" w14:textId="528A3F15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F312EC" w14:textId="7FF604FE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15.7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29DDE5" w14:textId="0F445ADF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18.8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328543" w14:textId="5F0CF42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2F4AD5" w14:textId="400BC310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17.0</w:t>
            </w:r>
          </w:p>
        </w:tc>
      </w:tr>
      <w:tr w:rsidR="00A92F28" w:rsidRPr="0072682A" w14:paraId="24D39236" w14:textId="77777777" w:rsidTr="00A542FF">
        <w:trPr>
          <w:trHeight w:val="290"/>
          <w:jc w:val="center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F7CE64" w14:textId="77777777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72682A">
              <w:rPr>
                <w:color w:val="000000" w:themeColor="dark1"/>
                <w:kern w:val="24"/>
                <w:sz w:val="20"/>
                <w:szCs w:val="20"/>
                <w:lang w:eastAsia="en-AU"/>
              </w:rPr>
              <w:t>185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FB5C040" w14:textId="6A1ABF49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9D1CB6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633434" w14:textId="30EB05BA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D690AC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78F1E5" w14:textId="2734790B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15.7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E4CF1D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EA34BF" w14:textId="1539A65E" w:rsidR="00A92F28" w:rsidRPr="0072682A" w:rsidRDefault="00A92F28" w:rsidP="00A92F28">
            <w:pPr>
              <w:spacing w:line="240" w:lineRule="auto"/>
              <w:jc w:val="center"/>
              <w:textAlignment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16.6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F6597B" w14:textId="77777777" w:rsidR="00A92F28" w:rsidRPr="0072682A" w:rsidRDefault="00A92F28" w:rsidP="00A92F28">
            <w:pPr>
              <w:spacing w:line="240" w:lineRule="auto"/>
              <w:jc w:val="center"/>
              <w:rPr>
                <w:sz w:val="20"/>
                <w:szCs w:val="20"/>
                <w:lang w:eastAsia="en-AU"/>
              </w:rPr>
            </w:pPr>
            <w:r w:rsidRPr="00A92F28">
              <w:rPr>
                <w:sz w:val="20"/>
                <w:szCs w:val="20"/>
              </w:rPr>
              <w:t>-</w:t>
            </w:r>
          </w:p>
        </w:tc>
      </w:tr>
    </w:tbl>
    <w:p w14:paraId="21DC5D0B" w14:textId="516AE4A6" w:rsidR="00A92F28" w:rsidRPr="0043633B" w:rsidRDefault="00A92F28" w:rsidP="00B27894">
      <w:pPr>
        <w:keepNext/>
        <w:spacing w:after="160"/>
      </w:pPr>
    </w:p>
    <w:sectPr w:rsidR="00A92F28" w:rsidRPr="00436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6C"/>
    <w:rsid w:val="000571ED"/>
    <w:rsid w:val="000A122B"/>
    <w:rsid w:val="0010636C"/>
    <w:rsid w:val="00236F78"/>
    <w:rsid w:val="003770BC"/>
    <w:rsid w:val="0043633B"/>
    <w:rsid w:val="00525C2D"/>
    <w:rsid w:val="00672A95"/>
    <w:rsid w:val="006A2864"/>
    <w:rsid w:val="007F4EF1"/>
    <w:rsid w:val="0093742D"/>
    <w:rsid w:val="00A92F28"/>
    <w:rsid w:val="00B27894"/>
    <w:rsid w:val="00B83543"/>
    <w:rsid w:val="00BD2D8A"/>
    <w:rsid w:val="00C00E13"/>
    <w:rsid w:val="00CA6C5B"/>
    <w:rsid w:val="00C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7937"/>
  <w15:chartTrackingRefBased/>
  <w15:docId w15:val="{76549C43-2B82-4591-8D6A-F3751063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6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36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3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36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36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36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36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36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36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36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36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36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3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6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36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6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3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5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54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3633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436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l.vandi@uq.edu.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Mathel</dc:creator>
  <cp:keywords/>
  <dc:description/>
  <cp:lastModifiedBy>Vincent Mathel</cp:lastModifiedBy>
  <cp:revision>5</cp:revision>
  <dcterms:created xsi:type="dcterms:W3CDTF">2025-07-12T12:32:00Z</dcterms:created>
  <dcterms:modified xsi:type="dcterms:W3CDTF">2025-10-19T23:57:00Z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2025-07-12T20:39:04Z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4ea2b84f-dc36-4efc-ac4f-df447b4ed428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