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15B3" w14:textId="7DBDA1D4" w:rsidR="00F94B2F" w:rsidRPr="00F94B2F" w:rsidRDefault="00F94B2F" w:rsidP="00F94B2F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bookmarkStart w:id="0" w:name="_Hlk204085381"/>
      <w:r w:rsidRPr="00F94B2F">
        <w:rPr>
          <w:rFonts w:ascii="Times New Roman" w:hAnsi="Times New Roman" w:cs="Times New Roman"/>
          <w:b/>
          <w:bCs/>
          <w:lang w:val="en-US"/>
        </w:rPr>
        <w:t>Supplementary Table S1 |</w:t>
      </w:r>
      <w:r w:rsidRPr="00F94B2F">
        <w:rPr>
          <w:rFonts w:ascii="Times New Roman" w:hAnsi="Times New Roman" w:cs="Times New Roman"/>
          <w:lang w:val="en-US"/>
        </w:rPr>
        <w:t xml:space="preserve"> </w:t>
      </w:r>
      <w:r w:rsidRPr="00F94B2F">
        <w:rPr>
          <w:rFonts w:ascii="Times New Roman" w:hAnsi="Times New Roman" w:cs="Times New Roman"/>
          <w:b/>
          <w:bCs/>
          <w:lang w:val="en-US"/>
        </w:rPr>
        <w:t>Representative hairpin secondary structures at mutation sites across different genes and taxa</w:t>
      </w:r>
    </w:p>
    <w:p w14:paraId="3F5E489F" w14:textId="77777777" w:rsidR="00F94B2F" w:rsidRPr="00F94B2F" w:rsidRDefault="00F94B2F" w:rsidP="00F94B2F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F94B2F">
        <w:rPr>
          <w:rFonts w:ascii="Times New Roman" w:hAnsi="Times New Roman" w:cs="Times New Roman"/>
          <w:lang w:val="en-US"/>
        </w:rPr>
        <w:t>The table presents representative examples of predicted hairpin secondary structures encompassing mutation sites in bacterial, viral, and human genes. For each example, the mutation position, nucleotide change, predicted free energy (</w:t>
      </w:r>
      <w:r w:rsidRPr="00F94B2F">
        <w:rPr>
          <w:rFonts w:ascii="Times New Roman" w:hAnsi="Times New Roman" w:cs="Times New Roman"/>
        </w:rPr>
        <w:t>Δ</w:t>
      </w:r>
      <w:r w:rsidRPr="00F94B2F">
        <w:rPr>
          <w:rFonts w:ascii="Times New Roman" w:hAnsi="Times New Roman" w:cs="Times New Roman"/>
          <w:lang w:val="en-US"/>
        </w:rPr>
        <w:t>G), melting temperature (Tm), and structural localization of the mutation are indicated</w:t>
      </w:r>
    </w:p>
    <w:p w14:paraId="303DE9F4" w14:textId="77777777" w:rsidR="00F94B2F" w:rsidRPr="00F94B2F" w:rsidRDefault="00F94B2F" w:rsidP="00F94B2F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998637D" w14:textId="786B4F42" w:rsidR="00BE5F59" w:rsidRPr="00F94B2F" w:rsidRDefault="00BE5F59" w:rsidP="00F94B2F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94B2F">
        <w:rPr>
          <w:rFonts w:ascii="Times New Roman" w:hAnsi="Times New Roman" w:cs="Times New Roman"/>
          <w:b/>
          <w:bCs/>
          <w:lang w:val="en-US"/>
        </w:rPr>
        <w:t xml:space="preserve">Supplementary Table </w:t>
      </w:r>
      <w:r w:rsidR="00D17B91" w:rsidRPr="00F94B2F">
        <w:rPr>
          <w:rFonts w:ascii="Times New Roman" w:hAnsi="Times New Roman" w:cs="Times New Roman"/>
          <w:b/>
          <w:bCs/>
          <w:lang w:val="en-US"/>
        </w:rPr>
        <w:t>S</w:t>
      </w:r>
      <w:r w:rsidR="00F94B2F" w:rsidRPr="00F94B2F">
        <w:rPr>
          <w:rFonts w:ascii="Times New Roman" w:hAnsi="Times New Roman" w:cs="Times New Roman"/>
          <w:b/>
          <w:bCs/>
          <w:lang w:val="en-US"/>
        </w:rPr>
        <w:t>2</w:t>
      </w:r>
      <w:r w:rsidRPr="00F94B2F">
        <w:rPr>
          <w:rFonts w:ascii="Times New Roman" w:hAnsi="Times New Roman" w:cs="Times New Roman"/>
          <w:b/>
          <w:bCs/>
          <w:lang w:val="en-US"/>
        </w:rPr>
        <w:t xml:space="preserve"> | Thermodynamic stability of secondary structures formed by oligonucleotides with different stem compositions (stems indicated in brackets)</w:t>
      </w:r>
      <w:bookmarkEnd w:id="0"/>
    </w:p>
    <w:p w14:paraId="7A14ED31" w14:textId="2A3F323E" w:rsidR="00476B01" w:rsidRPr="00F94B2F" w:rsidRDefault="00E2769E" w:rsidP="00F94B2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94B2F">
        <w:rPr>
          <w:rFonts w:ascii="Times New Roman" w:hAnsi="Times New Roman" w:cs="Times New Roman"/>
          <w:lang w:val="en-US"/>
        </w:rPr>
        <w:t xml:space="preserve">The thermodynamic comparison </w:t>
      </w:r>
      <w:r w:rsidR="00EB4CF4" w:rsidRPr="00F94B2F">
        <w:rPr>
          <w:rFonts w:ascii="Times New Roman" w:hAnsi="Times New Roman" w:cs="Times New Roman"/>
          <w:lang w:val="en-US"/>
        </w:rPr>
        <w:t xml:space="preserve">of hairpin-forming oligonucleotides with different stem compositions </w:t>
      </w:r>
      <w:r w:rsidRPr="00F94B2F">
        <w:rPr>
          <w:rFonts w:ascii="Times New Roman" w:hAnsi="Times New Roman" w:cs="Times New Roman"/>
          <w:lang w:val="en-US"/>
        </w:rPr>
        <w:t>presented in Supplementary Table 1 demonstrates</w:t>
      </w:r>
      <w:r w:rsidR="00EB4CF4" w:rsidRPr="00F94B2F">
        <w:rPr>
          <w:rFonts w:ascii="Times New Roman" w:hAnsi="Times New Roman" w:cs="Times New Roman"/>
          <w:lang w:val="en-US"/>
        </w:rPr>
        <w:t xml:space="preserve"> </w:t>
      </w:r>
      <w:r w:rsidRPr="00F94B2F">
        <w:rPr>
          <w:rFonts w:ascii="Times New Roman" w:hAnsi="Times New Roman" w:cs="Times New Roman"/>
          <w:lang w:val="en-US"/>
        </w:rPr>
        <w:t xml:space="preserve">that </w:t>
      </w:r>
      <w:r w:rsidR="00EB4CF4" w:rsidRPr="00F94B2F">
        <w:rPr>
          <w:rFonts w:ascii="Times New Roman" w:hAnsi="Times New Roman" w:cs="Times New Roman"/>
          <w:lang w:val="en-US"/>
        </w:rPr>
        <w:t>the</w:t>
      </w:r>
      <w:r w:rsidRPr="00F94B2F">
        <w:rPr>
          <w:rFonts w:ascii="Times New Roman" w:hAnsi="Times New Roman" w:cs="Times New Roman"/>
          <w:lang w:val="en-US"/>
        </w:rPr>
        <w:t xml:space="preserve"> CGGC motif forms the most stable hairpin among all tested sequences, showing the lowest Gibbs free energy (</w:t>
      </w:r>
      <w:r w:rsidRPr="00F94B2F">
        <w:rPr>
          <w:rFonts w:ascii="Times New Roman" w:hAnsi="Times New Roman" w:cs="Times New Roman"/>
        </w:rPr>
        <w:t>Δ</w:t>
      </w:r>
      <w:r w:rsidRPr="00F94B2F">
        <w:rPr>
          <w:rFonts w:ascii="Times New Roman" w:hAnsi="Times New Roman" w:cs="Times New Roman"/>
          <w:lang w:val="en-US"/>
        </w:rPr>
        <w:t>G = –4.33 kcal/mol) and the highest Tm values, followed by CGGG, CGCG, GGG, GGGG, and the non-GC-rich controls. These stronger interactions in the CGGC stem potentially enable more pronounced</w:t>
      </w:r>
      <w:r w:rsidR="00EB4CF4" w:rsidRPr="00F94B2F">
        <w:rPr>
          <w:rFonts w:ascii="Times New Roman" w:hAnsi="Times New Roman" w:cs="Times New Roman"/>
          <w:lang w:val="en-US"/>
        </w:rPr>
        <w:t xml:space="preserve"> energy redistribution </w:t>
      </w:r>
      <w:r w:rsidRPr="00F94B2F">
        <w:rPr>
          <w:rFonts w:ascii="Times New Roman" w:hAnsi="Times New Roman" w:cs="Times New Roman"/>
          <w:lang w:val="en-US"/>
        </w:rPr>
        <w:t xml:space="preserve">during replication, which may lead to nucleotide misincorporation. These observations support a model in which mutagenesis is driven by structurally constrained, </w:t>
      </w:r>
      <w:proofErr w:type="spellStart"/>
      <w:r w:rsidRPr="00F94B2F">
        <w:rPr>
          <w:rFonts w:ascii="Times New Roman" w:hAnsi="Times New Roman" w:cs="Times New Roman"/>
          <w:lang w:val="en-US"/>
        </w:rPr>
        <w:t>physicochemically</w:t>
      </w:r>
      <w:proofErr w:type="spellEnd"/>
      <w:r w:rsidRPr="00F94B2F">
        <w:rPr>
          <w:rFonts w:ascii="Times New Roman" w:hAnsi="Times New Roman" w:cs="Times New Roman"/>
          <w:lang w:val="en-US"/>
        </w:rPr>
        <w:t xml:space="preserve"> mediated </w:t>
      </w:r>
      <w:r w:rsidR="00EB4CF4" w:rsidRPr="00F94B2F">
        <w:rPr>
          <w:rFonts w:ascii="Times New Roman" w:hAnsi="Times New Roman" w:cs="Times New Roman"/>
          <w:lang w:val="en-US"/>
        </w:rPr>
        <w:t xml:space="preserve">interactions </w:t>
      </w:r>
      <w:r w:rsidRPr="00F94B2F">
        <w:rPr>
          <w:rFonts w:ascii="Times New Roman" w:hAnsi="Times New Roman" w:cs="Times New Roman"/>
          <w:lang w:val="en-US"/>
        </w:rPr>
        <w:t xml:space="preserve">rather than by stochastic errors alone. </w:t>
      </w:r>
    </w:p>
    <w:p w14:paraId="4902A392" w14:textId="0430ECEF" w:rsidR="00E2769E" w:rsidRPr="00F94B2F" w:rsidRDefault="00E2769E" w:rsidP="00E276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A3CA3E9" w14:textId="0C862BD8" w:rsidR="00BE5F59" w:rsidRPr="00BE5F59" w:rsidRDefault="00BE5F59" w:rsidP="00BE5F59">
      <w:pPr>
        <w:jc w:val="both"/>
        <w:rPr>
          <w:rFonts w:ascii="Times New Roman" w:hAnsi="Times New Roman" w:cs="Times New Roman"/>
          <w:lang w:val="en-US"/>
        </w:rPr>
      </w:pPr>
      <w:r w:rsidRPr="00BE5F59">
        <w:rPr>
          <w:rFonts w:ascii="Times New Roman" w:hAnsi="Times New Roman" w:cs="Times New Roman"/>
          <w:b/>
          <w:bCs/>
          <w:lang w:val="en-US"/>
        </w:rPr>
        <w:t xml:space="preserve">Supplementary Table </w:t>
      </w:r>
      <w:r w:rsidR="00D17B91">
        <w:rPr>
          <w:rFonts w:ascii="Times New Roman" w:hAnsi="Times New Roman" w:cs="Times New Roman"/>
          <w:b/>
          <w:bCs/>
          <w:lang w:val="en-US"/>
        </w:rPr>
        <w:t>S</w:t>
      </w:r>
      <w:r w:rsidR="00F94B2F">
        <w:rPr>
          <w:rFonts w:ascii="Times New Roman" w:hAnsi="Times New Roman" w:cs="Times New Roman"/>
          <w:b/>
          <w:bCs/>
          <w:lang w:val="en-US"/>
        </w:rPr>
        <w:t>3</w:t>
      </w:r>
      <w:r w:rsidRPr="00BE5F5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E5F59">
        <w:rPr>
          <w:rStyle w:val="a3"/>
          <w:rFonts w:ascii="Times New Roman" w:hAnsi="Times New Roman" w:cs="Times New Roman"/>
          <w:b w:val="0"/>
          <w:bCs w:val="0"/>
          <w:lang w:val="en-US"/>
        </w:rPr>
        <w:t>|</w:t>
      </w:r>
      <w:r w:rsidRPr="00BE5F59">
        <w:rPr>
          <w:rStyle w:val="a3"/>
          <w:rFonts w:ascii="Times New Roman" w:hAnsi="Times New Roman" w:cs="Times New Roman"/>
          <w:lang w:val="en-US"/>
        </w:rPr>
        <w:t xml:space="preserve"> Mutator frequencies, CGGC abundance, and distribution of out-of-frame stop codons across bacterial species</w:t>
      </w:r>
    </w:p>
    <w:p w14:paraId="2AC2097C" w14:textId="1936D608" w:rsidR="00BE5F59" w:rsidRPr="00BE5F59" w:rsidRDefault="00BE5F59" w:rsidP="00BE5F59">
      <w:pPr>
        <w:jc w:val="both"/>
        <w:rPr>
          <w:rStyle w:val="a3"/>
          <w:rFonts w:ascii="Times New Roman" w:hAnsi="Times New Roman" w:cs="Times New Roman"/>
          <w:lang w:val="en-US"/>
        </w:rPr>
      </w:pPr>
      <w:r w:rsidRPr="00BE5F59">
        <w:rPr>
          <w:rFonts w:ascii="Times New Roman" w:hAnsi="Times New Roman" w:cs="Times New Roman"/>
          <w:lang w:val="en-US"/>
        </w:rPr>
        <w:t xml:space="preserve">Data in Supplementary Table </w:t>
      </w:r>
      <w:r w:rsidR="00B6670C">
        <w:rPr>
          <w:rFonts w:ascii="Times New Roman" w:hAnsi="Times New Roman" w:cs="Times New Roman"/>
          <w:lang w:val="en-US"/>
        </w:rPr>
        <w:t>S3</w:t>
      </w:r>
      <w:r w:rsidRPr="00BE5F59">
        <w:rPr>
          <w:rFonts w:ascii="Times New Roman" w:hAnsi="Times New Roman" w:cs="Times New Roman"/>
          <w:lang w:val="en-US"/>
        </w:rPr>
        <w:t xml:space="preserve"> compare the abundance of CGGC tetramers and out-of-frame pre-stop codons controlling 1-nt and 2-nt frameshift robustness with the frequency of mutator strains</w:t>
      </w:r>
      <w:r w:rsidR="008E7D6E">
        <w:rPr>
          <w:rFonts w:ascii="Times New Roman" w:hAnsi="Times New Roman" w:cs="Times New Roman"/>
          <w:lang w:val="en-US"/>
        </w:rPr>
        <w:t xml:space="preserve"> </w:t>
      </w:r>
      <w:r w:rsidR="008E7D6E">
        <w:rPr>
          <w:rFonts w:ascii="Times New Roman" w:hAnsi="Times New Roman" w:cs="Times New Roman"/>
          <w:vertAlign w:val="superscript"/>
          <w:lang w:val="en-US"/>
        </w:rPr>
        <w:t>32</w:t>
      </w:r>
      <w:r w:rsidR="0011551A">
        <w:rPr>
          <w:rFonts w:ascii="Times New Roman" w:hAnsi="Times New Roman" w:cs="Times New Roman"/>
          <w:lang w:val="en-US"/>
        </w:rPr>
        <w:t xml:space="preserve"> </w:t>
      </w:r>
      <w:r w:rsidRPr="00BE5F59">
        <w:rPr>
          <w:rFonts w:ascii="Times New Roman" w:hAnsi="Times New Roman" w:cs="Times New Roman"/>
          <w:lang w:val="en-US"/>
        </w:rPr>
        <w:t xml:space="preserve">in bacterial populations. Species with higher mutator frequencies tend to have increased CGGC content and reduced pre-stop codon levels, such as </w:t>
      </w:r>
      <w:r w:rsidRPr="00BE5F59">
        <w:rPr>
          <w:rFonts w:ascii="Times New Roman" w:hAnsi="Times New Roman" w:cs="Times New Roman"/>
          <w:i/>
          <w:iCs/>
          <w:lang w:val="en-US"/>
        </w:rPr>
        <w:t>Pseudomonas aeruginosa</w:t>
      </w:r>
      <w:r w:rsidRPr="00BE5F59">
        <w:rPr>
          <w:rFonts w:ascii="Times New Roman" w:hAnsi="Times New Roman" w:cs="Times New Roman"/>
          <w:lang w:val="en-US"/>
        </w:rPr>
        <w:t xml:space="preserve"> (19.5–92%)</w:t>
      </w:r>
      <w:r w:rsidR="008E7D6E">
        <w:rPr>
          <w:rFonts w:ascii="Times New Roman" w:hAnsi="Times New Roman" w:cs="Times New Roman"/>
          <w:vertAlign w:val="superscript"/>
          <w:lang w:val="en-US"/>
        </w:rPr>
        <w:t>32</w:t>
      </w:r>
      <w:r w:rsidR="0011551A">
        <w:rPr>
          <w:rFonts w:ascii="Times New Roman" w:hAnsi="Times New Roman" w:cs="Times New Roman"/>
          <w:lang w:val="en-US"/>
        </w:rPr>
        <w:t xml:space="preserve">, </w:t>
      </w:r>
      <w:r w:rsidRPr="00BE5F59">
        <w:rPr>
          <w:rFonts w:ascii="Times New Roman" w:hAnsi="Times New Roman" w:cs="Times New Roman"/>
          <w:lang w:val="en-US"/>
        </w:rPr>
        <w:t xml:space="preserve">and </w:t>
      </w:r>
      <w:r w:rsidRPr="00BE5F59">
        <w:rPr>
          <w:rFonts w:ascii="Times New Roman" w:hAnsi="Times New Roman" w:cs="Times New Roman"/>
          <w:i/>
          <w:iCs/>
          <w:lang w:val="en-US"/>
        </w:rPr>
        <w:t>Neisseria meningitidis</w:t>
      </w:r>
      <w:r w:rsidRPr="00BE5F59">
        <w:rPr>
          <w:rFonts w:ascii="Times New Roman" w:hAnsi="Times New Roman" w:cs="Times New Roman"/>
          <w:lang w:val="en-US"/>
        </w:rPr>
        <w:t xml:space="preserve"> (22.2–56.8%)</w:t>
      </w:r>
      <w:r w:rsidR="008E7D6E">
        <w:rPr>
          <w:rFonts w:ascii="Times New Roman" w:hAnsi="Times New Roman" w:cs="Times New Roman"/>
          <w:vertAlign w:val="superscript"/>
          <w:lang w:val="en-US"/>
        </w:rPr>
        <w:t>32</w:t>
      </w:r>
      <w:r w:rsidRPr="00BE5F59">
        <w:rPr>
          <w:rFonts w:ascii="Times New Roman" w:hAnsi="Times New Roman" w:cs="Times New Roman"/>
          <w:lang w:val="en-US"/>
        </w:rPr>
        <w:t xml:space="preserve">. In contrast, species with low mutator rates, including </w:t>
      </w:r>
      <w:r w:rsidRPr="00BE5F59">
        <w:rPr>
          <w:rFonts w:ascii="Times New Roman" w:hAnsi="Times New Roman" w:cs="Times New Roman"/>
          <w:i/>
          <w:iCs/>
          <w:lang w:val="en-US"/>
        </w:rPr>
        <w:t>Staphylococcus aureus</w:t>
      </w:r>
      <w:r w:rsidRPr="00BE5F59">
        <w:rPr>
          <w:rFonts w:ascii="Times New Roman" w:hAnsi="Times New Roman" w:cs="Times New Roman"/>
          <w:lang w:val="en-US"/>
        </w:rPr>
        <w:t xml:space="preserve"> (1.4–14.6%)</w:t>
      </w:r>
      <w:r w:rsidR="008E7D6E">
        <w:rPr>
          <w:rFonts w:ascii="Times New Roman" w:hAnsi="Times New Roman" w:cs="Times New Roman"/>
          <w:vertAlign w:val="superscript"/>
          <w:lang w:val="en-US"/>
        </w:rPr>
        <w:t>32</w:t>
      </w:r>
      <w:r w:rsidR="0011551A" w:rsidRPr="0011551A">
        <w:rPr>
          <w:rFonts w:ascii="Times New Roman" w:hAnsi="Times New Roman" w:cs="Times New Roman"/>
          <w:vertAlign w:val="superscript"/>
          <w:lang w:val="en-US"/>
        </w:rPr>
        <w:t xml:space="preserve">, </w:t>
      </w:r>
      <w:r w:rsidRPr="00BE5F59">
        <w:rPr>
          <w:rFonts w:ascii="Times New Roman" w:hAnsi="Times New Roman" w:cs="Times New Roman"/>
          <w:lang w:val="en-US"/>
        </w:rPr>
        <w:t xml:space="preserve">and </w:t>
      </w:r>
      <w:r w:rsidRPr="00BE5F59">
        <w:rPr>
          <w:rFonts w:ascii="Times New Roman" w:hAnsi="Times New Roman" w:cs="Times New Roman"/>
          <w:i/>
          <w:iCs/>
          <w:lang w:val="en-US"/>
        </w:rPr>
        <w:t>Vibrio parahaemolyticus</w:t>
      </w:r>
      <w:r w:rsidR="0011551A">
        <w:rPr>
          <w:rFonts w:ascii="Times New Roman" w:hAnsi="Times New Roman" w:cs="Times New Roman"/>
          <w:lang w:val="en-US"/>
        </w:rPr>
        <w:t xml:space="preserve"> </w:t>
      </w:r>
      <w:r w:rsidRPr="00BE5F59">
        <w:rPr>
          <w:rFonts w:ascii="Times New Roman" w:hAnsi="Times New Roman" w:cs="Times New Roman"/>
          <w:lang w:val="en-US"/>
        </w:rPr>
        <w:t>(0–5.1%)</w:t>
      </w:r>
      <w:r w:rsidR="008E7D6E">
        <w:rPr>
          <w:rFonts w:ascii="Times New Roman" w:hAnsi="Times New Roman" w:cs="Times New Roman"/>
          <w:vertAlign w:val="superscript"/>
          <w:lang w:val="en-US"/>
        </w:rPr>
        <w:t>32</w:t>
      </w:r>
      <w:r w:rsidRPr="00BE5F59">
        <w:rPr>
          <w:rFonts w:ascii="Times New Roman" w:hAnsi="Times New Roman" w:cs="Times New Roman"/>
          <w:lang w:val="en-US"/>
        </w:rPr>
        <w:t>, display lower CGGC levels and higher pre-stop codon abundance</w:t>
      </w:r>
    </w:p>
    <w:p w14:paraId="020E0BE4" w14:textId="77777777" w:rsidR="007B5CA6" w:rsidRPr="007B5CA6" w:rsidRDefault="007B5CA6" w:rsidP="007B5CA6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14:paraId="4BEDAFD9" w14:textId="584E47C9" w:rsidR="00D25FFD" w:rsidRDefault="007B5CA6" w:rsidP="00D25FF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81449">
        <w:rPr>
          <w:rStyle w:val="a3"/>
          <w:rFonts w:ascii="Times New Roman" w:hAnsi="Times New Roman" w:cs="Times New Roman"/>
          <w:lang w:val="en-US"/>
        </w:rPr>
        <w:t xml:space="preserve">Supplementary Table </w:t>
      </w:r>
      <w:r w:rsidR="00D17B91">
        <w:rPr>
          <w:rStyle w:val="a3"/>
          <w:rFonts w:ascii="Times New Roman" w:hAnsi="Times New Roman" w:cs="Times New Roman"/>
          <w:lang w:val="en-US"/>
        </w:rPr>
        <w:t>S</w:t>
      </w:r>
      <w:r w:rsidR="00F94B2F">
        <w:rPr>
          <w:rStyle w:val="a3"/>
          <w:rFonts w:ascii="Times New Roman" w:hAnsi="Times New Roman" w:cs="Times New Roman"/>
          <w:lang w:val="en-US"/>
        </w:rPr>
        <w:t>4</w:t>
      </w:r>
      <w:r w:rsidRPr="00681449">
        <w:rPr>
          <w:rStyle w:val="a3"/>
          <w:rFonts w:ascii="Times New Roman" w:hAnsi="Times New Roman" w:cs="Times New Roman"/>
          <w:lang w:val="en-US"/>
        </w:rPr>
        <w:t xml:space="preserve"> | </w:t>
      </w:r>
      <w:r w:rsidR="00D25FFD">
        <w:rPr>
          <w:rFonts w:ascii="Times New Roman" w:hAnsi="Times New Roman" w:cs="Times New Roman"/>
          <w:lang w:val="en-US"/>
        </w:rPr>
        <w:t>List of 88 bacterial genomes, (7</w:t>
      </w:r>
      <w:r w:rsidR="00B568C9">
        <w:rPr>
          <w:rFonts w:ascii="Times New Roman" w:hAnsi="Times New Roman" w:cs="Times New Roman"/>
          <w:lang w:val="en-US"/>
        </w:rPr>
        <w:t>4</w:t>
      </w:r>
      <w:r w:rsidR="00D25FFD">
        <w:rPr>
          <w:rFonts w:ascii="Times New Roman" w:hAnsi="Times New Roman" w:cs="Times New Roman"/>
          <w:lang w:val="en-US"/>
        </w:rPr>
        <w:t xml:space="preserve"> species) included in the study, with corresponding GenBank accession numbers, (NCBI)</w:t>
      </w:r>
    </w:p>
    <w:p w14:paraId="63FE3848" w14:textId="7D43B08B" w:rsidR="00BE5F59" w:rsidRDefault="00BE5F59" w:rsidP="00E276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BE5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9E"/>
    <w:rsid w:val="0011551A"/>
    <w:rsid w:val="00285590"/>
    <w:rsid w:val="00476B01"/>
    <w:rsid w:val="007B5CA6"/>
    <w:rsid w:val="008E7D6E"/>
    <w:rsid w:val="00A50233"/>
    <w:rsid w:val="00B568C9"/>
    <w:rsid w:val="00B6670C"/>
    <w:rsid w:val="00BE5F59"/>
    <w:rsid w:val="00D17B91"/>
    <w:rsid w:val="00D25FFD"/>
    <w:rsid w:val="00E2769E"/>
    <w:rsid w:val="00EB4CF4"/>
    <w:rsid w:val="00F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E2DC"/>
  <w15:chartTrackingRefBased/>
  <w15:docId w15:val="{30532399-093F-4B4F-8F6C-BDE6AD9B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1919</Characters>
  <Application>Microsoft Office Word</Application>
  <DocSecurity>0</DocSecurity>
  <Lines>28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Aleschenkova</dc:creator>
  <cp:keywords/>
  <dc:description/>
  <cp:lastModifiedBy>Veronika Aleschenkova</cp:lastModifiedBy>
  <cp:revision>2</cp:revision>
  <dcterms:created xsi:type="dcterms:W3CDTF">2025-09-14T18:04:00Z</dcterms:created>
  <dcterms:modified xsi:type="dcterms:W3CDTF">2025-09-14T18:04:00Z</dcterms:modified>
</cp:coreProperties>
</file>