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73B393" w14:textId="77777777" w:rsidR="00D1704A"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Overcoming Immune Exclusion in Cirrhotic Hepatocellular Carcinoma via Cryoablation: Insights from Molecular pH Imaging</w:t>
      </w:r>
    </w:p>
    <w:p w14:paraId="45BD0636" w14:textId="77777777" w:rsidR="00D1704A" w:rsidRDefault="00D1704A">
      <w:pPr>
        <w:jc w:val="both"/>
        <w:rPr>
          <w:rFonts w:ascii="Times New Roman" w:eastAsia="Times New Roman" w:hAnsi="Times New Roman" w:cs="Times New Roman"/>
          <w:sz w:val="24"/>
          <w:szCs w:val="24"/>
        </w:rPr>
      </w:pPr>
    </w:p>
    <w:p w14:paraId="7FA43076" w14:textId="77777777" w:rsidR="00D1704A" w:rsidRDefault="00D1704A">
      <w:pPr>
        <w:jc w:val="both"/>
        <w:rPr>
          <w:rFonts w:ascii="Times New Roman" w:eastAsia="Times New Roman" w:hAnsi="Times New Roman" w:cs="Times New Roman"/>
          <w:sz w:val="24"/>
          <w:szCs w:val="24"/>
        </w:rPr>
      </w:pPr>
    </w:p>
    <w:p w14:paraId="58E41FD1" w14:textId="77777777" w:rsidR="00D1704A" w:rsidRDefault="00D1704A">
      <w:pPr>
        <w:rPr>
          <w:rFonts w:ascii="Times New Roman" w:eastAsia="Times New Roman" w:hAnsi="Times New Roman" w:cs="Times New Roman"/>
          <w:sz w:val="24"/>
          <w:szCs w:val="24"/>
        </w:rPr>
      </w:pPr>
    </w:p>
    <w:p w14:paraId="59771802" w14:textId="77777777" w:rsidR="001C3025" w:rsidRPr="001C3025" w:rsidRDefault="001C3025" w:rsidP="001C3025">
      <w:pPr>
        <w:spacing w:line="360" w:lineRule="auto"/>
        <w:jc w:val="both"/>
        <w:rPr>
          <w:rFonts w:ascii="Times New Roman" w:hAnsi="Times New Roman" w:cs="Times New Roman"/>
          <w:sz w:val="24"/>
          <w:szCs w:val="24"/>
          <w:vertAlign w:val="superscript"/>
        </w:rPr>
      </w:pPr>
      <w:r w:rsidRPr="001C3025">
        <w:rPr>
          <w:rFonts w:ascii="Times New Roman" w:hAnsi="Times New Roman" w:cs="Times New Roman"/>
          <w:sz w:val="24"/>
          <w:szCs w:val="24"/>
        </w:rPr>
        <w:t>Jessica G. Santana</w:t>
      </w:r>
      <w:r w:rsidRPr="001C3025">
        <w:rPr>
          <w:rFonts w:ascii="Times New Roman" w:hAnsi="Times New Roman" w:cs="Times New Roman"/>
          <w:sz w:val="24"/>
          <w:szCs w:val="24"/>
          <w:vertAlign w:val="superscript"/>
        </w:rPr>
        <w:t>1</w:t>
      </w:r>
      <w:r w:rsidRPr="001C3025">
        <w:rPr>
          <w:rFonts w:ascii="Times New Roman" w:hAnsi="Times New Roman" w:cs="Times New Roman"/>
          <w:sz w:val="24"/>
          <w:szCs w:val="24"/>
        </w:rPr>
        <w:t>, Annabella Shewarega</w:t>
      </w:r>
      <w:r w:rsidRPr="001C3025">
        <w:rPr>
          <w:rFonts w:ascii="Times New Roman" w:hAnsi="Times New Roman" w:cs="Times New Roman"/>
          <w:sz w:val="24"/>
          <w:szCs w:val="24"/>
          <w:vertAlign w:val="superscript"/>
        </w:rPr>
        <w:t>2,3</w:t>
      </w:r>
      <w:r w:rsidRPr="001C3025">
        <w:rPr>
          <w:rFonts w:ascii="Times New Roman" w:hAnsi="Times New Roman" w:cs="Times New Roman"/>
          <w:sz w:val="24"/>
          <w:szCs w:val="24"/>
        </w:rPr>
        <w:t>, David Nam</w:t>
      </w:r>
      <w:r w:rsidRPr="001C3025">
        <w:rPr>
          <w:rFonts w:ascii="Times New Roman" w:hAnsi="Times New Roman" w:cs="Times New Roman"/>
          <w:sz w:val="24"/>
          <w:szCs w:val="24"/>
          <w:vertAlign w:val="superscript"/>
        </w:rPr>
        <w:t>3</w:t>
      </w:r>
      <w:r w:rsidRPr="001C3025">
        <w:rPr>
          <w:rFonts w:ascii="Times New Roman" w:hAnsi="Times New Roman" w:cs="Times New Roman"/>
          <w:sz w:val="24"/>
          <w:szCs w:val="24"/>
        </w:rPr>
        <w:t xml:space="preserve">, Marie-Louise </w:t>
      </w:r>
      <w:r w:rsidRPr="001C3025">
        <w:rPr>
          <w:rFonts w:ascii="Times New Roman" w:hAnsi="Times New Roman" w:cs="Times New Roman"/>
          <w:color w:val="000000"/>
          <w:sz w:val="24"/>
          <w:szCs w:val="24"/>
        </w:rPr>
        <w:t>Löffler</w:t>
      </w:r>
      <w:r w:rsidRPr="001C3025">
        <w:rPr>
          <w:rFonts w:ascii="Times New Roman" w:hAnsi="Times New Roman" w:cs="Times New Roman"/>
          <w:sz w:val="24"/>
          <w:szCs w:val="24"/>
          <w:vertAlign w:val="superscript"/>
        </w:rPr>
        <w:t>3,4</w:t>
      </w:r>
      <w:r w:rsidRPr="001C3025">
        <w:rPr>
          <w:rFonts w:ascii="Times New Roman" w:hAnsi="Times New Roman" w:cs="Times New Roman"/>
          <w:sz w:val="24"/>
          <w:szCs w:val="24"/>
        </w:rPr>
        <w:t>, Tabea Kao</w:t>
      </w:r>
      <w:r w:rsidRPr="001C3025">
        <w:rPr>
          <w:rFonts w:ascii="Times New Roman" w:hAnsi="Times New Roman" w:cs="Times New Roman"/>
          <w:sz w:val="24"/>
          <w:szCs w:val="24"/>
          <w:vertAlign w:val="superscript"/>
        </w:rPr>
        <w:t>3,4,5</w:t>
      </w:r>
      <w:r w:rsidRPr="001C3025">
        <w:rPr>
          <w:rFonts w:ascii="Times New Roman" w:hAnsi="Times New Roman" w:cs="Times New Roman"/>
          <w:sz w:val="24"/>
          <w:szCs w:val="24"/>
        </w:rPr>
        <w:t xml:space="preserve">, </w:t>
      </w:r>
      <w:proofErr w:type="spellStart"/>
      <w:r w:rsidRPr="001C3025">
        <w:rPr>
          <w:rFonts w:ascii="Times New Roman" w:hAnsi="Times New Roman" w:cs="Times New Roman"/>
          <w:sz w:val="24"/>
          <w:szCs w:val="24"/>
        </w:rPr>
        <w:t>Xuchen</w:t>
      </w:r>
      <w:proofErr w:type="spellEnd"/>
      <w:r w:rsidRPr="001C3025">
        <w:rPr>
          <w:rFonts w:ascii="Times New Roman" w:hAnsi="Times New Roman" w:cs="Times New Roman"/>
          <w:sz w:val="24"/>
          <w:szCs w:val="24"/>
        </w:rPr>
        <w:t xml:space="preserve"> Zhang</w:t>
      </w:r>
      <w:r w:rsidRPr="001C3025">
        <w:rPr>
          <w:rFonts w:ascii="Times New Roman" w:hAnsi="Times New Roman" w:cs="Times New Roman"/>
          <w:sz w:val="24"/>
          <w:szCs w:val="24"/>
          <w:vertAlign w:val="superscript"/>
        </w:rPr>
        <w:t>6</w:t>
      </w:r>
      <w:r w:rsidRPr="001C3025">
        <w:rPr>
          <w:rFonts w:ascii="Times New Roman" w:hAnsi="Times New Roman" w:cs="Times New Roman"/>
          <w:sz w:val="24"/>
          <w:szCs w:val="24"/>
        </w:rPr>
        <w:t>, Vinzent Kahl</w:t>
      </w:r>
      <w:r w:rsidRPr="001C3025">
        <w:rPr>
          <w:rFonts w:ascii="Times New Roman" w:hAnsi="Times New Roman" w:cs="Times New Roman"/>
          <w:sz w:val="24"/>
          <w:szCs w:val="24"/>
          <w:vertAlign w:val="superscript"/>
        </w:rPr>
        <w:t>3,4</w:t>
      </w:r>
      <w:r w:rsidRPr="001C3025">
        <w:rPr>
          <w:rFonts w:ascii="Times New Roman" w:hAnsi="Times New Roman" w:cs="Times New Roman"/>
          <w:sz w:val="24"/>
          <w:szCs w:val="24"/>
        </w:rPr>
        <w:t>, Fahmeed Hyder</w:t>
      </w:r>
      <w:r w:rsidRPr="001C3025">
        <w:rPr>
          <w:rFonts w:ascii="Times New Roman" w:hAnsi="Times New Roman" w:cs="Times New Roman"/>
          <w:sz w:val="24"/>
          <w:szCs w:val="24"/>
          <w:vertAlign w:val="superscript"/>
        </w:rPr>
        <w:t>1,3</w:t>
      </w:r>
      <w:r w:rsidRPr="001C3025">
        <w:rPr>
          <w:rFonts w:ascii="Times New Roman" w:hAnsi="Times New Roman" w:cs="Times New Roman"/>
          <w:sz w:val="24"/>
          <w:szCs w:val="24"/>
        </w:rPr>
        <w:t>, Julius Chapiro</w:t>
      </w:r>
      <w:r w:rsidRPr="001C3025">
        <w:rPr>
          <w:rFonts w:ascii="Times New Roman" w:hAnsi="Times New Roman" w:cs="Times New Roman"/>
          <w:sz w:val="24"/>
          <w:szCs w:val="24"/>
          <w:vertAlign w:val="superscript"/>
        </w:rPr>
        <w:t>1,3,7</w:t>
      </w:r>
      <w:r w:rsidRPr="001C3025">
        <w:rPr>
          <w:rFonts w:ascii="Times New Roman" w:hAnsi="Times New Roman" w:cs="Times New Roman"/>
          <w:sz w:val="24"/>
          <w:szCs w:val="24"/>
        </w:rPr>
        <w:t>, Daniel Coman</w:t>
      </w:r>
      <w:r w:rsidRPr="001C3025">
        <w:rPr>
          <w:rFonts w:ascii="Times New Roman" w:hAnsi="Times New Roman" w:cs="Times New Roman"/>
          <w:sz w:val="24"/>
          <w:szCs w:val="24"/>
          <w:vertAlign w:val="superscript"/>
        </w:rPr>
        <w:t>1,3*</w:t>
      </w:r>
    </w:p>
    <w:p w14:paraId="4DFF72DF" w14:textId="77777777" w:rsidR="00D1704A" w:rsidRDefault="00D1704A">
      <w:pPr>
        <w:spacing w:after="160" w:line="360" w:lineRule="auto"/>
        <w:jc w:val="both"/>
        <w:rPr>
          <w:rFonts w:ascii="Times New Roman" w:eastAsia="Times New Roman" w:hAnsi="Times New Roman" w:cs="Times New Roman"/>
          <w:sz w:val="24"/>
          <w:szCs w:val="24"/>
          <w:vertAlign w:val="superscript"/>
        </w:rPr>
      </w:pPr>
    </w:p>
    <w:p w14:paraId="5BE6A449" w14:textId="77777777" w:rsidR="00D1704A" w:rsidRDefault="00000000">
      <w:pPr>
        <w:spacing w:after="16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Department of Biomedical Engineering, Yale University, New Haven, CT, United States</w:t>
      </w:r>
    </w:p>
    <w:p w14:paraId="3A39651A" w14:textId="77777777" w:rsidR="00D1704A" w:rsidRDefault="00000000">
      <w:pPr>
        <w:spacing w:after="16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Department of Diagnostic and Interventional Radiology and Neuroradiology, University Hospital Essen, </w:t>
      </w:r>
      <w:proofErr w:type="spellStart"/>
      <w:r>
        <w:rPr>
          <w:rFonts w:ascii="Times New Roman" w:eastAsia="Times New Roman" w:hAnsi="Times New Roman" w:cs="Times New Roman"/>
          <w:sz w:val="24"/>
          <w:szCs w:val="24"/>
          <w:highlight w:val="white"/>
        </w:rPr>
        <w:t>Hufelandstreet</w:t>
      </w:r>
      <w:proofErr w:type="spellEnd"/>
      <w:r>
        <w:rPr>
          <w:rFonts w:ascii="Times New Roman" w:eastAsia="Times New Roman" w:hAnsi="Times New Roman" w:cs="Times New Roman"/>
          <w:sz w:val="24"/>
          <w:szCs w:val="24"/>
          <w:highlight w:val="white"/>
        </w:rPr>
        <w:t xml:space="preserve"> 55, 45147 Essen, Germany</w:t>
      </w:r>
    </w:p>
    <w:p w14:paraId="46E87574" w14:textId="77777777" w:rsidR="00D1704A" w:rsidRDefault="00000000">
      <w:pPr>
        <w:spacing w:after="16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vertAlign w:val="superscript"/>
        </w:rPr>
        <w:t>3</w:t>
      </w:r>
      <w:r>
        <w:rPr>
          <w:rFonts w:ascii="Times New Roman" w:eastAsia="Times New Roman" w:hAnsi="Times New Roman" w:cs="Times New Roman"/>
          <w:sz w:val="24"/>
          <w:szCs w:val="24"/>
        </w:rPr>
        <w:t xml:space="preserve"> Department of Radiology and Biomedical Imaging, Yale School of Medicine, 333 Cedar Street, New Haven, CT 06510 United States </w:t>
      </w:r>
    </w:p>
    <w:p w14:paraId="5EEEC944" w14:textId="77777777" w:rsidR="00D1704A" w:rsidRDefault="0000000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Department of Radiology, Charité-</w:t>
      </w:r>
      <w:proofErr w:type="spellStart"/>
      <w:r>
        <w:rPr>
          <w:rFonts w:ascii="Times New Roman" w:eastAsia="Times New Roman" w:hAnsi="Times New Roman" w:cs="Times New Roman"/>
          <w:sz w:val="24"/>
          <w:szCs w:val="24"/>
        </w:rPr>
        <w:t>Universitätsmedizin</w:t>
      </w:r>
      <w:proofErr w:type="spellEnd"/>
      <w:r>
        <w:rPr>
          <w:rFonts w:ascii="Times New Roman" w:eastAsia="Times New Roman" w:hAnsi="Times New Roman" w:cs="Times New Roman"/>
          <w:sz w:val="24"/>
          <w:szCs w:val="24"/>
        </w:rPr>
        <w:t xml:space="preserve"> Berlin, corporate member of Freie Universität Berlin, Humboldt-Universität, and Berlin Institute of Health, 10117 Berlin, Germany </w:t>
      </w:r>
    </w:p>
    <w:p w14:paraId="09AC25A6" w14:textId="77777777" w:rsidR="00D1704A" w:rsidRDefault="00000000">
      <w:pPr>
        <w:spacing w:line="392"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vertAlign w:val="superscript"/>
        </w:rPr>
        <w:t>5</w:t>
      </w:r>
      <w:r>
        <w:rPr>
          <w:rFonts w:ascii="Times New Roman" w:eastAsia="Times New Roman" w:hAnsi="Times New Roman" w:cs="Times New Roman"/>
          <w:sz w:val="24"/>
          <w:szCs w:val="24"/>
          <w:highlight w:val="white"/>
        </w:rPr>
        <w:t xml:space="preserve"> Berlin Institute of Health at Charité - </w:t>
      </w:r>
      <w:proofErr w:type="spellStart"/>
      <w:r>
        <w:rPr>
          <w:rFonts w:ascii="Times New Roman" w:eastAsia="Times New Roman" w:hAnsi="Times New Roman" w:cs="Times New Roman"/>
          <w:sz w:val="24"/>
          <w:szCs w:val="24"/>
          <w:highlight w:val="white"/>
        </w:rPr>
        <w:t>Universitätsmedizin</w:t>
      </w:r>
      <w:proofErr w:type="spellEnd"/>
      <w:r>
        <w:rPr>
          <w:rFonts w:ascii="Times New Roman" w:eastAsia="Times New Roman" w:hAnsi="Times New Roman" w:cs="Times New Roman"/>
          <w:sz w:val="24"/>
          <w:szCs w:val="24"/>
          <w:highlight w:val="white"/>
        </w:rPr>
        <w:t xml:space="preserve"> Berlin, Berlin, Germany.</w:t>
      </w:r>
    </w:p>
    <w:p w14:paraId="2C2D1305" w14:textId="77777777" w:rsidR="00D1704A" w:rsidRDefault="00000000">
      <w:pPr>
        <w:spacing w:line="392"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vertAlign w:val="superscript"/>
        </w:rPr>
        <w:t>6</w:t>
      </w:r>
      <w:r>
        <w:rPr>
          <w:rFonts w:ascii="Times New Roman" w:eastAsia="Times New Roman" w:hAnsi="Times New Roman" w:cs="Times New Roman"/>
          <w:sz w:val="24"/>
          <w:szCs w:val="24"/>
          <w:highlight w:val="white"/>
        </w:rPr>
        <w:t xml:space="preserve"> Department of Surgical Pathology, Yale University School of Medicine, 20 York Street New Haven, CT 06510, United States.</w:t>
      </w:r>
    </w:p>
    <w:p w14:paraId="583F65C1" w14:textId="77777777" w:rsidR="00D1704A" w:rsidRDefault="00000000">
      <w:pPr>
        <w:spacing w:line="392"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vertAlign w:val="superscript"/>
        </w:rPr>
        <w:t>7</w:t>
      </w:r>
      <w:r>
        <w:rPr>
          <w:rFonts w:ascii="Times New Roman" w:eastAsia="Times New Roman" w:hAnsi="Times New Roman" w:cs="Times New Roman"/>
          <w:sz w:val="24"/>
          <w:szCs w:val="24"/>
          <w:highlight w:val="white"/>
        </w:rPr>
        <w:t xml:space="preserve"> Department of Internal Medicine, Section for Digestive Diseases, Yale University School of Medicine, 333 Cedar St, New Haven, CT 06510, United States.</w:t>
      </w:r>
    </w:p>
    <w:p w14:paraId="132F8D22" w14:textId="77777777" w:rsidR="00D1704A" w:rsidRDefault="00D1704A">
      <w:pPr>
        <w:spacing w:line="392" w:lineRule="auto"/>
        <w:jc w:val="both"/>
        <w:rPr>
          <w:rFonts w:ascii="Times New Roman" w:eastAsia="Times New Roman" w:hAnsi="Times New Roman" w:cs="Times New Roman"/>
          <w:sz w:val="24"/>
          <w:szCs w:val="24"/>
          <w:highlight w:val="white"/>
        </w:rPr>
      </w:pPr>
    </w:p>
    <w:p w14:paraId="22461A09" w14:textId="77777777" w:rsidR="00D1704A" w:rsidRDefault="0000000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6618616" w14:textId="77777777" w:rsidR="00D1704A" w:rsidRDefault="0000000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Contact E-Mail: daniel.coman@yale.edu</w:t>
      </w:r>
    </w:p>
    <w:p w14:paraId="1661EA63" w14:textId="77777777" w:rsidR="00D1704A" w:rsidRDefault="00D1704A">
      <w:pPr>
        <w:spacing w:after="160" w:line="360" w:lineRule="auto"/>
        <w:jc w:val="both"/>
        <w:rPr>
          <w:sz w:val="24"/>
          <w:szCs w:val="24"/>
        </w:rPr>
      </w:pPr>
    </w:p>
    <w:p w14:paraId="45699D20" w14:textId="77777777" w:rsidR="00D1704A" w:rsidRDefault="00D1704A">
      <w:pPr>
        <w:spacing w:after="160" w:line="360" w:lineRule="auto"/>
        <w:jc w:val="both"/>
      </w:pPr>
    </w:p>
    <w:p w14:paraId="1C8A2CD9" w14:textId="77777777" w:rsidR="001F2C02" w:rsidRDefault="001F2C02">
      <w:pPr>
        <w:spacing w:after="160" w:line="360" w:lineRule="auto"/>
        <w:jc w:val="both"/>
        <w:rPr>
          <w:sz w:val="24"/>
          <w:szCs w:val="24"/>
        </w:rPr>
      </w:pPr>
    </w:p>
    <w:p w14:paraId="7FBDA133" w14:textId="642906F1" w:rsidR="00D1704A" w:rsidRDefault="00000000">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Supplementary Methods 1: </w:t>
      </w:r>
    </w:p>
    <w:p w14:paraId="28DE13CB" w14:textId="77777777" w:rsidR="00D1704A" w:rsidRDefault="00000000">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14:paraId="6AAA2CBC" w14:textId="77777777" w:rsidR="00D1704A" w:rsidRDefault="00000000">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 </w:t>
      </w:r>
    </w:p>
    <w:p w14:paraId="1D8307E8" w14:textId="77777777" w:rsidR="00D1704A" w:rsidRDefault="00000000">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Animal model </w:t>
      </w:r>
    </w:p>
    <w:p w14:paraId="46D3206E" w14:textId="77777777" w:rsidR="00D1704A"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2C8FEAF0" w14:textId="77777777" w:rsidR="00D1704A"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All animal experiments were approved by the Yale University Institutional Animal Care and Use Committee (IACUC) and conducted in accordance with institutional and NIH guidelines for humane animal treatment. To model hepatocellular carcinoma (HCC) in the context of chronic liver inflammation, Mdr2 knockout (Mdr2–/–) mice on an FVB/N background were used. These mice were generously provided by Dr. </w:t>
      </w:r>
      <w:r>
        <w:rPr>
          <w:rFonts w:ascii="Times New Roman" w:eastAsia="Times New Roman" w:hAnsi="Times New Roman" w:cs="Times New Roman"/>
          <w:color w:val="333333"/>
          <w:sz w:val="24"/>
          <w:szCs w:val="24"/>
          <w:highlight w:val="white"/>
        </w:rPr>
        <w:t>Mario Strazzabosc</w:t>
      </w:r>
      <w:r>
        <w:rPr>
          <w:rFonts w:ascii="Times New Roman" w:eastAsia="Times New Roman" w:hAnsi="Times New Roman" w:cs="Times New Roman"/>
          <w:sz w:val="24"/>
          <w:szCs w:val="24"/>
          <w:highlight w:val="white"/>
        </w:rPr>
        <w:t xml:space="preserve">o, Yale Liver Cancer Center. The </w:t>
      </w:r>
      <w:r>
        <w:rPr>
          <w:rFonts w:ascii="Times New Roman" w:eastAsia="Times New Roman" w:hAnsi="Times New Roman" w:cs="Times New Roman"/>
          <w:i/>
          <w:sz w:val="24"/>
          <w:szCs w:val="24"/>
          <w:highlight w:val="white"/>
        </w:rPr>
        <w:t>Mdr2–/–</w:t>
      </w:r>
      <w:r>
        <w:rPr>
          <w:rFonts w:ascii="Times New Roman" w:eastAsia="Times New Roman" w:hAnsi="Times New Roman" w:cs="Times New Roman"/>
          <w:sz w:val="24"/>
          <w:szCs w:val="24"/>
          <w:highlight w:val="white"/>
        </w:rPr>
        <w:t xml:space="preserve"> model develops spontaneous chronic liver inflammation due to impaired biliary phospholipid secretion, mimicking features of primary sclerosing cholangitis and providing a fertile substrate for tumorigenesis.</w:t>
      </w:r>
    </w:p>
    <w:p w14:paraId="2834BDE6" w14:textId="77777777" w:rsidR="00D1704A" w:rsidRDefault="00D1704A">
      <w:pPr>
        <w:spacing w:line="360" w:lineRule="auto"/>
        <w:jc w:val="both"/>
        <w:rPr>
          <w:rFonts w:ascii="Times New Roman" w:eastAsia="Times New Roman" w:hAnsi="Times New Roman" w:cs="Times New Roman"/>
          <w:b/>
          <w:sz w:val="24"/>
          <w:szCs w:val="24"/>
          <w:highlight w:val="white"/>
        </w:rPr>
      </w:pPr>
    </w:p>
    <w:p w14:paraId="0A65E9B0" w14:textId="77777777" w:rsidR="00D1704A"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02C2C335" w14:textId="77777777" w:rsidR="00D1704A" w:rsidRDefault="00000000">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Toxin-induced liver cirrhosis</w:t>
      </w:r>
    </w:p>
    <w:p w14:paraId="04C77990" w14:textId="77777777" w:rsidR="00D1704A"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738F2A5B" w14:textId="77777777" w:rsidR="00D1704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induction of cirrhosis was performed by repetitive oral administration of escalating doses of carbon tetrachloride (Sigma Aldrich, 99.9 56-23-5) (CCl</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(CCl</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50% (vol/vol) in olive oil, three times per week for 24 weeks. The dosing schedule consisted of 0.875 ml/kg (1st dose, week 1), 1.75 ml/kg (2nd to 9th dose, week 1 – 4), 2.5 ml/kg (10th to 23rd dose, week 4 – 8), and 3.25 ml/kg (after week 8), according to previously established protocol</w:t>
      </w:r>
      <w:r>
        <w:rPr>
          <w:rFonts w:ascii="Times New Roman" w:eastAsia="Times New Roman" w:hAnsi="Times New Roman" w:cs="Times New Roman"/>
          <w:color w:val="4A86E8"/>
          <w:sz w:val="24"/>
          <w:szCs w:val="24"/>
          <w:vertAlign w:val="superscript"/>
        </w:rPr>
        <w:t>[30]</w:t>
      </w:r>
      <w:r>
        <w:rPr>
          <w:rFonts w:ascii="Times New Roman" w:eastAsia="Times New Roman" w:hAnsi="Times New Roman" w:cs="Times New Roman"/>
          <w:sz w:val="24"/>
          <w:szCs w:val="24"/>
        </w:rPr>
        <w:t xml:space="preserve">. </w:t>
      </w:r>
    </w:p>
    <w:p w14:paraId="5658D9DD" w14:textId="77777777" w:rsidR="00D1704A"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29AAC4BC" w14:textId="77777777" w:rsidR="00D1704A"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174A24C9" w14:textId="77777777" w:rsidR="00D1704A"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1271E73F" w14:textId="14FC417E" w:rsidR="00D1704A"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Methods 2: Histologic Processing</w:t>
      </w:r>
    </w:p>
    <w:p w14:paraId="36C12684" w14:textId="77777777" w:rsidR="00D1704A" w:rsidRDefault="00D1704A">
      <w:pPr>
        <w:spacing w:line="360" w:lineRule="auto"/>
        <w:jc w:val="both"/>
        <w:rPr>
          <w:rFonts w:ascii="Times New Roman" w:eastAsia="Times New Roman" w:hAnsi="Times New Roman" w:cs="Times New Roman"/>
          <w:b/>
          <w:sz w:val="24"/>
          <w:szCs w:val="24"/>
        </w:rPr>
      </w:pPr>
    </w:p>
    <w:p w14:paraId="2AEF6C7F" w14:textId="77777777" w:rsidR="00D1704A"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E22161C" w14:textId="77777777" w:rsidR="00D1704A"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Tissue collection and processing</w:t>
      </w:r>
    </w:p>
    <w:p w14:paraId="3CB6FF12" w14:textId="77777777" w:rsidR="00D1704A"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36439A4" w14:textId="7242CC93" w:rsidR="00D1704A" w:rsidRDefault="00000000">
      <w:p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Immediately after Biosensor Imaging of </w:t>
      </w:r>
      <w:proofErr w:type="spellStart"/>
      <w:r>
        <w:rPr>
          <w:rFonts w:ascii="Times New Roman" w:eastAsia="Times New Roman" w:hAnsi="Times New Roman" w:cs="Times New Roman"/>
          <w:sz w:val="24"/>
          <w:szCs w:val="24"/>
        </w:rPr>
        <w:t>Redudant</w:t>
      </w:r>
      <w:proofErr w:type="spellEnd"/>
      <w:r>
        <w:rPr>
          <w:rFonts w:ascii="Times New Roman" w:eastAsia="Times New Roman" w:hAnsi="Times New Roman" w:cs="Times New Roman"/>
          <w:sz w:val="24"/>
          <w:szCs w:val="24"/>
        </w:rPr>
        <w:t xml:space="preserve"> Deviations in Shifts (BIRDS) imaging, animals were sacrificed for tissue harvesting. Necropsy included tumor, surrounding liver parenchyma, and </w:t>
      </w:r>
      <w:r>
        <w:rPr>
          <w:rFonts w:ascii="Times New Roman" w:eastAsia="Times New Roman" w:hAnsi="Times New Roman" w:cs="Times New Roman"/>
          <w:sz w:val="24"/>
          <w:szCs w:val="24"/>
        </w:rPr>
        <w:lastRenderedPageBreak/>
        <w:t>spleen, fixed in 10% buffered formalin overnight at 4</w:t>
      </w:r>
      <w:r>
        <w:rPr>
          <w:rFonts w:ascii="Times New Roman" w:eastAsia="Times New Roman" w:hAnsi="Times New Roman" w:cs="Times New Roman"/>
          <w:color w:val="222222"/>
          <w:sz w:val="24"/>
          <w:szCs w:val="24"/>
          <w:highlight w:val="white"/>
        </w:rPr>
        <w:t xml:space="preserve">°C, paraffin-embedded, and </w:t>
      </w:r>
      <w:r>
        <w:rPr>
          <w:rFonts w:ascii="Times New Roman" w:eastAsia="Times New Roman" w:hAnsi="Times New Roman" w:cs="Times New Roman"/>
          <w:sz w:val="24"/>
          <w:szCs w:val="24"/>
        </w:rPr>
        <w:t>sectioned into 5 µm-thick slices</w:t>
      </w:r>
      <w:r>
        <w:rPr>
          <w:rFonts w:ascii="Times New Roman" w:eastAsia="Times New Roman" w:hAnsi="Times New Roman" w:cs="Times New Roman"/>
          <w:color w:val="222222"/>
          <w:sz w:val="24"/>
          <w:szCs w:val="24"/>
          <w:highlight w:val="white"/>
        </w:rPr>
        <w:t xml:space="preserve"> for radiological-pathological correlation. </w:t>
      </w:r>
    </w:p>
    <w:p w14:paraId="47043C31" w14:textId="77777777" w:rsidR="00D1704A" w:rsidRDefault="00000000">
      <w:p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p>
    <w:p w14:paraId="0886080F" w14:textId="77777777" w:rsidR="00D1704A" w:rsidRDefault="00000000">
      <w:pPr>
        <w:spacing w:line="360" w:lineRule="auto"/>
        <w:jc w:val="both"/>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Immunohistochemistry</w:t>
      </w:r>
    </w:p>
    <w:p w14:paraId="18EFDC47" w14:textId="77777777" w:rsidR="00D1704A" w:rsidRDefault="00000000">
      <w:p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p>
    <w:p w14:paraId="44E24571" w14:textId="77777777" w:rsidR="00D1704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µm-thick sectioned slices were stained for a standardized Hematoxylin-and-Eosin (H&amp;E) stain according to protocols used for general histopathology evaluation and quantification of tumor viability and necrosis. Immunohistochemistry (IHC) was performed evaluating for CD3</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(Clone CD3-12, ab11089, 1:200, Abcam), CD8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(4SM15, 14-0808-37, 1:200, </w:t>
      </w:r>
      <w:proofErr w:type="spellStart"/>
      <w:r>
        <w:rPr>
          <w:rFonts w:ascii="Times New Roman" w:eastAsia="Times New Roman" w:hAnsi="Times New Roman" w:cs="Times New Roman"/>
          <w:sz w:val="24"/>
          <w:szCs w:val="24"/>
        </w:rPr>
        <w:t>ThermoFisher</w:t>
      </w:r>
      <w:proofErr w:type="spellEnd"/>
      <w:r>
        <w:rPr>
          <w:rFonts w:ascii="Times New Roman" w:eastAsia="Times New Roman" w:hAnsi="Times New Roman" w:cs="Times New Roman"/>
          <w:sz w:val="24"/>
          <w:szCs w:val="24"/>
        </w:rPr>
        <w:t>), CD68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(Clone 2449D, 1:500, R&amp;D Systems), and CD206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(Clone MMR/CD206, AF2535, 1:200, R&amp;D Systems). Briefly, sections were deparaffinized </w:t>
      </w:r>
      <w:r>
        <w:rPr>
          <w:rFonts w:ascii="Times New Roman" w:eastAsia="Times New Roman" w:hAnsi="Times New Roman" w:cs="Times New Roman"/>
          <w:color w:val="222222"/>
          <w:sz w:val="24"/>
          <w:szCs w:val="24"/>
          <w:highlight w:val="white"/>
        </w:rPr>
        <w:t xml:space="preserve">at 50°C for 20 minutes followed by 20 min in </w:t>
      </w:r>
      <w:proofErr w:type="spellStart"/>
      <w:r>
        <w:rPr>
          <w:rFonts w:ascii="Times New Roman" w:eastAsia="Times New Roman" w:hAnsi="Times New Roman" w:cs="Times New Roman"/>
          <w:color w:val="222222"/>
          <w:sz w:val="24"/>
          <w:szCs w:val="24"/>
          <w:highlight w:val="white"/>
        </w:rPr>
        <w:t>histoclear</w:t>
      </w:r>
      <w:proofErr w:type="spellEnd"/>
      <w:r>
        <w:rPr>
          <w:rFonts w:ascii="Times New Roman" w:eastAsia="Times New Roman" w:hAnsi="Times New Roman" w:cs="Times New Roman"/>
          <w:color w:val="222222"/>
          <w:sz w:val="24"/>
          <w:szCs w:val="24"/>
          <w:highlight w:val="white"/>
        </w:rPr>
        <w:t xml:space="preserve"> and hydrated in a graded ethanol series. Heat-induced antigen retrieval was conducted with </w:t>
      </w:r>
      <w:r>
        <w:rPr>
          <w:rFonts w:ascii="Times New Roman" w:eastAsia="Times New Roman" w:hAnsi="Times New Roman" w:cs="Times New Roman"/>
          <w:sz w:val="24"/>
          <w:szCs w:val="24"/>
        </w:rPr>
        <w:t xml:space="preserve">EDTA buffer (1.35mM in deionized water, pH=8.0) or Citrate buffer (10mM in deionized water, pH =6.0) at 95 °C in water bath.  Upon cooling, slides were washed in 1X washing buffer (1% bovine serum albumin (BSA), 0.1% Tween-20, 500 mL 1X phosphate buffered saline (PBS)) and blocked for 30 min with 200 mL DAKO Dual Endogenous Protein Block (S2003, </w:t>
      </w:r>
      <w:proofErr w:type="spellStart"/>
      <w:r>
        <w:rPr>
          <w:rFonts w:ascii="Times New Roman" w:eastAsia="Times New Roman" w:hAnsi="Times New Roman" w:cs="Times New Roman"/>
          <w:sz w:val="24"/>
          <w:szCs w:val="24"/>
        </w:rPr>
        <w:t>Aligent</w:t>
      </w:r>
      <w:proofErr w:type="spellEnd"/>
      <w:r>
        <w:rPr>
          <w:rFonts w:ascii="Times New Roman" w:eastAsia="Times New Roman" w:hAnsi="Times New Roman" w:cs="Times New Roman"/>
          <w:sz w:val="24"/>
          <w:szCs w:val="24"/>
        </w:rPr>
        <w:t xml:space="preserve"> Technologies, Santa Clara/CA). Slides were washed three times with 1X washing buffer and incubated for 60 min with 5 drops of 2.5% host serum. Primary antibody incubation was performed overnight at 4°C in a hydration chamber. Slides were washed three times in 1X washing buffer and incubated with the secondary antibody enzyme conjugate (1:200, </w:t>
      </w:r>
      <w:proofErr w:type="spellStart"/>
      <w:r>
        <w:rPr>
          <w:rFonts w:ascii="Times New Roman" w:eastAsia="Times New Roman" w:hAnsi="Times New Roman" w:cs="Times New Roman"/>
          <w:sz w:val="24"/>
          <w:szCs w:val="24"/>
        </w:rPr>
        <w:t>ImmPRESS</w:t>
      </w:r>
      <w:proofErr w:type="spellEnd"/>
      <w:r>
        <w:rPr>
          <w:rFonts w:ascii="Times New Roman" w:eastAsia="Times New Roman" w:hAnsi="Times New Roman" w:cs="Times New Roman"/>
          <w:sz w:val="24"/>
          <w:szCs w:val="24"/>
        </w:rPr>
        <w:t xml:space="preserve"> (Peroxidase) polymer Anti-Rat or Anti-Goat IgG reagent, Vector Laboratories). Subsequently, slides were washed three times in 1X washing buffer, treated with </w:t>
      </w:r>
      <w:proofErr w:type="spellStart"/>
      <w:r>
        <w:rPr>
          <w:rFonts w:ascii="Times New Roman" w:eastAsia="Times New Roman" w:hAnsi="Times New Roman" w:cs="Times New Roman"/>
          <w:sz w:val="24"/>
          <w:szCs w:val="24"/>
        </w:rPr>
        <w:t>diaminobenzine</w:t>
      </w:r>
      <w:proofErr w:type="spellEnd"/>
      <w:r>
        <w:rPr>
          <w:rFonts w:ascii="Times New Roman" w:eastAsia="Times New Roman" w:hAnsi="Times New Roman" w:cs="Times New Roman"/>
          <w:sz w:val="24"/>
          <w:szCs w:val="24"/>
        </w:rPr>
        <w:t xml:space="preserve"> (DAB) chromogen for 30 – 90 seconds, and counterstained with 4 drops of hematoxylin. Slides were dehydrated and mounted with </w:t>
      </w:r>
      <w:proofErr w:type="spellStart"/>
      <w:r>
        <w:rPr>
          <w:rFonts w:ascii="Times New Roman" w:eastAsia="Times New Roman" w:hAnsi="Times New Roman" w:cs="Times New Roman"/>
          <w:sz w:val="24"/>
          <w:szCs w:val="24"/>
        </w:rPr>
        <w:t>Vectamount</w:t>
      </w:r>
      <w:proofErr w:type="spellEnd"/>
      <w:r>
        <w:rPr>
          <w:rFonts w:ascii="Times New Roman" w:eastAsia="Times New Roman" w:hAnsi="Times New Roman" w:cs="Times New Roman"/>
          <w:sz w:val="24"/>
          <w:szCs w:val="24"/>
        </w:rPr>
        <w:t xml:space="preserve"> solution for analysis. </w:t>
      </w:r>
    </w:p>
    <w:p w14:paraId="378EDBFD" w14:textId="77777777" w:rsidR="00D1704A" w:rsidRDefault="00000000">
      <w:p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p>
    <w:p w14:paraId="7E9A4DE0" w14:textId="77777777" w:rsidR="00D1704A" w:rsidRDefault="00D1704A">
      <w:pPr>
        <w:spacing w:line="360" w:lineRule="auto"/>
        <w:jc w:val="both"/>
        <w:rPr>
          <w:rFonts w:ascii="Times New Roman" w:eastAsia="Times New Roman" w:hAnsi="Times New Roman" w:cs="Times New Roman"/>
          <w:sz w:val="24"/>
          <w:szCs w:val="24"/>
        </w:rPr>
      </w:pPr>
    </w:p>
    <w:p w14:paraId="00AA89D5" w14:textId="77777777" w:rsidR="00D1704A"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97662CF" w14:textId="77777777" w:rsidR="00D1704A" w:rsidRDefault="00D1704A">
      <w:pPr>
        <w:spacing w:line="360" w:lineRule="auto"/>
        <w:jc w:val="both"/>
        <w:rPr>
          <w:rFonts w:ascii="Times New Roman" w:eastAsia="Times New Roman" w:hAnsi="Times New Roman" w:cs="Times New Roman"/>
          <w:b/>
          <w:sz w:val="24"/>
          <w:szCs w:val="24"/>
        </w:rPr>
      </w:pPr>
    </w:p>
    <w:p w14:paraId="3DB95C0B" w14:textId="77777777" w:rsidR="00D1704A" w:rsidRDefault="00D1704A">
      <w:pPr>
        <w:spacing w:line="360" w:lineRule="auto"/>
        <w:jc w:val="both"/>
        <w:rPr>
          <w:rFonts w:ascii="Times New Roman" w:eastAsia="Times New Roman" w:hAnsi="Times New Roman" w:cs="Times New Roman"/>
          <w:b/>
          <w:sz w:val="24"/>
          <w:szCs w:val="24"/>
        </w:rPr>
      </w:pPr>
    </w:p>
    <w:p w14:paraId="0B0CE3DC" w14:textId="77777777" w:rsidR="00D1704A"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Image analysis and quantification</w:t>
      </w:r>
    </w:p>
    <w:p w14:paraId="088E203A" w14:textId="77777777" w:rsidR="00D1704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F77187A" w14:textId="77777777" w:rsidR="00D1704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26F2DE22" w14:textId="77777777" w:rsidR="00D1704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immunohistochemistry, </w:t>
      </w:r>
      <w:r>
        <w:rPr>
          <w:rFonts w:ascii="Times New Roman" w:eastAsia="Times New Roman" w:hAnsi="Times New Roman" w:cs="Times New Roman"/>
          <w:color w:val="1C1D1E"/>
          <w:sz w:val="24"/>
          <w:szCs w:val="24"/>
          <w:highlight w:val="white"/>
        </w:rPr>
        <w:t>tissue analysis included staining for hematoxylin-eosin (H&amp;E), CD3</w:t>
      </w:r>
      <w:r>
        <w:rPr>
          <w:rFonts w:ascii="Times New Roman" w:eastAsia="Times New Roman" w:hAnsi="Times New Roman" w:cs="Times New Roman"/>
          <w:color w:val="1C1D1E"/>
          <w:sz w:val="24"/>
          <w:szCs w:val="24"/>
          <w:highlight w:val="white"/>
          <w:vertAlign w:val="superscript"/>
        </w:rPr>
        <w:t>+</w:t>
      </w:r>
      <w:r>
        <w:rPr>
          <w:rFonts w:ascii="Times New Roman" w:eastAsia="Times New Roman" w:hAnsi="Times New Roman" w:cs="Times New Roman"/>
          <w:color w:val="1C1D1E"/>
          <w:sz w:val="24"/>
          <w:szCs w:val="24"/>
          <w:highlight w:val="white"/>
        </w:rPr>
        <w:t>, CD8</w:t>
      </w:r>
      <w:r>
        <w:rPr>
          <w:rFonts w:ascii="Times New Roman" w:eastAsia="Times New Roman" w:hAnsi="Times New Roman" w:cs="Times New Roman"/>
          <w:color w:val="1C1D1E"/>
          <w:sz w:val="24"/>
          <w:szCs w:val="24"/>
          <w:highlight w:val="white"/>
          <w:vertAlign w:val="superscript"/>
        </w:rPr>
        <w:t>+</w:t>
      </w:r>
      <w:r>
        <w:rPr>
          <w:rFonts w:ascii="Times New Roman" w:eastAsia="Times New Roman" w:hAnsi="Times New Roman" w:cs="Times New Roman"/>
          <w:color w:val="1C1D1E"/>
          <w:sz w:val="24"/>
          <w:szCs w:val="24"/>
          <w:highlight w:val="white"/>
        </w:rPr>
        <w:t>, CD68</w:t>
      </w:r>
      <w:r>
        <w:rPr>
          <w:rFonts w:ascii="Times New Roman" w:eastAsia="Times New Roman" w:hAnsi="Times New Roman" w:cs="Times New Roman"/>
          <w:color w:val="1C1D1E"/>
          <w:sz w:val="24"/>
          <w:szCs w:val="24"/>
          <w:highlight w:val="white"/>
          <w:vertAlign w:val="superscript"/>
        </w:rPr>
        <w:t>+</w:t>
      </w:r>
      <w:r>
        <w:rPr>
          <w:rFonts w:ascii="Times New Roman" w:eastAsia="Times New Roman" w:hAnsi="Times New Roman" w:cs="Times New Roman"/>
          <w:color w:val="1C1D1E"/>
          <w:sz w:val="24"/>
          <w:szCs w:val="24"/>
          <w:highlight w:val="white"/>
        </w:rPr>
        <w:t>, CD206</w:t>
      </w:r>
      <w:r>
        <w:rPr>
          <w:rFonts w:ascii="Times New Roman" w:eastAsia="Times New Roman" w:hAnsi="Times New Roman" w:cs="Times New Roman"/>
          <w:color w:val="1C1D1E"/>
          <w:sz w:val="24"/>
          <w:szCs w:val="24"/>
          <w:highlight w:val="white"/>
          <w:vertAlign w:val="superscript"/>
        </w:rPr>
        <w:t>+</w:t>
      </w:r>
      <w:r>
        <w:rPr>
          <w:rFonts w:ascii="Times New Roman" w:eastAsia="Times New Roman" w:hAnsi="Times New Roman" w:cs="Times New Roman"/>
          <w:color w:val="1C1D1E"/>
          <w:sz w:val="24"/>
          <w:szCs w:val="24"/>
          <w:highlight w:val="white"/>
        </w:rPr>
        <w:t xml:space="preserve">, and Masson’s trichrome. Slides were </w:t>
      </w:r>
      <w:r>
        <w:rPr>
          <w:rFonts w:ascii="Times New Roman" w:eastAsia="Times New Roman" w:hAnsi="Times New Roman" w:cs="Times New Roman"/>
          <w:color w:val="1C1D1E"/>
          <w:sz w:val="24"/>
          <w:szCs w:val="24"/>
        </w:rPr>
        <w:t>scanned using the Aperio Scope XT Digital Slide Scanner (Aperio, Vista, CA, USA) at 20 × magnification (3.94 × 10</w:t>
      </w:r>
      <w:r>
        <w:rPr>
          <w:rFonts w:ascii="Times New Roman" w:eastAsia="Times New Roman" w:hAnsi="Times New Roman" w:cs="Times New Roman"/>
          <w:color w:val="1C1D1E"/>
          <w:sz w:val="24"/>
          <w:szCs w:val="24"/>
          <w:vertAlign w:val="superscript"/>
        </w:rPr>
        <w:t>6</w:t>
      </w:r>
      <w:r>
        <w:rPr>
          <w:rFonts w:ascii="Times New Roman" w:eastAsia="Times New Roman" w:hAnsi="Times New Roman" w:cs="Times New Roman"/>
          <w:color w:val="1C1D1E"/>
          <w:sz w:val="24"/>
          <w:szCs w:val="24"/>
        </w:rPr>
        <w:t xml:space="preserve"> pixels = 1 mm</w:t>
      </w:r>
      <w:r>
        <w:rPr>
          <w:rFonts w:ascii="Times New Roman" w:eastAsia="Times New Roman" w:hAnsi="Times New Roman" w:cs="Times New Roman"/>
          <w:color w:val="1C1D1E"/>
          <w:sz w:val="24"/>
          <w:szCs w:val="24"/>
          <w:vertAlign w:val="superscript"/>
        </w:rPr>
        <w:t>2</w:t>
      </w:r>
      <w:r>
        <w:rPr>
          <w:rFonts w:ascii="Times New Roman" w:eastAsia="Times New Roman" w:hAnsi="Times New Roman" w:cs="Times New Roman"/>
          <w:color w:val="1C1D1E"/>
          <w:sz w:val="24"/>
          <w:szCs w:val="24"/>
        </w:rPr>
        <w:t>)</w:t>
      </w:r>
      <w:r>
        <w:rPr>
          <w:rFonts w:ascii="Times New Roman" w:eastAsia="Times New Roman" w:hAnsi="Times New Roman" w:cs="Times New Roman"/>
          <w:color w:val="1C1D1E"/>
          <w:sz w:val="24"/>
          <w:szCs w:val="24"/>
          <w:highlight w:val="white"/>
        </w:rPr>
        <w:t>. The evaluation of cirrhosis was based on the presence of architectural hepatic distortion, regenerative nodules, and fibrotic septa. A board-certified pathologist (X.X.) confirmed the stage of cirrhosis across samples.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C1D1E"/>
          <w:sz w:val="24"/>
          <w:szCs w:val="24"/>
          <w:highlight w:val="white"/>
        </w:rPr>
        <w:t xml:space="preserve">Fibrosis index was calculated </w:t>
      </w:r>
      <w:r>
        <w:rPr>
          <w:rFonts w:ascii="Times New Roman" w:eastAsia="Times New Roman" w:hAnsi="Times New Roman" w:cs="Times New Roman"/>
          <w:color w:val="1C1D1E"/>
          <w:sz w:val="24"/>
          <w:szCs w:val="24"/>
        </w:rPr>
        <w:t xml:space="preserve">by the ratio of the fibrosis area to the total sample area, expressed in pixels, and calculated automatically using the Leica Aperio Image Scope Positive Pixel Count (PPC) algorithm. The optimum threshold for positive pixels that corresponded to the areas of trichrome staining was determined using the software by changing the hue value and color saturation using the original image for comparison. For immune infiltrate quantification, the PPC measured proportions of </w:t>
      </w:r>
      <w:r>
        <w:rPr>
          <w:rFonts w:ascii="Times New Roman" w:eastAsia="Times New Roman" w:hAnsi="Times New Roman" w:cs="Times New Roman"/>
          <w:sz w:val="24"/>
          <w:szCs w:val="24"/>
        </w:rPr>
        <w:t>medium (</w:t>
      </w:r>
      <w:proofErr w:type="spellStart"/>
      <w:r>
        <w:rPr>
          <w:rFonts w:ascii="Times New Roman" w:eastAsia="Times New Roman" w:hAnsi="Times New Roman" w:cs="Times New Roman"/>
          <w:sz w:val="24"/>
          <w:szCs w:val="24"/>
        </w:rPr>
        <w:t>NPositive</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Ntotal</w:t>
      </w:r>
      <w:proofErr w:type="spellEnd"/>
      <w:r>
        <w:rPr>
          <w:rFonts w:ascii="Times New Roman" w:eastAsia="Times New Roman" w:hAnsi="Times New Roman" w:cs="Times New Roman"/>
          <w:sz w:val="24"/>
          <w:szCs w:val="24"/>
        </w:rPr>
        <w:t>) and strong pixel (</w:t>
      </w:r>
      <w:proofErr w:type="spellStart"/>
      <w:r>
        <w:rPr>
          <w:rFonts w:ascii="Times New Roman" w:eastAsia="Times New Roman" w:hAnsi="Times New Roman" w:cs="Times New Roman"/>
          <w:sz w:val="24"/>
          <w:szCs w:val="24"/>
        </w:rPr>
        <w:t>NStrongPositive</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Ntotal</w:t>
      </w:r>
      <w:proofErr w:type="spellEnd"/>
      <w:r>
        <w:rPr>
          <w:rFonts w:ascii="Times New Roman" w:eastAsia="Times New Roman" w:hAnsi="Times New Roman" w:cs="Times New Roman"/>
          <w:sz w:val="24"/>
          <w:szCs w:val="24"/>
        </w:rPr>
        <w:t xml:space="preserve">) staining </w:t>
      </w:r>
      <w:r>
        <w:rPr>
          <w:rFonts w:ascii="Times New Roman" w:eastAsia="Times New Roman" w:hAnsi="Times New Roman" w:cs="Times New Roman"/>
          <w:color w:val="1C1D1E"/>
          <w:sz w:val="24"/>
          <w:szCs w:val="24"/>
        </w:rPr>
        <w:t>expressed in pixels</w:t>
      </w:r>
      <w:r>
        <w:rPr>
          <w:rFonts w:ascii="Times New Roman" w:eastAsia="Times New Roman" w:hAnsi="Times New Roman" w:cs="Times New Roman"/>
          <w:sz w:val="24"/>
          <w:szCs w:val="24"/>
        </w:rPr>
        <w:t xml:space="preserve"> Ratios of tumor to liver positive pixel proportions.  Four representative regions of interest (ROI) in the tumor border and core (no inclusion of the edge of the tumor) were selected for each marker in each tumor. The positive pixel count was divided per ROI to calculate the average percentage cell positivity per 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hotsop</w:t>
      </w:r>
      <w:proofErr w:type="spellEnd"/>
      <w:r>
        <w:rPr>
          <w:rFonts w:ascii="Times New Roman" w:eastAsia="Times New Roman" w:hAnsi="Times New Roman" w:cs="Times New Roman"/>
          <w:sz w:val="24"/>
          <w:szCs w:val="24"/>
        </w:rPr>
        <w:t xml:space="preserve"> area separately for peritumoral and intratumoral regions.  </w:t>
      </w:r>
    </w:p>
    <w:p w14:paraId="4E4081B6" w14:textId="77777777" w:rsidR="00D1704A"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1BBD0846" w14:textId="77777777" w:rsidR="00D1704A"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For fibrosis index quantification, the PPC algorithm was previously tuned. The hue value parameter was chosen to allow quantification of the blue stained areas corresponding to collagen deposition in Masson’s trichome staining (hue value = 0.82). hue width for pixel detection was set to 0.225. The quantification was determined taking the ratio of the fibrosis area to the total sample area, expressed in pixels in Masson’s trichome staining. </w:t>
      </w:r>
    </w:p>
    <w:p w14:paraId="3DF32126" w14:textId="77777777" w:rsidR="00D1704A" w:rsidRDefault="00000000">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 </w:t>
      </w:r>
    </w:p>
    <w:p w14:paraId="334B7FBA" w14:textId="77777777" w:rsidR="00D1704A" w:rsidRDefault="00D1704A">
      <w:pPr>
        <w:spacing w:line="360" w:lineRule="auto"/>
        <w:jc w:val="both"/>
        <w:rPr>
          <w:rFonts w:ascii="Times New Roman" w:eastAsia="Times New Roman" w:hAnsi="Times New Roman" w:cs="Times New Roman"/>
          <w:sz w:val="24"/>
          <w:szCs w:val="24"/>
          <w:highlight w:val="white"/>
        </w:rPr>
      </w:pPr>
    </w:p>
    <w:p w14:paraId="726FE300" w14:textId="77777777" w:rsidR="00D1704A"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Size Calculations</w:t>
      </w:r>
    </w:p>
    <w:p w14:paraId="49646E6F" w14:textId="77777777" w:rsidR="00D1704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CED86D8" w14:textId="77777777" w:rsidR="00D1704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statistical sample size calculation was conducted using </w:t>
      </w:r>
      <w:proofErr w:type="spellStart"/>
      <w:r>
        <w:rPr>
          <w:rFonts w:ascii="Times New Roman" w:eastAsia="Times New Roman" w:hAnsi="Times New Roman" w:cs="Times New Roman"/>
          <w:sz w:val="24"/>
          <w:szCs w:val="24"/>
        </w:rPr>
        <w:t>nQuery</w:t>
      </w:r>
      <w:proofErr w:type="spellEnd"/>
      <w:r>
        <w:rPr>
          <w:rFonts w:ascii="Times New Roman" w:eastAsia="Times New Roman" w:hAnsi="Times New Roman" w:cs="Times New Roman"/>
          <w:sz w:val="24"/>
          <w:szCs w:val="24"/>
        </w:rPr>
        <w:t xml:space="preserve"> (version 2017, Sample Size and Power Calculation, "</w:t>
      </w:r>
      <w:proofErr w:type="spellStart"/>
      <w:r>
        <w:rPr>
          <w:rFonts w:ascii="Times New Roman" w:eastAsia="Times New Roman" w:hAnsi="Times New Roman" w:cs="Times New Roman"/>
          <w:sz w:val="24"/>
          <w:szCs w:val="24"/>
        </w:rPr>
        <w:t>Statsols</w:t>
      </w:r>
      <w:proofErr w:type="spellEnd"/>
      <w:r>
        <w:rPr>
          <w:rFonts w:ascii="Times New Roman" w:eastAsia="Times New Roman" w:hAnsi="Times New Roman" w:cs="Times New Roman"/>
          <w:sz w:val="24"/>
          <w:szCs w:val="24"/>
        </w:rPr>
        <w:t>" by Statistical Solutions Ltd). The analysis determined a sample size of N = 8 per group to be sufficient for detecting significant differences between group means at the second decimal with a high probability (90% power) at a significance level of α = 5%.</w:t>
      </w:r>
    </w:p>
    <w:p w14:paraId="2F5AE33D" w14:textId="77777777" w:rsidR="00D1704A" w:rsidRDefault="00D1704A">
      <w:pPr>
        <w:spacing w:after="160" w:line="360" w:lineRule="auto"/>
        <w:jc w:val="both"/>
        <w:rPr>
          <w:sz w:val="24"/>
          <w:szCs w:val="24"/>
        </w:rPr>
      </w:pPr>
    </w:p>
    <w:p w14:paraId="4CCC5BAC" w14:textId="77777777" w:rsidR="00D1704A" w:rsidRDefault="00000000">
      <w:pPr>
        <w:spacing w:line="360" w:lineRule="auto"/>
        <w:jc w:val="both"/>
        <w:rPr>
          <w:b/>
          <w:sz w:val="28"/>
          <w:szCs w:val="28"/>
          <w:highlight w:val="white"/>
        </w:rPr>
      </w:pPr>
      <w:r>
        <w:rPr>
          <w:b/>
          <w:sz w:val="28"/>
          <w:szCs w:val="28"/>
          <w:highlight w:val="white"/>
        </w:rPr>
        <w:t>Supplementary figures and legends</w:t>
      </w:r>
    </w:p>
    <w:p w14:paraId="56E5BE62" w14:textId="77777777" w:rsidR="00D1704A" w:rsidRDefault="00000000">
      <w:pPr>
        <w:spacing w:after="160" w:line="360" w:lineRule="auto"/>
        <w:jc w:val="both"/>
        <w:rPr>
          <w:sz w:val="24"/>
          <w:szCs w:val="24"/>
        </w:rPr>
      </w:pPr>
      <w:r>
        <w:rPr>
          <w:noProof/>
        </w:rPr>
        <w:drawing>
          <wp:anchor distT="114300" distB="114300" distL="114300" distR="114300" simplePos="0" relativeHeight="251658240" behindDoc="1" locked="0" layoutInCell="1" hidden="0" allowOverlap="1" wp14:anchorId="0C61A720" wp14:editId="19553F4F">
            <wp:simplePos x="0" y="0"/>
            <wp:positionH relativeFrom="column">
              <wp:posOffset>-252412</wp:posOffset>
            </wp:positionH>
            <wp:positionV relativeFrom="paragraph">
              <wp:posOffset>381000</wp:posOffset>
            </wp:positionV>
            <wp:extent cx="6681788" cy="394156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681788" cy="3941560"/>
                    </a:xfrm>
                    <a:prstGeom prst="rect">
                      <a:avLst/>
                    </a:prstGeom>
                    <a:ln/>
                  </pic:spPr>
                </pic:pic>
              </a:graphicData>
            </a:graphic>
          </wp:anchor>
        </w:drawing>
      </w:r>
    </w:p>
    <w:p w14:paraId="46C59AD4" w14:textId="77777777" w:rsidR="00D1704A" w:rsidRDefault="00D1704A">
      <w:pPr>
        <w:spacing w:after="160" w:line="360" w:lineRule="auto"/>
        <w:jc w:val="both"/>
        <w:rPr>
          <w:sz w:val="24"/>
          <w:szCs w:val="24"/>
        </w:rPr>
      </w:pPr>
    </w:p>
    <w:p w14:paraId="25D1A011" w14:textId="77777777" w:rsidR="00D1704A" w:rsidRDefault="00D1704A">
      <w:pPr>
        <w:spacing w:after="160" w:line="360" w:lineRule="auto"/>
        <w:jc w:val="both"/>
        <w:rPr>
          <w:sz w:val="24"/>
          <w:szCs w:val="24"/>
        </w:rPr>
      </w:pPr>
    </w:p>
    <w:p w14:paraId="75F678F9" w14:textId="77777777" w:rsidR="00D1704A" w:rsidRDefault="00D1704A">
      <w:pPr>
        <w:spacing w:after="160" w:line="360" w:lineRule="auto"/>
        <w:jc w:val="both"/>
        <w:rPr>
          <w:sz w:val="24"/>
          <w:szCs w:val="24"/>
        </w:rPr>
      </w:pPr>
    </w:p>
    <w:p w14:paraId="0B8BEFA2" w14:textId="77777777" w:rsidR="00D1704A" w:rsidRDefault="00D1704A">
      <w:pPr>
        <w:spacing w:after="160" w:line="360" w:lineRule="auto"/>
        <w:jc w:val="both"/>
        <w:rPr>
          <w:sz w:val="24"/>
          <w:szCs w:val="24"/>
        </w:rPr>
      </w:pPr>
    </w:p>
    <w:p w14:paraId="1274C10B" w14:textId="77777777" w:rsidR="00D1704A" w:rsidRDefault="00D1704A">
      <w:pPr>
        <w:spacing w:after="160" w:line="360" w:lineRule="auto"/>
        <w:jc w:val="both"/>
        <w:rPr>
          <w:sz w:val="24"/>
          <w:szCs w:val="24"/>
        </w:rPr>
      </w:pPr>
    </w:p>
    <w:p w14:paraId="241E7666" w14:textId="77777777" w:rsidR="00D1704A" w:rsidRDefault="00D1704A">
      <w:pPr>
        <w:spacing w:after="160" w:line="360" w:lineRule="auto"/>
        <w:jc w:val="both"/>
        <w:rPr>
          <w:sz w:val="24"/>
          <w:szCs w:val="24"/>
        </w:rPr>
      </w:pPr>
    </w:p>
    <w:p w14:paraId="3FB0F1C2" w14:textId="77777777" w:rsidR="00D1704A" w:rsidRDefault="00D1704A">
      <w:pPr>
        <w:spacing w:after="160" w:line="360" w:lineRule="auto"/>
        <w:jc w:val="both"/>
        <w:rPr>
          <w:sz w:val="24"/>
          <w:szCs w:val="24"/>
        </w:rPr>
      </w:pPr>
    </w:p>
    <w:p w14:paraId="02377CFE" w14:textId="77777777" w:rsidR="00D1704A" w:rsidRDefault="00D1704A">
      <w:pPr>
        <w:spacing w:after="160" w:line="360" w:lineRule="auto"/>
        <w:jc w:val="both"/>
        <w:rPr>
          <w:sz w:val="24"/>
          <w:szCs w:val="24"/>
        </w:rPr>
      </w:pPr>
    </w:p>
    <w:p w14:paraId="25C2C3C3" w14:textId="77777777" w:rsidR="00D1704A" w:rsidRDefault="00D1704A">
      <w:pPr>
        <w:spacing w:after="160" w:line="360" w:lineRule="auto"/>
        <w:jc w:val="both"/>
        <w:rPr>
          <w:sz w:val="24"/>
          <w:szCs w:val="24"/>
        </w:rPr>
      </w:pPr>
    </w:p>
    <w:p w14:paraId="3BDCDF1E" w14:textId="77777777" w:rsidR="00D1704A" w:rsidRDefault="00D1704A">
      <w:pPr>
        <w:spacing w:after="160" w:line="360" w:lineRule="auto"/>
        <w:jc w:val="both"/>
        <w:rPr>
          <w:sz w:val="24"/>
          <w:szCs w:val="24"/>
        </w:rPr>
      </w:pPr>
    </w:p>
    <w:p w14:paraId="2368531F" w14:textId="77777777" w:rsidR="00D1704A" w:rsidRDefault="00D1704A">
      <w:pPr>
        <w:spacing w:after="160" w:line="360" w:lineRule="auto"/>
        <w:jc w:val="both"/>
        <w:rPr>
          <w:sz w:val="24"/>
          <w:szCs w:val="24"/>
        </w:rPr>
      </w:pPr>
    </w:p>
    <w:p w14:paraId="7449A234" w14:textId="77777777" w:rsidR="00D1704A" w:rsidRDefault="00D1704A">
      <w:pPr>
        <w:spacing w:after="160" w:line="360" w:lineRule="auto"/>
        <w:jc w:val="both"/>
        <w:rPr>
          <w:sz w:val="24"/>
          <w:szCs w:val="24"/>
        </w:rPr>
      </w:pPr>
    </w:p>
    <w:p w14:paraId="47E08BD8" w14:textId="5F0F4146" w:rsidR="00D1704A" w:rsidRDefault="00000000">
      <w:pPr>
        <w:spacing w:after="160" w:line="360" w:lineRule="auto"/>
        <w:jc w:val="both"/>
        <w:rPr>
          <w:sz w:val="24"/>
          <w:szCs w:val="24"/>
        </w:rPr>
      </w:pPr>
      <w:r>
        <w:rPr>
          <w:rFonts w:ascii="Times New Roman" w:eastAsia="Times New Roman" w:hAnsi="Times New Roman" w:cs="Times New Roman"/>
          <w:b/>
          <w:sz w:val="24"/>
          <w:szCs w:val="24"/>
        </w:rPr>
        <w:t xml:space="preserve">Figure </w:t>
      </w:r>
      <w:r w:rsidR="006F72F9">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w:t>
      </w:r>
      <w:r w:rsidRPr="007C221E">
        <w:rPr>
          <w:rFonts w:ascii="Times New Roman" w:eastAsia="Times New Roman" w:hAnsi="Times New Roman" w:cs="Times New Roman"/>
          <w:b/>
          <w:bCs/>
          <w:sz w:val="24"/>
          <w:szCs w:val="24"/>
        </w:rPr>
        <w:t>A representation of automated quantification of fibrosis expressed as the percentage of positive pixels to the total number of pixels using the Leica Aperio Image Scope Positive Pixel Count (PPC) algorithm.</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Image scanned at 20X shows H&amp;E staining of liver parenchyma from CCl4-treated Mdr2-/- mice.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By tuning the algorithm, the hue value parameters were chosen to allow the quantification of the blue/purple-stained areas corresponding to collagen deposition in Masson’s trichome staining (hue value = 0.66). The hue width for pixel detection was set to 0.225.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Representation of PPC analysis where the color detected by the algorithm (orange) corresponded to the collagen deposition (purple) on Masson’s trichome staining. (d) Quantification as the ratio of the fibrosis area to the total sample area, expressed in pixels (27.63 ± 2.348; ****p&lt;0.0001). </w:t>
      </w:r>
      <w:r>
        <w:rPr>
          <w:rFonts w:ascii="Times New Roman" w:eastAsia="Times New Roman" w:hAnsi="Times New Roman" w:cs="Times New Roman"/>
          <w:color w:val="1B1B1B"/>
          <w:sz w:val="24"/>
          <w:szCs w:val="24"/>
        </w:rPr>
        <w:t xml:space="preserve">Bars represent mean ± SD. </w:t>
      </w:r>
      <w:r>
        <w:rPr>
          <w:rFonts w:ascii="Times New Roman" w:eastAsia="Times New Roman" w:hAnsi="Times New Roman" w:cs="Times New Roman"/>
          <w:sz w:val="24"/>
          <w:szCs w:val="24"/>
        </w:rPr>
        <w:t xml:space="preserve"> </w:t>
      </w:r>
      <w:r>
        <w:rPr>
          <w:sz w:val="24"/>
          <w:szCs w:val="24"/>
        </w:rPr>
        <w:t xml:space="preserve"> </w:t>
      </w:r>
    </w:p>
    <w:sectPr w:rsidR="00D1704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04A"/>
    <w:rsid w:val="0001529E"/>
    <w:rsid w:val="00053D5E"/>
    <w:rsid w:val="0013489E"/>
    <w:rsid w:val="001C3025"/>
    <w:rsid w:val="001D1CF8"/>
    <w:rsid w:val="001F2C02"/>
    <w:rsid w:val="003E5261"/>
    <w:rsid w:val="0049580B"/>
    <w:rsid w:val="006F72F9"/>
    <w:rsid w:val="007058CB"/>
    <w:rsid w:val="00795016"/>
    <w:rsid w:val="007C221E"/>
    <w:rsid w:val="00932035"/>
    <w:rsid w:val="009E72CC"/>
    <w:rsid w:val="00A132FC"/>
    <w:rsid w:val="00A268B3"/>
    <w:rsid w:val="00CE2D47"/>
    <w:rsid w:val="00CF2AE2"/>
    <w:rsid w:val="00D1704A"/>
    <w:rsid w:val="00E317B9"/>
    <w:rsid w:val="00E74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A396D"/>
  <w15:docId w15:val="{91F7E6AC-451E-4737-97E0-FA3599A22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1187</Words>
  <Characters>6772</Characters>
  <Application>Microsoft Office Word</Application>
  <DocSecurity>0</DocSecurity>
  <Lines>56</Lines>
  <Paragraphs>15</Paragraphs>
  <ScaleCrop>false</ScaleCrop>
  <Company/>
  <LinksUpToDate>false</LinksUpToDate>
  <CharactersWithSpaces>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Gois Santana, Jessica</cp:lastModifiedBy>
  <cp:revision>10</cp:revision>
  <dcterms:created xsi:type="dcterms:W3CDTF">2025-08-30T02:49:00Z</dcterms:created>
  <dcterms:modified xsi:type="dcterms:W3CDTF">2025-10-16T14:46:00Z</dcterms:modified>
</cp:coreProperties>
</file>