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8D79D1" w:rsidRDefault="008D79D1" w:rsidP="008D79D1">
      <w:pPr>
        <w:spacing w:before="120" w:after="120" w:line="480" w:lineRule="auto"/>
        <w:jc w:val="both"/>
        <w:rPr>
          <w:rFonts w:ascii="Arial" w:hAnsi="Arial" w:cs="Arial"/>
          <w:b/>
          <w:bCs/>
          <w:sz w:val="36"/>
          <w:szCs w:val="36"/>
          <w:lang w:val="en-US"/>
        </w:rPr>
      </w:pPr>
      <w:r>
        <w:rPr>
          <w:rFonts w:ascii="Arial" w:hAnsi="Arial" w:cs="Arial"/>
          <w:b/>
          <w:bCs/>
          <w:sz w:val="36"/>
          <w:szCs w:val="36"/>
          <w:lang w:val="en-US"/>
        </w:rPr>
        <w:t>Supplementary material</w:t>
      </w:r>
    </w:p>
    <w:p w:rsidR="008D79D1" w:rsidRDefault="008D79D1" w:rsidP="008D79D1">
      <w:pPr>
        <w:spacing w:before="120" w:after="120" w:line="480" w:lineRule="auto"/>
        <w:jc w:val="both"/>
        <w:rPr>
          <w:rFonts w:ascii="Arial" w:hAnsi="Arial" w:cs="Arial"/>
          <w:b/>
          <w:bCs/>
          <w:sz w:val="36"/>
          <w:szCs w:val="36"/>
          <w:lang w:val="en-US"/>
        </w:rPr>
      </w:pPr>
    </w:p>
    <w:p w:rsidR="008D79D1" w:rsidRPr="000A5741" w:rsidRDefault="008D79D1" w:rsidP="008D79D1">
      <w:pPr>
        <w:spacing w:before="120" w:after="120" w:line="480" w:lineRule="auto"/>
        <w:jc w:val="both"/>
        <w:rPr>
          <w:rFonts w:ascii="Arial" w:hAnsi="Arial" w:cs="Arial"/>
          <w:b/>
          <w:bCs/>
          <w:sz w:val="36"/>
          <w:szCs w:val="36"/>
          <w:lang w:val="en-US"/>
        </w:rPr>
      </w:pPr>
      <w:r w:rsidRPr="000A5741">
        <w:rPr>
          <w:rFonts w:ascii="Arial" w:hAnsi="Arial" w:cs="Arial"/>
          <w:b/>
          <w:bCs/>
          <w:sz w:val="36"/>
          <w:szCs w:val="36"/>
          <w:lang w:val="en-US"/>
        </w:rPr>
        <w:t>Compartmentalized VEGF Receptor Expression in Hypothalamic Tanycytes Reveals a Novel Non-Endothelial Axis of VEGF Signaling</w:t>
      </w:r>
    </w:p>
    <w:p w:rsidR="008D79D1" w:rsidRPr="000A5741" w:rsidRDefault="008D79D1" w:rsidP="008D79D1">
      <w:pPr>
        <w:spacing w:before="120" w:after="120" w:line="480" w:lineRule="auto"/>
        <w:jc w:val="both"/>
        <w:rPr>
          <w:rFonts w:ascii="Arial" w:hAnsi="Arial" w:cs="Arial"/>
          <w:b/>
          <w:bCs/>
          <w:sz w:val="36"/>
          <w:szCs w:val="36"/>
          <w:lang w:val="en-US"/>
        </w:rPr>
      </w:pPr>
      <w:r w:rsidRPr="000A5741">
        <w:rPr>
          <w:rFonts w:ascii="Arial" w:hAnsi="Arial" w:cs="Arial"/>
          <w:b/>
          <w:bCs/>
          <w:sz w:val="36"/>
          <w:szCs w:val="36"/>
          <w:lang w:val="en-US"/>
        </w:rPr>
        <w:t>(</w:t>
      </w:r>
      <w:r w:rsidRPr="000A5741">
        <w:rPr>
          <w:rFonts w:ascii="Arial" w:hAnsi="Arial" w:cs="Arial"/>
          <w:color w:val="000000"/>
          <w:sz w:val="27"/>
          <w:szCs w:val="27"/>
          <w:lang w:val="en-US"/>
        </w:rPr>
        <w:t>Tanycytes as a Novel Non-Endothelial Target of VEGF Signaling)</w:t>
      </w:r>
    </w:p>
    <w:p w:rsidR="008D79D1" w:rsidRPr="000A5741" w:rsidRDefault="008D79D1" w:rsidP="008D79D1">
      <w:pPr>
        <w:spacing w:before="120" w:after="120" w:line="480" w:lineRule="auto"/>
        <w:jc w:val="both"/>
        <w:rPr>
          <w:rFonts w:ascii="Arial" w:hAnsi="Arial" w:cs="Arial"/>
          <w:sz w:val="20"/>
          <w:szCs w:val="20"/>
          <w:lang w:val="en-US"/>
        </w:rPr>
      </w:pPr>
    </w:p>
    <w:p w:rsidR="008D79D1" w:rsidRDefault="008D79D1" w:rsidP="008D79D1">
      <w:pPr>
        <w:spacing w:before="120" w:after="120" w:line="480" w:lineRule="auto"/>
        <w:jc w:val="both"/>
        <w:rPr>
          <w:rFonts w:ascii="Arial" w:hAnsi="Arial" w:cs="Arial"/>
          <w:sz w:val="20"/>
          <w:szCs w:val="20"/>
          <w:vertAlign w:val="superscript"/>
          <w:lang w:val="en-US"/>
        </w:rPr>
      </w:pPr>
      <w:proofErr w:type="spellStart"/>
      <w:r w:rsidRPr="000A5741">
        <w:rPr>
          <w:rFonts w:ascii="Arial" w:hAnsi="Arial" w:cs="Arial"/>
          <w:sz w:val="20"/>
          <w:szCs w:val="20"/>
          <w:lang w:val="en-US"/>
        </w:rPr>
        <w:t>Ombeline</w:t>
      </w:r>
      <w:proofErr w:type="spellEnd"/>
      <w:r w:rsidRPr="000A5741">
        <w:rPr>
          <w:rFonts w:ascii="Arial" w:hAnsi="Arial" w:cs="Arial"/>
          <w:sz w:val="20"/>
          <w:szCs w:val="20"/>
          <w:lang w:val="en-US"/>
        </w:rPr>
        <w:t xml:space="preserve"> Desruelle</w:t>
      </w:r>
      <w:r w:rsidRPr="000A5741">
        <w:rPr>
          <w:rFonts w:ascii="Arial" w:hAnsi="Arial" w:cs="Arial"/>
          <w:sz w:val="20"/>
          <w:szCs w:val="20"/>
          <w:vertAlign w:val="superscript"/>
          <w:lang w:val="en-US"/>
        </w:rPr>
        <w:t>1</w:t>
      </w:r>
      <w:r w:rsidRPr="000A5741">
        <w:rPr>
          <w:rFonts w:ascii="Arial" w:hAnsi="Arial" w:cs="Arial"/>
          <w:sz w:val="20"/>
          <w:szCs w:val="20"/>
          <w:lang w:val="en-US"/>
        </w:rPr>
        <w:t>, Manon Leclerc</w:t>
      </w:r>
      <w:r w:rsidRPr="000A5741">
        <w:rPr>
          <w:rFonts w:ascii="Arial" w:hAnsi="Arial" w:cs="Arial"/>
          <w:sz w:val="20"/>
          <w:szCs w:val="20"/>
          <w:vertAlign w:val="superscript"/>
          <w:lang w:val="en-US"/>
        </w:rPr>
        <w:t>1</w:t>
      </w:r>
      <w:r w:rsidRPr="000A5741">
        <w:rPr>
          <w:rFonts w:ascii="Arial" w:hAnsi="Arial" w:cs="Arial"/>
          <w:sz w:val="20"/>
          <w:szCs w:val="20"/>
          <w:lang w:val="en-US"/>
        </w:rPr>
        <w:t xml:space="preserve">, </w:t>
      </w:r>
      <w:proofErr w:type="spellStart"/>
      <w:r w:rsidRPr="000A5741">
        <w:rPr>
          <w:rFonts w:ascii="Arial" w:hAnsi="Arial" w:cs="Arial"/>
          <w:sz w:val="20"/>
          <w:szCs w:val="20"/>
          <w:lang w:val="en-US"/>
        </w:rPr>
        <w:t>Sreekala</w:t>
      </w:r>
      <w:proofErr w:type="spellEnd"/>
      <w:r w:rsidRPr="000A5741">
        <w:rPr>
          <w:rFonts w:ascii="Arial" w:hAnsi="Arial" w:cs="Arial"/>
          <w:sz w:val="20"/>
          <w:szCs w:val="20"/>
          <w:lang w:val="en-US"/>
        </w:rPr>
        <w:t xml:space="preserve"> Nampoothiri</w:t>
      </w:r>
      <w:r w:rsidRPr="000A5741">
        <w:rPr>
          <w:rFonts w:ascii="Arial" w:hAnsi="Arial" w:cs="Arial"/>
          <w:sz w:val="20"/>
          <w:szCs w:val="20"/>
          <w:vertAlign w:val="superscript"/>
          <w:lang w:val="en-US"/>
        </w:rPr>
        <w:t>1</w:t>
      </w:r>
      <w:r w:rsidRPr="000A5741">
        <w:rPr>
          <w:rFonts w:ascii="Arial" w:hAnsi="Arial" w:cs="Arial"/>
          <w:sz w:val="20"/>
          <w:szCs w:val="20"/>
          <w:lang w:val="en-US"/>
        </w:rPr>
        <w:t>, Daniela Fernandois</w:t>
      </w:r>
      <w:r w:rsidRPr="000A5741">
        <w:rPr>
          <w:rFonts w:ascii="Arial" w:hAnsi="Arial" w:cs="Arial"/>
          <w:sz w:val="20"/>
          <w:szCs w:val="20"/>
          <w:vertAlign w:val="superscript"/>
          <w:lang w:val="en-US"/>
        </w:rPr>
        <w:t>1</w:t>
      </w:r>
      <w:r w:rsidRPr="000A5741">
        <w:rPr>
          <w:rFonts w:ascii="Arial" w:hAnsi="Arial" w:cs="Arial"/>
          <w:sz w:val="20"/>
          <w:szCs w:val="20"/>
          <w:lang w:val="en-US"/>
        </w:rPr>
        <w:t>, Claude-Alain Maurage</w:t>
      </w:r>
      <w:r w:rsidRPr="000A5741">
        <w:rPr>
          <w:rFonts w:ascii="Arial" w:hAnsi="Arial" w:cs="Arial"/>
          <w:sz w:val="20"/>
          <w:szCs w:val="20"/>
          <w:vertAlign w:val="superscript"/>
          <w:lang w:val="en-US"/>
        </w:rPr>
        <w:t>1</w:t>
      </w:r>
      <w:r w:rsidRPr="000A5741">
        <w:rPr>
          <w:rFonts w:ascii="Arial" w:hAnsi="Arial" w:cs="Arial"/>
          <w:sz w:val="20"/>
          <w:szCs w:val="20"/>
          <w:lang w:val="en-US"/>
        </w:rPr>
        <w:t>, Markus Schwaninger</w:t>
      </w:r>
      <w:r w:rsidRPr="000A5741">
        <w:rPr>
          <w:rFonts w:ascii="Arial" w:hAnsi="Arial" w:cs="Arial"/>
          <w:sz w:val="20"/>
          <w:szCs w:val="20"/>
          <w:vertAlign w:val="superscript"/>
          <w:lang w:val="en-US"/>
        </w:rPr>
        <w:t>2</w:t>
      </w:r>
      <w:r w:rsidRPr="000A5741">
        <w:rPr>
          <w:rFonts w:ascii="Arial" w:hAnsi="Arial" w:cs="Arial"/>
          <w:sz w:val="20"/>
          <w:szCs w:val="20"/>
          <w:lang w:val="en-US"/>
        </w:rPr>
        <w:t xml:space="preserve">, Vincent </w:t>
      </w:r>
      <w:proofErr w:type="spellStart"/>
      <w:r w:rsidRPr="000A5741">
        <w:rPr>
          <w:rFonts w:ascii="Arial" w:hAnsi="Arial" w:cs="Arial"/>
          <w:sz w:val="20"/>
          <w:szCs w:val="20"/>
          <w:lang w:val="en-US"/>
        </w:rPr>
        <w:t>Prevot</w:t>
      </w:r>
      <w:proofErr w:type="spellEnd"/>
      <w:r w:rsidRPr="000A5741">
        <w:rPr>
          <w:rFonts w:ascii="Arial" w:hAnsi="Arial" w:cs="Arial"/>
          <w:sz w:val="20"/>
          <w:szCs w:val="20"/>
          <w:lang w:val="en-US"/>
        </w:rPr>
        <w:t xml:space="preserve"> </w:t>
      </w:r>
      <w:r w:rsidRPr="000A5741">
        <w:rPr>
          <w:rFonts w:ascii="Arial" w:hAnsi="Arial" w:cs="Arial"/>
          <w:sz w:val="20"/>
          <w:szCs w:val="20"/>
          <w:vertAlign w:val="superscript"/>
          <w:lang w:val="en-US"/>
        </w:rPr>
        <w:t xml:space="preserve">1 </w:t>
      </w:r>
      <w:r w:rsidRPr="000A5741">
        <w:rPr>
          <w:rFonts w:ascii="Arial" w:hAnsi="Arial" w:cs="Arial"/>
          <w:sz w:val="20"/>
          <w:szCs w:val="20"/>
          <w:lang w:val="en-US"/>
        </w:rPr>
        <w:t>and Ines Martinez-Corral</w:t>
      </w:r>
      <w:r w:rsidRPr="000A5741">
        <w:rPr>
          <w:rFonts w:ascii="Arial" w:hAnsi="Arial" w:cs="Arial"/>
          <w:sz w:val="20"/>
          <w:szCs w:val="20"/>
          <w:vertAlign w:val="superscript"/>
          <w:lang w:val="en-US"/>
        </w:rPr>
        <w:t>1#</w:t>
      </w:r>
    </w:p>
    <w:p w:rsidR="008D79D1" w:rsidRPr="000A5741" w:rsidRDefault="008D79D1" w:rsidP="008D79D1">
      <w:pPr>
        <w:spacing w:before="120" w:after="120" w:line="480" w:lineRule="auto"/>
        <w:jc w:val="both"/>
        <w:rPr>
          <w:rFonts w:ascii="Arial" w:hAnsi="Arial" w:cs="Arial"/>
          <w:sz w:val="20"/>
          <w:szCs w:val="20"/>
          <w:lang w:val="en-US"/>
        </w:rPr>
      </w:pPr>
    </w:p>
    <w:p w:rsidR="008D79D1" w:rsidRDefault="008D79D1" w:rsidP="008D79D1">
      <w:pPr>
        <w:spacing w:before="120" w:after="120" w:line="480" w:lineRule="auto"/>
        <w:rPr>
          <w:rFonts w:ascii="Arial" w:hAnsi="Arial" w:cs="Arial"/>
          <w:b/>
          <w:bCs/>
          <w:color w:val="0070C0"/>
          <w:sz w:val="20"/>
          <w:szCs w:val="20"/>
          <w:lang w:val="en-US"/>
        </w:rPr>
      </w:pPr>
    </w:p>
    <w:p w:rsidR="00942921" w:rsidRDefault="00942921">
      <w:pPr>
        <w:rPr>
          <w:rFonts w:ascii="Arial" w:hAnsi="Arial" w:cs="Arial"/>
          <w:b/>
          <w:bCs/>
          <w:color w:val="0070C0"/>
          <w:sz w:val="20"/>
          <w:szCs w:val="20"/>
          <w:lang w:val="en-US"/>
        </w:rPr>
      </w:pPr>
      <w:r>
        <w:rPr>
          <w:rFonts w:ascii="Arial" w:hAnsi="Arial" w:cs="Arial"/>
          <w:b/>
          <w:bCs/>
          <w:color w:val="0070C0"/>
          <w:sz w:val="20"/>
          <w:szCs w:val="20"/>
          <w:lang w:val="en-US"/>
        </w:rPr>
        <w:br w:type="page"/>
      </w:r>
    </w:p>
    <w:p w:rsidR="008D79D1" w:rsidRDefault="00942921" w:rsidP="008D79D1">
      <w:pPr>
        <w:spacing w:before="120" w:after="120" w:line="480" w:lineRule="auto"/>
        <w:rPr>
          <w:rFonts w:ascii="Arial" w:hAnsi="Arial" w:cs="Arial"/>
          <w:b/>
          <w:bCs/>
          <w:color w:val="0070C0"/>
          <w:sz w:val="20"/>
          <w:szCs w:val="20"/>
          <w:lang w:val="en-US"/>
        </w:rPr>
      </w:pPr>
      <w:r>
        <w:rPr>
          <w:rFonts w:ascii="Arial" w:hAnsi="Arial" w:cs="Arial"/>
          <w:b/>
          <w:bCs/>
          <w:noProof/>
          <w:color w:val="0070C0"/>
          <w:sz w:val="20"/>
          <w:szCs w:val="20"/>
          <w:lang w:val="en-US"/>
        </w:rPr>
        <w:lastRenderedPageBreak/>
        <w:drawing>
          <wp:anchor distT="0" distB="0" distL="114300" distR="114300" simplePos="0" relativeHeight="251665408" behindDoc="0" locked="0" layoutInCell="1" allowOverlap="1">
            <wp:simplePos x="0" y="0"/>
            <wp:positionH relativeFrom="column">
              <wp:posOffset>-53513</wp:posOffset>
            </wp:positionH>
            <wp:positionV relativeFrom="paragraph">
              <wp:posOffset>594</wp:posOffset>
            </wp:positionV>
            <wp:extent cx="5764530" cy="5753100"/>
            <wp:effectExtent l="0" t="0" r="1270" b="0"/>
            <wp:wrapTopAndBottom/>
            <wp:docPr id="11375492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549236" name="Picture 1137549236"/>
                    <pic:cNvPicPr/>
                  </pic:nvPicPr>
                  <pic:blipFill rotWithShape="1">
                    <a:blip r:embed="rId4">
                      <a:extLst>
                        <a:ext uri="{28A0092B-C50C-407E-A947-70E740481C1C}">
                          <a14:useLocalDpi xmlns:a14="http://schemas.microsoft.com/office/drawing/2010/main" val="0"/>
                        </a:ext>
                      </a:extLst>
                    </a:blip>
                    <a:srcRect t="8301" b="21090"/>
                    <a:stretch/>
                  </pic:blipFill>
                  <pic:spPr bwMode="auto">
                    <a:xfrm>
                      <a:off x="0" y="0"/>
                      <a:ext cx="5764530" cy="5753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D79D1" w:rsidRPr="000A5741" w:rsidRDefault="008D79D1" w:rsidP="00302C3F">
      <w:pPr>
        <w:spacing w:before="120" w:after="120" w:line="480" w:lineRule="auto"/>
        <w:jc w:val="both"/>
        <w:rPr>
          <w:rFonts w:ascii="Arial" w:hAnsi="Arial" w:cs="Arial"/>
          <w:b/>
          <w:bCs/>
          <w:color w:val="0070C0"/>
          <w:sz w:val="20"/>
          <w:szCs w:val="20"/>
          <w:lang w:val="en-US"/>
        </w:rPr>
      </w:pPr>
      <w:r w:rsidRPr="000A5741">
        <w:rPr>
          <w:rFonts w:ascii="Arial" w:hAnsi="Arial" w:cs="Arial"/>
          <w:b/>
          <w:bCs/>
          <w:color w:val="0070C0"/>
          <w:sz w:val="20"/>
          <w:szCs w:val="20"/>
          <w:lang w:val="en-US"/>
        </w:rPr>
        <w:t>Supplementary Figure 1</w:t>
      </w:r>
      <w:r>
        <w:rPr>
          <w:rFonts w:ascii="Arial" w:hAnsi="Arial" w:cs="Arial"/>
          <w:b/>
          <w:bCs/>
          <w:color w:val="0070C0"/>
          <w:sz w:val="20"/>
          <w:szCs w:val="20"/>
          <w:lang w:val="en-US"/>
        </w:rPr>
        <w:t>.</w:t>
      </w:r>
      <w:r w:rsidRPr="000A5741">
        <w:rPr>
          <w:rFonts w:ascii="Arial" w:hAnsi="Arial" w:cs="Arial"/>
          <w:b/>
          <w:bCs/>
          <w:color w:val="0070C0"/>
          <w:sz w:val="20"/>
          <w:szCs w:val="20"/>
          <w:lang w:val="en-US"/>
        </w:rPr>
        <w:t xml:space="preserve"> Single cell RNA sequencing of VEGFR family in the hypothalamus</w:t>
      </w:r>
    </w:p>
    <w:p w:rsidR="008D79D1" w:rsidRDefault="008D79D1" w:rsidP="00302C3F">
      <w:pPr>
        <w:spacing w:before="120" w:after="120" w:line="360" w:lineRule="auto"/>
        <w:jc w:val="both"/>
        <w:rPr>
          <w:rFonts w:ascii="Arial" w:hAnsi="Arial" w:cs="Arial"/>
          <w:color w:val="000000" w:themeColor="text1"/>
          <w:sz w:val="20"/>
          <w:szCs w:val="20"/>
          <w:lang w:val="en-US"/>
        </w:rPr>
      </w:pPr>
      <w:r w:rsidRPr="000A5741">
        <w:rPr>
          <w:rFonts w:ascii="Arial" w:hAnsi="Arial" w:cs="Arial"/>
          <w:b/>
          <w:bCs/>
          <w:color w:val="000000" w:themeColor="text1"/>
          <w:sz w:val="20"/>
          <w:szCs w:val="20"/>
          <w:shd w:val="clear" w:color="auto" w:fill="FFFFFF"/>
          <w:lang w:val="en-US"/>
        </w:rPr>
        <w:t>A</w:t>
      </w:r>
      <w:r w:rsidRPr="000A5741">
        <w:rPr>
          <w:rFonts w:ascii="Arial" w:hAnsi="Arial" w:cs="Arial"/>
          <w:color w:val="000000" w:themeColor="text1"/>
          <w:sz w:val="20"/>
          <w:szCs w:val="20"/>
          <w:shd w:val="clear" w:color="auto" w:fill="FFFFFF"/>
          <w:lang w:val="en-US"/>
        </w:rPr>
        <w:t>)</w:t>
      </w:r>
      <w:r w:rsidRPr="000A5741">
        <w:rPr>
          <w:rFonts w:ascii="Arial" w:hAnsi="Arial" w:cs="Arial"/>
          <w:color w:val="000000" w:themeColor="text1"/>
          <w:lang w:val="en-US"/>
        </w:rPr>
        <w:t xml:space="preserve"> </w:t>
      </w:r>
      <w:r w:rsidRPr="000A5741">
        <w:rPr>
          <w:rFonts w:ascii="Arial" w:hAnsi="Arial" w:cs="Arial"/>
          <w:color w:val="000000" w:themeColor="text1"/>
          <w:sz w:val="20"/>
          <w:szCs w:val="20"/>
          <w:shd w:val="clear" w:color="auto" w:fill="FFFFFF"/>
          <w:lang w:val="en-US"/>
        </w:rPr>
        <w:t xml:space="preserve">Reanalysis of </w:t>
      </w:r>
      <w:proofErr w:type="spellStart"/>
      <w:r w:rsidRPr="000A5741">
        <w:rPr>
          <w:rFonts w:ascii="Arial" w:hAnsi="Arial" w:cs="Arial"/>
          <w:color w:val="000000" w:themeColor="text1"/>
          <w:sz w:val="20"/>
          <w:szCs w:val="20"/>
          <w:lang w:val="en-US"/>
        </w:rPr>
        <w:t>scRNA</w:t>
      </w:r>
      <w:proofErr w:type="spellEnd"/>
      <w:r w:rsidRPr="000A5741">
        <w:rPr>
          <w:rFonts w:ascii="Arial" w:hAnsi="Arial" w:cs="Arial"/>
          <w:color w:val="000000" w:themeColor="text1"/>
          <w:sz w:val="20"/>
          <w:szCs w:val="20"/>
          <w:lang w:val="en-US"/>
        </w:rPr>
        <w:t xml:space="preserve">-seq ME dataset from </w:t>
      </w:r>
      <w:r w:rsidRPr="000A5741">
        <w:rPr>
          <w:rFonts w:ascii="Arial" w:hAnsi="Arial" w:cs="Arial"/>
          <w:color w:val="000000" w:themeColor="text1"/>
          <w:sz w:val="20"/>
          <w:szCs w:val="20"/>
          <w:lang w:val="en-US"/>
        </w:rPr>
        <w:fldChar w:fldCharType="begin"/>
      </w:r>
      <w:r w:rsidRPr="000A5741">
        <w:rPr>
          <w:rFonts w:ascii="Arial" w:hAnsi="Arial" w:cs="Arial"/>
          <w:color w:val="000000" w:themeColor="text1"/>
          <w:sz w:val="20"/>
          <w:szCs w:val="20"/>
          <w:lang w:val="en-US"/>
        </w:rPr>
        <w:instrText xml:space="preserve"> ADDIN ZOTERO_ITEM CSL_CITATION {"citationID":"h9AKuQBp","properties":{"formattedCitation":"\\super 18\\nosupersub{}","plainCitation":"18","noteIndex":0},"citationItems":[{"id":985,"uris":["http://zotero.org/users/4664728/items/NH6WLHZP"],"itemData":{"id":985,"type":"article-journal","abstract":"The hypothalamic arcuate-median eminence complex (Arc-ME) controls energy balance, fertility, and growth through molecularly distinct cell types, many of which remain unknown. To catalog cell types in an unbiased way, we profiled gene expression in 20,921 individual cells in and around the adult mouse Arc-ME using Drop-seq. We identify 50 transcriptionally distinct Arc-ME cell populations, including a rare tanycyte population at the Arc-ME diffusion barrier, a novel leptin-sensing neuronal population, multiple AgRP and POMC subtypes, and an orexigenic somatostatin neuronal population. We extended Drop-seq to detect dynamic expression changes across relevant physiological perturbations, revealing cell type-specific responses to energy status, including distinctly responsive subtypes of AgRP and POMC neurons. Finally, integrating our data with human GWAS data implicates two previously unknown neuronal subtypes in the genetic control of obesity. This resource will accelerate biological discovery by providing insights into molecular and cell type diversity from which function can be inferred.","container-title":"Nature neuroscience","DOI":"10.1038/nn.4495","ISSN":"1097-6256","issue":"3","journalAbbreviation":"Nat Neurosci","note":"PMID: 28166221\nPMCID: PMC5323293","page":"484-496","source":"PubMed Central","title":"A Molecular Census of Arcuate Hypothalamus and Median Eminence Cell Types","volume":"20","author":[{"family":"Campbell","given":"John N."},{"family":"Macosko","given":"Evan Z."},{"family":"Fenselau","given":"Henning"},{"family":"Pers","given":"Tune H."},{"family":"Lyubetskaya","given":"Anna"},{"family":"Tenen","given":"Danielle"},{"family":"Goldman","given":"Melissa"},{"family":"Verstegen","given":"Anne M.J."},{"family":"Resch","given":"Jon M."},{"family":"McCarroll","given":"Steven A."},{"family":"Rosen","given":"Evan D."},{"family":"Lowell","given":"Bradford B."},{"family":"Tsai","given":"Linus"}],"issued":{"date-parts":[["2017",3]]}}}],"schema":"https://github.com/citation-style-language/schema/raw/master/csl-citation.json"} </w:instrText>
      </w:r>
      <w:r w:rsidRPr="000A5741">
        <w:rPr>
          <w:rFonts w:ascii="Arial" w:hAnsi="Arial" w:cs="Arial"/>
          <w:color w:val="000000" w:themeColor="text1"/>
          <w:sz w:val="20"/>
          <w:szCs w:val="20"/>
          <w:lang w:val="en-US"/>
        </w:rPr>
        <w:fldChar w:fldCharType="separate"/>
      </w:r>
      <w:r w:rsidRPr="000A5741">
        <w:rPr>
          <w:rFonts w:ascii="Arial" w:hAnsi="Arial" w:cs="Arial"/>
          <w:color w:val="000000" w:themeColor="text1"/>
          <w:sz w:val="20"/>
          <w:vertAlign w:val="superscript"/>
          <w:lang w:val="en-US"/>
        </w:rPr>
        <w:t>18</w:t>
      </w:r>
      <w:r w:rsidRPr="000A5741">
        <w:rPr>
          <w:rFonts w:ascii="Arial" w:hAnsi="Arial" w:cs="Arial"/>
          <w:color w:val="000000" w:themeColor="text1"/>
          <w:sz w:val="20"/>
          <w:szCs w:val="20"/>
          <w:lang w:val="en-US"/>
        </w:rPr>
        <w:fldChar w:fldCharType="end"/>
      </w:r>
      <w:r w:rsidRPr="000A5741">
        <w:rPr>
          <w:rFonts w:ascii="Arial" w:hAnsi="Arial" w:cs="Arial"/>
          <w:color w:val="000000" w:themeColor="text1"/>
          <w:sz w:val="20"/>
          <w:szCs w:val="20"/>
          <w:lang w:val="en-US"/>
        </w:rPr>
        <w:t xml:space="preserve"> showing UMAP of the different cell clusters. (</w:t>
      </w:r>
      <w:r w:rsidRPr="00302C3F">
        <w:rPr>
          <w:rFonts w:ascii="Arial" w:hAnsi="Arial" w:cs="Arial"/>
          <w:b/>
          <w:bCs/>
          <w:color w:val="000000" w:themeColor="text1"/>
          <w:sz w:val="20"/>
          <w:szCs w:val="20"/>
          <w:lang w:val="en-US"/>
        </w:rPr>
        <w:t>B</w:t>
      </w:r>
      <w:r w:rsidRPr="000A5741">
        <w:rPr>
          <w:rFonts w:ascii="Arial" w:hAnsi="Arial" w:cs="Arial"/>
          <w:color w:val="000000" w:themeColor="text1"/>
          <w:sz w:val="20"/>
          <w:szCs w:val="20"/>
          <w:lang w:val="en-US"/>
        </w:rPr>
        <w:t>) Feature plots showing VEGFRs (</w:t>
      </w:r>
      <w:proofErr w:type="spellStart"/>
      <w:r w:rsidRPr="000A5741">
        <w:rPr>
          <w:rFonts w:ascii="Arial" w:hAnsi="Arial" w:cs="Arial"/>
          <w:i/>
          <w:iCs/>
          <w:color w:val="000000" w:themeColor="text1"/>
          <w:sz w:val="20"/>
          <w:szCs w:val="20"/>
          <w:lang w:val="en-US"/>
        </w:rPr>
        <w:t>Kdr</w:t>
      </w:r>
      <w:proofErr w:type="spellEnd"/>
      <w:r w:rsidRPr="000A5741">
        <w:rPr>
          <w:rFonts w:ascii="Arial" w:hAnsi="Arial" w:cs="Arial"/>
          <w:color w:val="000000" w:themeColor="text1"/>
          <w:sz w:val="20"/>
          <w:szCs w:val="20"/>
          <w:lang w:val="en-US"/>
        </w:rPr>
        <w:t xml:space="preserve">, Flt1 and </w:t>
      </w:r>
      <w:r w:rsidRPr="000A5741">
        <w:rPr>
          <w:rFonts w:ascii="Arial" w:hAnsi="Arial" w:cs="Arial"/>
          <w:i/>
          <w:iCs/>
          <w:color w:val="000000" w:themeColor="text1"/>
          <w:sz w:val="20"/>
          <w:szCs w:val="20"/>
          <w:lang w:val="en-US"/>
        </w:rPr>
        <w:t>Flt4</w:t>
      </w:r>
      <w:r w:rsidRPr="000A5741">
        <w:rPr>
          <w:rFonts w:ascii="Arial" w:hAnsi="Arial" w:cs="Arial"/>
          <w:color w:val="000000" w:themeColor="text1"/>
          <w:sz w:val="20"/>
          <w:szCs w:val="20"/>
          <w:lang w:val="en-US"/>
        </w:rPr>
        <w:t>), ligands (</w:t>
      </w:r>
      <w:proofErr w:type="spellStart"/>
      <w:r w:rsidRPr="000A5741">
        <w:rPr>
          <w:rFonts w:ascii="Arial" w:hAnsi="Arial" w:cs="Arial"/>
          <w:i/>
          <w:iCs/>
          <w:color w:val="000000" w:themeColor="text1"/>
          <w:sz w:val="20"/>
          <w:szCs w:val="20"/>
          <w:lang w:val="en-US"/>
        </w:rPr>
        <w:t>Vegfa</w:t>
      </w:r>
      <w:proofErr w:type="spellEnd"/>
      <w:r w:rsidRPr="000A5741">
        <w:rPr>
          <w:rFonts w:ascii="Arial" w:hAnsi="Arial" w:cs="Arial"/>
          <w:i/>
          <w:iCs/>
          <w:color w:val="000000" w:themeColor="text1"/>
          <w:sz w:val="20"/>
          <w:szCs w:val="20"/>
          <w:lang w:val="en-US"/>
        </w:rPr>
        <w:t xml:space="preserve">, </w:t>
      </w:r>
      <w:proofErr w:type="spellStart"/>
      <w:r w:rsidRPr="000A5741">
        <w:rPr>
          <w:rFonts w:ascii="Arial" w:hAnsi="Arial" w:cs="Arial"/>
          <w:i/>
          <w:iCs/>
          <w:color w:val="000000" w:themeColor="text1"/>
          <w:sz w:val="20"/>
          <w:szCs w:val="20"/>
          <w:lang w:val="en-US"/>
        </w:rPr>
        <w:t>Vegfb</w:t>
      </w:r>
      <w:proofErr w:type="spellEnd"/>
      <w:r w:rsidRPr="000A5741">
        <w:rPr>
          <w:rFonts w:ascii="Arial" w:hAnsi="Arial" w:cs="Arial"/>
          <w:i/>
          <w:iCs/>
          <w:color w:val="000000" w:themeColor="text1"/>
          <w:sz w:val="20"/>
          <w:szCs w:val="20"/>
          <w:lang w:val="en-US"/>
        </w:rPr>
        <w:t xml:space="preserve"> and </w:t>
      </w:r>
      <w:proofErr w:type="spellStart"/>
      <w:r w:rsidRPr="000A5741">
        <w:rPr>
          <w:rFonts w:ascii="Arial" w:hAnsi="Arial" w:cs="Arial"/>
          <w:i/>
          <w:iCs/>
          <w:color w:val="000000" w:themeColor="text1"/>
          <w:sz w:val="20"/>
          <w:szCs w:val="20"/>
          <w:lang w:val="en-US"/>
        </w:rPr>
        <w:t>Vegfc</w:t>
      </w:r>
      <w:proofErr w:type="spellEnd"/>
      <w:r w:rsidRPr="000A5741">
        <w:rPr>
          <w:rFonts w:ascii="Arial" w:hAnsi="Arial" w:cs="Arial"/>
          <w:color w:val="000000" w:themeColor="text1"/>
          <w:sz w:val="20"/>
          <w:szCs w:val="20"/>
          <w:lang w:val="en-US"/>
        </w:rPr>
        <w:t>) and co-receptors (</w:t>
      </w:r>
      <w:r w:rsidRPr="000A5741">
        <w:rPr>
          <w:rFonts w:ascii="Arial" w:hAnsi="Arial" w:cs="Arial"/>
          <w:i/>
          <w:iCs/>
          <w:color w:val="000000" w:themeColor="text1"/>
          <w:sz w:val="20"/>
          <w:szCs w:val="20"/>
          <w:lang w:val="en-US"/>
        </w:rPr>
        <w:t>Nrp1 and Nrp2</w:t>
      </w:r>
      <w:r w:rsidRPr="000A5741">
        <w:rPr>
          <w:rFonts w:ascii="Arial" w:hAnsi="Arial" w:cs="Arial"/>
          <w:color w:val="000000" w:themeColor="text1"/>
          <w:sz w:val="20"/>
          <w:szCs w:val="20"/>
          <w:lang w:val="en-US"/>
        </w:rPr>
        <w:t>) in the identified cell clusters. Red squares indicate the endothelial and tanycytic cluster.</w:t>
      </w:r>
    </w:p>
    <w:p w:rsidR="00302C3F" w:rsidRDefault="00302C3F" w:rsidP="00302C3F">
      <w:pPr>
        <w:spacing w:before="120" w:after="120" w:line="360" w:lineRule="auto"/>
        <w:jc w:val="both"/>
        <w:rPr>
          <w:rFonts w:ascii="Arial" w:hAnsi="Arial" w:cs="Arial"/>
          <w:color w:val="000000" w:themeColor="text1"/>
          <w:sz w:val="20"/>
          <w:szCs w:val="20"/>
          <w:lang w:val="en-US"/>
        </w:rPr>
      </w:pPr>
    </w:p>
    <w:p w:rsidR="00302C3F" w:rsidRDefault="00302C3F" w:rsidP="00302C3F">
      <w:pPr>
        <w:spacing w:before="120" w:after="120" w:line="360" w:lineRule="auto"/>
        <w:jc w:val="both"/>
        <w:rPr>
          <w:rFonts w:ascii="Arial" w:hAnsi="Arial" w:cs="Arial"/>
          <w:color w:val="000000" w:themeColor="text1"/>
          <w:sz w:val="20"/>
          <w:szCs w:val="20"/>
          <w:lang w:val="en-US"/>
        </w:rPr>
      </w:pPr>
    </w:p>
    <w:p w:rsidR="00302C3F" w:rsidRDefault="00302C3F" w:rsidP="00302C3F">
      <w:pPr>
        <w:spacing w:before="120" w:after="120" w:line="360" w:lineRule="auto"/>
        <w:jc w:val="both"/>
        <w:rPr>
          <w:rFonts w:ascii="Arial" w:hAnsi="Arial" w:cs="Arial"/>
          <w:color w:val="000000" w:themeColor="text1"/>
          <w:sz w:val="20"/>
          <w:szCs w:val="20"/>
          <w:lang w:val="en-US"/>
        </w:rPr>
      </w:pPr>
    </w:p>
    <w:p w:rsidR="008D79D1" w:rsidRPr="000A5741" w:rsidRDefault="008D79D1" w:rsidP="008D79D1">
      <w:pPr>
        <w:spacing w:before="120" w:after="120" w:line="480" w:lineRule="auto"/>
        <w:rPr>
          <w:rFonts w:ascii="Arial" w:hAnsi="Arial" w:cs="Arial"/>
          <w:b/>
          <w:bCs/>
          <w:color w:val="0070C0"/>
          <w:sz w:val="20"/>
          <w:szCs w:val="20"/>
          <w:lang w:val="en-US"/>
        </w:rPr>
      </w:pPr>
    </w:p>
    <w:p w:rsidR="00942921" w:rsidRDefault="00942921" w:rsidP="008D79D1">
      <w:pPr>
        <w:spacing w:before="120" w:after="120" w:line="480" w:lineRule="auto"/>
        <w:rPr>
          <w:rFonts w:ascii="Arial" w:hAnsi="Arial" w:cs="Arial"/>
          <w:b/>
          <w:bCs/>
          <w:color w:val="0070C0"/>
          <w:sz w:val="20"/>
          <w:szCs w:val="20"/>
          <w:lang w:val="en-US"/>
        </w:rPr>
      </w:pPr>
    </w:p>
    <w:p w:rsidR="00302C3F" w:rsidRDefault="00302C3F" w:rsidP="00302C3F">
      <w:pPr>
        <w:spacing w:before="120" w:after="120" w:line="276" w:lineRule="auto"/>
        <w:jc w:val="both"/>
        <w:rPr>
          <w:rFonts w:ascii="Arial" w:hAnsi="Arial" w:cs="Arial"/>
          <w:color w:val="1C1D1E"/>
          <w:sz w:val="20"/>
          <w:szCs w:val="20"/>
          <w:shd w:val="clear" w:color="auto" w:fill="FFFFFF"/>
          <w:lang w:val="en-US"/>
        </w:rPr>
      </w:pPr>
      <w:r>
        <w:rPr>
          <w:rFonts w:ascii="Arial" w:hAnsi="Arial" w:cs="Arial"/>
          <w:b/>
          <w:bCs/>
          <w:noProof/>
          <w:color w:val="0070C0"/>
          <w:sz w:val="20"/>
          <w:szCs w:val="20"/>
          <w:lang w:val="en-US"/>
        </w:rPr>
        <w:lastRenderedPageBreak/>
        <w:drawing>
          <wp:anchor distT="0" distB="0" distL="114300" distR="114300" simplePos="0" relativeHeight="251664384" behindDoc="0" locked="0" layoutInCell="1" allowOverlap="1">
            <wp:simplePos x="0" y="0"/>
            <wp:positionH relativeFrom="column">
              <wp:posOffset>-17145</wp:posOffset>
            </wp:positionH>
            <wp:positionV relativeFrom="paragraph">
              <wp:posOffset>2540</wp:posOffset>
            </wp:positionV>
            <wp:extent cx="5943600" cy="5312410"/>
            <wp:effectExtent l="0" t="0" r="0" b="0"/>
            <wp:wrapTopAndBottom/>
            <wp:docPr id="16315923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592399" name="Picture 1631592399"/>
                    <pic:cNvPicPr/>
                  </pic:nvPicPr>
                  <pic:blipFill rotWithShape="1">
                    <a:blip r:embed="rId5">
                      <a:extLst>
                        <a:ext uri="{28A0092B-C50C-407E-A947-70E740481C1C}">
                          <a14:useLocalDpi xmlns:a14="http://schemas.microsoft.com/office/drawing/2010/main" val="0"/>
                        </a:ext>
                      </a:extLst>
                    </a:blip>
                    <a:srcRect t="9820" b="26934"/>
                    <a:stretch/>
                  </pic:blipFill>
                  <pic:spPr bwMode="auto">
                    <a:xfrm>
                      <a:off x="0" y="0"/>
                      <a:ext cx="5943600" cy="53124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79D1" w:rsidRPr="000A5741">
        <w:rPr>
          <w:rFonts w:ascii="Arial" w:hAnsi="Arial" w:cs="Arial"/>
          <w:b/>
          <w:bCs/>
          <w:color w:val="0070C0"/>
          <w:sz w:val="20"/>
          <w:szCs w:val="20"/>
          <w:lang w:val="en-US"/>
        </w:rPr>
        <w:t>Supplementary Figure 2</w:t>
      </w:r>
      <w:r w:rsidR="008D79D1">
        <w:rPr>
          <w:rFonts w:ascii="Arial" w:hAnsi="Arial" w:cs="Arial"/>
          <w:b/>
          <w:bCs/>
          <w:color w:val="0070C0"/>
          <w:sz w:val="20"/>
          <w:szCs w:val="20"/>
          <w:lang w:val="en-US"/>
        </w:rPr>
        <w:t>.</w:t>
      </w:r>
      <w:r w:rsidR="008D79D1" w:rsidRPr="000A5741">
        <w:rPr>
          <w:rFonts w:ascii="Arial" w:hAnsi="Arial" w:cs="Arial"/>
          <w:b/>
          <w:bCs/>
          <w:color w:val="0070C0"/>
          <w:sz w:val="20"/>
          <w:szCs w:val="20"/>
          <w:lang w:val="en-US"/>
        </w:rPr>
        <w:t xml:space="preserve"> VEGFR1, VEGFR2 and VEGFR3 in </w:t>
      </w:r>
      <w:proofErr w:type="gramStart"/>
      <w:r w:rsidR="008D79D1" w:rsidRPr="000A5741">
        <w:rPr>
          <w:rFonts w:ascii="Arial" w:hAnsi="Arial" w:cs="Arial"/>
          <w:b/>
          <w:bCs/>
          <w:color w:val="0070C0"/>
          <w:sz w:val="20"/>
          <w:szCs w:val="20"/>
          <w:lang w:val="en-US"/>
        </w:rPr>
        <w:t>tanycytes</w:t>
      </w:r>
      <w:r w:rsidRPr="000A5741">
        <w:rPr>
          <w:rFonts w:ascii="Arial" w:hAnsi="Arial" w:cs="Arial"/>
          <w:color w:val="1C1D1E"/>
          <w:sz w:val="20"/>
          <w:szCs w:val="20"/>
          <w:shd w:val="clear" w:color="auto" w:fill="FFFFFF"/>
          <w:lang w:val="en-US"/>
        </w:rPr>
        <w:t>(</w:t>
      </w:r>
      <w:proofErr w:type="gramEnd"/>
    </w:p>
    <w:p w:rsidR="00302C3F" w:rsidRDefault="00302C3F" w:rsidP="00302C3F">
      <w:pPr>
        <w:spacing w:before="120" w:after="120" w:line="276" w:lineRule="auto"/>
        <w:jc w:val="both"/>
        <w:rPr>
          <w:rFonts w:ascii="Arial" w:hAnsi="Arial" w:cs="Arial"/>
          <w:b/>
          <w:bCs/>
          <w:color w:val="0070C0"/>
          <w:sz w:val="20"/>
          <w:szCs w:val="20"/>
          <w:lang w:val="en-US"/>
        </w:rPr>
      </w:pPr>
      <w:r w:rsidRPr="000A5741">
        <w:rPr>
          <w:rFonts w:ascii="Arial" w:hAnsi="Arial" w:cs="Arial"/>
          <w:b/>
          <w:bCs/>
          <w:color w:val="1C1D1E"/>
          <w:sz w:val="20"/>
          <w:szCs w:val="20"/>
          <w:shd w:val="clear" w:color="auto" w:fill="FFFFFF"/>
          <w:lang w:val="en-US"/>
        </w:rPr>
        <w:t>A</w:t>
      </w:r>
      <w:r w:rsidRPr="000A5741">
        <w:rPr>
          <w:rFonts w:ascii="Arial" w:hAnsi="Arial" w:cs="Arial"/>
          <w:color w:val="1C1D1E"/>
          <w:sz w:val="20"/>
          <w:szCs w:val="20"/>
          <w:shd w:val="clear" w:color="auto" w:fill="FFFFFF"/>
          <w:lang w:val="en-US"/>
        </w:rPr>
        <w:t xml:space="preserve">) </w:t>
      </w:r>
      <w:r w:rsidRPr="000A5741">
        <w:rPr>
          <w:rFonts w:ascii="Arial" w:hAnsi="Arial" w:cs="Arial"/>
          <w:i/>
          <w:iCs/>
          <w:color w:val="1C1D1E"/>
          <w:sz w:val="20"/>
          <w:szCs w:val="20"/>
          <w:shd w:val="clear" w:color="auto" w:fill="FFFFFF"/>
          <w:lang w:val="en-US"/>
        </w:rPr>
        <w:t>In situ</w:t>
      </w:r>
      <w:r w:rsidRPr="000A5741">
        <w:rPr>
          <w:rFonts w:ascii="Arial" w:hAnsi="Arial" w:cs="Arial"/>
          <w:color w:val="1C1D1E"/>
          <w:sz w:val="20"/>
          <w:szCs w:val="20"/>
          <w:shd w:val="clear" w:color="auto" w:fill="FFFFFF"/>
          <w:lang w:val="en-US"/>
        </w:rPr>
        <w:t xml:space="preserve"> hybridization images for </w:t>
      </w:r>
      <w:r w:rsidRPr="000A5741">
        <w:rPr>
          <w:rFonts w:ascii="Arial" w:hAnsi="Arial" w:cs="Arial"/>
          <w:i/>
          <w:iCs/>
          <w:color w:val="1C1D1E"/>
          <w:sz w:val="20"/>
          <w:szCs w:val="20"/>
          <w:shd w:val="clear" w:color="auto" w:fill="FFFFFF"/>
          <w:lang w:val="en-US"/>
        </w:rPr>
        <w:t>Vegfr1</w:t>
      </w:r>
      <w:r w:rsidRPr="000A5741">
        <w:rPr>
          <w:rFonts w:ascii="Arial" w:hAnsi="Arial" w:cs="Arial"/>
          <w:color w:val="1C1D1E"/>
          <w:sz w:val="20"/>
          <w:szCs w:val="20"/>
          <w:shd w:val="clear" w:color="auto" w:fill="FFFFFF"/>
          <w:lang w:val="en-US"/>
        </w:rPr>
        <w:t xml:space="preserve"> (red) and </w:t>
      </w:r>
      <w:r w:rsidRPr="000A5741">
        <w:rPr>
          <w:rFonts w:ascii="Arial" w:hAnsi="Arial" w:cs="Arial"/>
          <w:i/>
          <w:iCs/>
          <w:color w:val="1C1D1E"/>
          <w:sz w:val="20"/>
          <w:szCs w:val="20"/>
          <w:shd w:val="clear" w:color="auto" w:fill="FFFFFF"/>
          <w:lang w:val="en-US"/>
        </w:rPr>
        <w:t>Vegfr2</w:t>
      </w:r>
      <w:r w:rsidRPr="000A5741">
        <w:rPr>
          <w:rFonts w:ascii="Arial" w:hAnsi="Arial" w:cs="Arial"/>
          <w:color w:val="1C1D1E"/>
          <w:sz w:val="20"/>
          <w:szCs w:val="20"/>
          <w:shd w:val="clear" w:color="auto" w:fill="FFFFFF"/>
          <w:lang w:val="en-US"/>
        </w:rPr>
        <w:t xml:space="preserve"> (green)</w:t>
      </w:r>
      <w:r w:rsidRPr="000A5741">
        <w:rPr>
          <w:rFonts w:ascii="Arial" w:hAnsi="Arial" w:cs="Arial"/>
          <w:sz w:val="20"/>
          <w:szCs w:val="20"/>
          <w:lang w:val="en-US"/>
        </w:rPr>
        <w:t xml:space="preserve"> </w:t>
      </w:r>
      <w:r w:rsidRPr="000A5741">
        <w:rPr>
          <w:rFonts w:ascii="Arial" w:hAnsi="Arial" w:cs="Arial"/>
          <w:color w:val="1C1D1E"/>
          <w:sz w:val="20"/>
          <w:szCs w:val="20"/>
          <w:shd w:val="clear" w:color="auto" w:fill="FFFFFF"/>
          <w:lang w:val="en-US"/>
        </w:rPr>
        <w:t xml:space="preserve">in coronal sections of the hypothalamic </w:t>
      </w:r>
      <w:proofErr w:type="spellStart"/>
      <w:r w:rsidRPr="000A5741">
        <w:rPr>
          <w:rFonts w:ascii="Arial" w:hAnsi="Arial" w:cs="Arial"/>
          <w:color w:val="1C1D1E"/>
          <w:sz w:val="20"/>
          <w:szCs w:val="20"/>
          <w:shd w:val="clear" w:color="auto" w:fill="FFFFFF"/>
          <w:lang w:val="en-US"/>
        </w:rPr>
        <w:t>tuberal</w:t>
      </w:r>
      <w:proofErr w:type="spellEnd"/>
      <w:r w:rsidRPr="000A5741">
        <w:rPr>
          <w:rFonts w:ascii="Arial" w:hAnsi="Arial" w:cs="Arial"/>
          <w:color w:val="1C1D1E"/>
          <w:sz w:val="20"/>
          <w:szCs w:val="20"/>
          <w:shd w:val="clear" w:color="auto" w:fill="FFFFFF"/>
          <w:lang w:val="en-US"/>
        </w:rPr>
        <w:t xml:space="preserve"> region of adult male mice. Vimentin immunoreactivity is shown in white and nuclei counterstaining (DAPI) in blue. Images are low-magnification views of the 3V. Blood vessels are indicated by red asterisks. (</w:t>
      </w:r>
      <w:r w:rsidRPr="000A5741">
        <w:rPr>
          <w:rFonts w:ascii="Arial" w:hAnsi="Arial" w:cs="Arial"/>
          <w:b/>
          <w:bCs/>
          <w:color w:val="1C1D1E"/>
          <w:sz w:val="20"/>
          <w:szCs w:val="20"/>
          <w:shd w:val="clear" w:color="auto" w:fill="FFFFFF"/>
          <w:lang w:val="en-US"/>
        </w:rPr>
        <w:t>B</w:t>
      </w:r>
      <w:r w:rsidRPr="000A5741">
        <w:rPr>
          <w:rFonts w:ascii="Arial" w:hAnsi="Arial" w:cs="Arial"/>
          <w:color w:val="1C1D1E"/>
          <w:sz w:val="20"/>
          <w:szCs w:val="20"/>
          <w:shd w:val="clear" w:color="auto" w:fill="FFFFFF"/>
          <w:lang w:val="en-US"/>
        </w:rPr>
        <w:t xml:space="preserve">) </w:t>
      </w:r>
      <w:r w:rsidRPr="000A5741">
        <w:rPr>
          <w:rFonts w:ascii="Arial" w:hAnsi="Arial" w:cs="Arial"/>
          <w:i/>
          <w:iCs/>
          <w:color w:val="1C1D1E"/>
          <w:sz w:val="20"/>
          <w:szCs w:val="20"/>
          <w:shd w:val="clear" w:color="auto" w:fill="FFFFFF"/>
          <w:lang w:val="en-US"/>
        </w:rPr>
        <w:t>In situ</w:t>
      </w:r>
      <w:r w:rsidRPr="000A5741">
        <w:rPr>
          <w:rFonts w:ascii="Arial" w:hAnsi="Arial" w:cs="Arial"/>
          <w:color w:val="1C1D1E"/>
          <w:sz w:val="20"/>
          <w:szCs w:val="20"/>
          <w:shd w:val="clear" w:color="auto" w:fill="FFFFFF"/>
          <w:lang w:val="en-US"/>
        </w:rPr>
        <w:t xml:space="preserve"> hybridization images for </w:t>
      </w:r>
      <w:proofErr w:type="spellStart"/>
      <w:r w:rsidRPr="000A5741">
        <w:rPr>
          <w:rFonts w:ascii="Arial" w:hAnsi="Arial" w:cs="Arial"/>
          <w:color w:val="1C1D1E"/>
          <w:sz w:val="20"/>
          <w:szCs w:val="20"/>
          <w:shd w:val="clear" w:color="auto" w:fill="FFFFFF"/>
          <w:lang w:val="en-US"/>
        </w:rPr>
        <w:t>Vegfa</w:t>
      </w:r>
      <w:proofErr w:type="spellEnd"/>
      <w:r w:rsidRPr="000A5741">
        <w:rPr>
          <w:rFonts w:ascii="Arial" w:hAnsi="Arial" w:cs="Arial"/>
          <w:color w:val="1C1D1E"/>
          <w:sz w:val="20"/>
          <w:szCs w:val="20"/>
          <w:shd w:val="clear" w:color="auto" w:fill="FFFFFF"/>
          <w:lang w:val="en-US"/>
        </w:rPr>
        <w:t xml:space="preserve"> (green)</w:t>
      </w:r>
      <w:r w:rsidRPr="000A5741">
        <w:rPr>
          <w:rFonts w:ascii="Arial" w:hAnsi="Arial" w:cs="Arial"/>
          <w:sz w:val="20"/>
          <w:szCs w:val="20"/>
          <w:lang w:val="en-US"/>
        </w:rPr>
        <w:t xml:space="preserve"> </w:t>
      </w:r>
      <w:r w:rsidRPr="000A5741">
        <w:rPr>
          <w:rFonts w:ascii="Arial" w:hAnsi="Arial" w:cs="Arial"/>
          <w:color w:val="1C1D1E"/>
          <w:sz w:val="20"/>
          <w:szCs w:val="20"/>
          <w:shd w:val="clear" w:color="auto" w:fill="FFFFFF"/>
          <w:lang w:val="en-US"/>
        </w:rPr>
        <w:t xml:space="preserve">in coronal sections of the choroid plexus (upper panel) and the hypothalamic </w:t>
      </w:r>
      <w:proofErr w:type="spellStart"/>
      <w:r w:rsidRPr="000A5741">
        <w:rPr>
          <w:rFonts w:ascii="Arial" w:hAnsi="Arial" w:cs="Arial"/>
          <w:color w:val="1C1D1E"/>
          <w:sz w:val="20"/>
          <w:szCs w:val="20"/>
          <w:shd w:val="clear" w:color="auto" w:fill="FFFFFF"/>
          <w:lang w:val="en-US"/>
        </w:rPr>
        <w:t>tuberal</w:t>
      </w:r>
      <w:proofErr w:type="spellEnd"/>
      <w:r w:rsidRPr="000A5741">
        <w:rPr>
          <w:rFonts w:ascii="Arial" w:hAnsi="Arial" w:cs="Arial"/>
          <w:color w:val="1C1D1E"/>
          <w:sz w:val="20"/>
          <w:szCs w:val="20"/>
          <w:shd w:val="clear" w:color="auto" w:fill="FFFFFF"/>
          <w:lang w:val="en-US"/>
        </w:rPr>
        <w:t xml:space="preserve"> region of adult male mice (lower panel). Nuclei counterstaining (DAPI) in blue (A) or magenta (B). Images are low-magnification views of the 3 V. (</w:t>
      </w:r>
      <w:r w:rsidRPr="000A5741">
        <w:rPr>
          <w:rFonts w:ascii="Arial" w:hAnsi="Arial" w:cs="Arial"/>
          <w:b/>
          <w:bCs/>
          <w:color w:val="1C1D1E"/>
          <w:sz w:val="20"/>
          <w:szCs w:val="20"/>
          <w:shd w:val="clear" w:color="auto" w:fill="FFFFFF"/>
          <w:lang w:val="en-US"/>
        </w:rPr>
        <w:t>C</w:t>
      </w:r>
      <w:r w:rsidRPr="000A5741">
        <w:rPr>
          <w:rFonts w:ascii="Arial" w:hAnsi="Arial" w:cs="Arial"/>
          <w:color w:val="1C1D1E"/>
          <w:sz w:val="20"/>
          <w:szCs w:val="20"/>
          <w:shd w:val="clear" w:color="auto" w:fill="FFFFFF"/>
          <w:lang w:val="en-US"/>
        </w:rPr>
        <w:t xml:space="preserve">) </w:t>
      </w:r>
      <w:r w:rsidRPr="000A5741">
        <w:rPr>
          <w:rFonts w:ascii="Arial" w:hAnsi="Arial" w:cs="Arial"/>
          <w:i/>
          <w:iCs/>
          <w:color w:val="1C1D1E"/>
          <w:sz w:val="20"/>
          <w:szCs w:val="20"/>
          <w:shd w:val="clear" w:color="auto" w:fill="FFFFFF"/>
          <w:lang w:val="en-US"/>
        </w:rPr>
        <w:t>In situ</w:t>
      </w:r>
      <w:r w:rsidRPr="000A5741">
        <w:rPr>
          <w:rFonts w:ascii="Arial" w:hAnsi="Arial" w:cs="Arial"/>
          <w:color w:val="1C1D1E"/>
          <w:sz w:val="20"/>
          <w:szCs w:val="20"/>
          <w:shd w:val="clear" w:color="auto" w:fill="FFFFFF"/>
          <w:lang w:val="en-US"/>
        </w:rPr>
        <w:t xml:space="preserve"> hybridization images for </w:t>
      </w:r>
      <w:r w:rsidRPr="000A5741">
        <w:rPr>
          <w:rFonts w:ascii="Arial" w:hAnsi="Arial" w:cs="Arial"/>
          <w:i/>
          <w:iCs/>
          <w:color w:val="1C1D1E"/>
          <w:sz w:val="20"/>
          <w:szCs w:val="20"/>
          <w:shd w:val="clear" w:color="auto" w:fill="FFFFFF"/>
          <w:lang w:val="en-US"/>
        </w:rPr>
        <w:t>Vegfr2</w:t>
      </w:r>
      <w:r w:rsidRPr="000A5741">
        <w:rPr>
          <w:rFonts w:ascii="Arial" w:hAnsi="Arial" w:cs="Arial"/>
          <w:color w:val="1C1D1E"/>
          <w:sz w:val="20"/>
          <w:szCs w:val="20"/>
          <w:shd w:val="clear" w:color="auto" w:fill="FFFFFF"/>
          <w:lang w:val="en-US"/>
        </w:rPr>
        <w:t xml:space="preserve"> (green) and </w:t>
      </w:r>
      <w:r w:rsidRPr="000A5741">
        <w:rPr>
          <w:rFonts w:ascii="Arial" w:hAnsi="Arial" w:cs="Arial"/>
          <w:i/>
          <w:iCs/>
          <w:color w:val="1C1D1E"/>
          <w:sz w:val="20"/>
          <w:szCs w:val="20"/>
          <w:shd w:val="clear" w:color="auto" w:fill="FFFFFF"/>
          <w:lang w:val="en-US"/>
        </w:rPr>
        <w:t>Vegfr3 (red)</w:t>
      </w:r>
      <w:r w:rsidRPr="000A5741">
        <w:rPr>
          <w:rFonts w:ascii="Arial" w:hAnsi="Arial" w:cs="Arial"/>
          <w:color w:val="1C1D1E"/>
          <w:sz w:val="20"/>
          <w:szCs w:val="20"/>
          <w:shd w:val="clear" w:color="auto" w:fill="FFFFFF"/>
          <w:lang w:val="en-US"/>
        </w:rPr>
        <w:t xml:space="preserve"> (green). Note that </w:t>
      </w:r>
      <w:r w:rsidRPr="000A5741">
        <w:rPr>
          <w:rFonts w:ascii="Arial" w:hAnsi="Arial" w:cs="Arial"/>
          <w:i/>
          <w:iCs/>
          <w:color w:val="1C1D1E"/>
          <w:sz w:val="20"/>
          <w:szCs w:val="20"/>
          <w:shd w:val="clear" w:color="auto" w:fill="FFFFFF"/>
          <w:lang w:val="en-US"/>
        </w:rPr>
        <w:t>Vegf3</w:t>
      </w:r>
      <w:r w:rsidRPr="000A5741">
        <w:rPr>
          <w:rFonts w:ascii="Arial" w:hAnsi="Arial" w:cs="Arial"/>
          <w:color w:val="1C1D1E"/>
          <w:sz w:val="20"/>
          <w:szCs w:val="20"/>
          <w:shd w:val="clear" w:color="auto" w:fill="FFFFFF"/>
          <w:lang w:val="en-US"/>
        </w:rPr>
        <w:t xml:space="preserve"> is highly expressed at the level of the ME vasculature (white asterisks). (</w:t>
      </w:r>
      <w:r w:rsidRPr="000A5741">
        <w:rPr>
          <w:rFonts w:ascii="Arial" w:hAnsi="Arial" w:cs="Arial"/>
          <w:b/>
          <w:bCs/>
          <w:color w:val="1C1D1E"/>
          <w:sz w:val="20"/>
          <w:szCs w:val="20"/>
          <w:shd w:val="clear" w:color="auto" w:fill="FFFFFF"/>
          <w:lang w:val="en-US"/>
        </w:rPr>
        <w:t>D</w:t>
      </w:r>
      <w:r w:rsidRPr="000A5741">
        <w:rPr>
          <w:rFonts w:ascii="Arial" w:hAnsi="Arial" w:cs="Arial"/>
          <w:color w:val="1C1D1E"/>
          <w:sz w:val="20"/>
          <w:szCs w:val="20"/>
          <w:shd w:val="clear" w:color="auto" w:fill="FFFFFF"/>
          <w:lang w:val="en-US"/>
        </w:rPr>
        <w:t>) Quantification for VEGFR1 and VEGFR2 protein expression in tanycytes compared to blood vessels. Data is represented in percentage of intensity (n=3). Data are represented as mean ± standard error deviation (SEM).</w:t>
      </w:r>
      <w:r w:rsidRPr="000A5741">
        <w:rPr>
          <w:rFonts w:ascii="Arial" w:hAnsi="Arial" w:cs="Arial"/>
          <w:sz w:val="20"/>
          <w:szCs w:val="20"/>
          <w:lang w:val="en-US"/>
        </w:rPr>
        <w:t xml:space="preserve"> </w:t>
      </w:r>
      <w:r w:rsidRPr="000A5741">
        <w:rPr>
          <w:rFonts w:ascii="Arial" w:hAnsi="Arial" w:cs="Arial"/>
          <w:color w:val="1C1D1E"/>
          <w:sz w:val="20"/>
          <w:szCs w:val="20"/>
          <w:shd w:val="clear" w:color="auto" w:fill="FFFFFF"/>
          <w:lang w:val="en-US"/>
        </w:rPr>
        <w:t>Statistical analysis was performed using student t-test. n = 3. * = p &lt; 005. Scale bar = 100 </w:t>
      </w:r>
      <w:proofErr w:type="spellStart"/>
      <w:r w:rsidRPr="000A5741">
        <w:rPr>
          <w:rFonts w:ascii="Arial" w:hAnsi="Arial" w:cs="Arial"/>
          <w:color w:val="1C1D1E"/>
          <w:sz w:val="20"/>
          <w:szCs w:val="20"/>
          <w:shd w:val="clear" w:color="auto" w:fill="FFFFFF"/>
          <w:lang w:val="en-US"/>
        </w:rPr>
        <w:t>μm</w:t>
      </w:r>
      <w:proofErr w:type="spellEnd"/>
      <w:r w:rsidRPr="000A5741">
        <w:rPr>
          <w:rFonts w:ascii="Arial" w:hAnsi="Arial" w:cs="Arial"/>
          <w:color w:val="1C1D1E"/>
          <w:sz w:val="20"/>
          <w:szCs w:val="20"/>
          <w:shd w:val="clear" w:color="auto" w:fill="FFFFFF"/>
          <w:lang w:val="en-US"/>
        </w:rPr>
        <w:t xml:space="preserve"> in all panels. ARH, arcuate nucleus of the hypothalamus; ME, median eminence; VMH, ventromedial nucleus of the hypothalamus; DMH, dorsomedial nucleus of the hypothalamus; 3V, third ventricle.</w:t>
      </w:r>
    </w:p>
    <w:p w:rsidR="008D79D1" w:rsidRPr="000A5741" w:rsidRDefault="00302C3F" w:rsidP="00302C3F">
      <w:pPr>
        <w:spacing w:before="120" w:after="120" w:line="360" w:lineRule="auto"/>
        <w:jc w:val="both"/>
        <w:rPr>
          <w:rFonts w:ascii="Arial" w:hAnsi="Arial" w:cs="Arial"/>
          <w:b/>
          <w:bCs/>
          <w:color w:val="0070C0"/>
          <w:sz w:val="20"/>
          <w:szCs w:val="20"/>
          <w:lang w:val="en-US"/>
        </w:rPr>
      </w:pPr>
      <w:r>
        <w:rPr>
          <w:rFonts w:ascii="Arial" w:hAnsi="Arial" w:cs="Arial"/>
          <w:b/>
          <w:bCs/>
          <w:noProof/>
          <w:color w:val="0070C0"/>
          <w:sz w:val="20"/>
          <w:szCs w:val="20"/>
          <w:lang w:val="en-US"/>
        </w:rPr>
        <w:lastRenderedPageBreak/>
        <w:drawing>
          <wp:anchor distT="0" distB="0" distL="114300" distR="114300" simplePos="0" relativeHeight="251663360" behindDoc="0" locked="0" layoutInCell="1" allowOverlap="1">
            <wp:simplePos x="0" y="0"/>
            <wp:positionH relativeFrom="column">
              <wp:posOffset>-52168</wp:posOffset>
            </wp:positionH>
            <wp:positionV relativeFrom="paragraph">
              <wp:posOffset>0</wp:posOffset>
            </wp:positionV>
            <wp:extent cx="5337810" cy="6288405"/>
            <wp:effectExtent l="0" t="0" r="0" b="0"/>
            <wp:wrapTopAndBottom/>
            <wp:docPr id="339597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9779" name="Picture 33959779"/>
                    <pic:cNvPicPr/>
                  </pic:nvPicPr>
                  <pic:blipFill rotWithShape="1">
                    <a:blip r:embed="rId6">
                      <a:extLst>
                        <a:ext uri="{28A0092B-C50C-407E-A947-70E740481C1C}">
                          <a14:useLocalDpi xmlns:a14="http://schemas.microsoft.com/office/drawing/2010/main" val="0"/>
                        </a:ext>
                      </a:extLst>
                    </a:blip>
                    <a:srcRect t="9703" b="6944"/>
                    <a:stretch/>
                  </pic:blipFill>
                  <pic:spPr bwMode="auto">
                    <a:xfrm>
                      <a:off x="0" y="0"/>
                      <a:ext cx="5337810" cy="6288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D79D1" w:rsidRPr="000A5741" w:rsidRDefault="008D79D1" w:rsidP="008D79D1">
      <w:pPr>
        <w:spacing w:before="120" w:after="120" w:line="480" w:lineRule="auto"/>
        <w:rPr>
          <w:rFonts w:ascii="Arial" w:hAnsi="Arial" w:cs="Arial"/>
          <w:b/>
          <w:bCs/>
          <w:color w:val="0070C0"/>
          <w:sz w:val="20"/>
          <w:szCs w:val="20"/>
          <w:lang w:val="en-US"/>
        </w:rPr>
      </w:pPr>
      <w:r w:rsidRPr="000A5741">
        <w:rPr>
          <w:rFonts w:ascii="Arial" w:hAnsi="Arial" w:cs="Arial"/>
          <w:b/>
          <w:bCs/>
          <w:color w:val="0070C0"/>
          <w:sz w:val="20"/>
          <w:szCs w:val="20"/>
          <w:lang w:val="en-US"/>
        </w:rPr>
        <w:t>Supplementary Figure 3</w:t>
      </w:r>
      <w:r>
        <w:rPr>
          <w:rFonts w:ascii="Arial" w:hAnsi="Arial" w:cs="Arial"/>
          <w:b/>
          <w:bCs/>
          <w:color w:val="0070C0"/>
          <w:sz w:val="20"/>
          <w:szCs w:val="20"/>
          <w:lang w:val="en-US"/>
        </w:rPr>
        <w:t>.</w:t>
      </w:r>
      <w:r w:rsidRPr="000A5741">
        <w:rPr>
          <w:rFonts w:ascii="Arial" w:hAnsi="Arial" w:cs="Arial"/>
          <w:b/>
          <w:bCs/>
          <w:color w:val="0070C0"/>
          <w:sz w:val="20"/>
          <w:szCs w:val="20"/>
          <w:lang w:val="en-US"/>
        </w:rPr>
        <w:t xml:space="preserve"> Rostro-caudal analysis of </w:t>
      </w:r>
      <w:r w:rsidRPr="000A5741">
        <w:rPr>
          <w:rFonts w:ascii="Arial" w:hAnsi="Arial" w:cs="Arial"/>
          <w:b/>
          <w:bCs/>
          <w:i/>
          <w:iCs/>
          <w:color w:val="0070C0"/>
          <w:sz w:val="20"/>
          <w:szCs w:val="20"/>
          <w:lang w:val="en-US"/>
        </w:rPr>
        <w:t>Vegfr1</w:t>
      </w:r>
      <w:r w:rsidRPr="000A5741">
        <w:rPr>
          <w:rFonts w:ascii="Arial" w:hAnsi="Arial" w:cs="Arial"/>
          <w:b/>
          <w:bCs/>
          <w:color w:val="0070C0"/>
          <w:sz w:val="20"/>
          <w:szCs w:val="20"/>
          <w:lang w:val="en-US"/>
        </w:rPr>
        <w:t xml:space="preserve"> and </w:t>
      </w:r>
      <w:proofErr w:type="spellStart"/>
      <w:r w:rsidRPr="000A5741">
        <w:rPr>
          <w:rFonts w:ascii="Arial" w:hAnsi="Arial" w:cs="Arial"/>
          <w:b/>
          <w:bCs/>
          <w:i/>
          <w:iCs/>
          <w:color w:val="0070C0"/>
          <w:sz w:val="20"/>
          <w:szCs w:val="20"/>
          <w:lang w:val="en-US"/>
        </w:rPr>
        <w:t>Vegfa</w:t>
      </w:r>
      <w:proofErr w:type="spellEnd"/>
      <w:r w:rsidRPr="000A5741">
        <w:rPr>
          <w:rFonts w:ascii="Arial" w:hAnsi="Arial" w:cs="Arial"/>
          <w:b/>
          <w:bCs/>
          <w:color w:val="0070C0"/>
          <w:sz w:val="20"/>
          <w:szCs w:val="20"/>
          <w:lang w:val="en-US"/>
        </w:rPr>
        <w:t xml:space="preserve"> expression in adult males</w:t>
      </w:r>
    </w:p>
    <w:p w:rsidR="008D79D1" w:rsidRPr="00942921" w:rsidRDefault="008D79D1" w:rsidP="00302C3F">
      <w:pPr>
        <w:spacing w:before="120" w:after="120" w:line="276" w:lineRule="auto"/>
        <w:jc w:val="both"/>
        <w:rPr>
          <w:rFonts w:ascii="Arial" w:hAnsi="Arial" w:cs="Arial"/>
          <w:color w:val="1C1D1E"/>
          <w:sz w:val="20"/>
          <w:szCs w:val="20"/>
          <w:shd w:val="clear" w:color="auto" w:fill="FFFFFF"/>
          <w:lang w:val="en-US"/>
        </w:rPr>
      </w:pPr>
      <w:r w:rsidRPr="000A5741">
        <w:rPr>
          <w:rFonts w:ascii="Arial" w:hAnsi="Arial" w:cs="Arial"/>
          <w:i/>
          <w:iCs/>
          <w:color w:val="1C1D1E"/>
          <w:sz w:val="20"/>
          <w:szCs w:val="20"/>
          <w:shd w:val="clear" w:color="auto" w:fill="FFFFFF"/>
          <w:lang w:val="en-US"/>
        </w:rPr>
        <w:t>In situ</w:t>
      </w:r>
      <w:r w:rsidRPr="000A5741">
        <w:rPr>
          <w:rFonts w:ascii="Arial" w:hAnsi="Arial" w:cs="Arial"/>
          <w:color w:val="1C1D1E"/>
          <w:sz w:val="20"/>
          <w:szCs w:val="20"/>
          <w:shd w:val="clear" w:color="auto" w:fill="FFFFFF"/>
          <w:lang w:val="en-US"/>
        </w:rPr>
        <w:t xml:space="preserve"> hybridization images for </w:t>
      </w:r>
      <w:r w:rsidRPr="000A5741">
        <w:rPr>
          <w:rFonts w:ascii="Arial" w:hAnsi="Arial" w:cs="Arial"/>
          <w:i/>
          <w:iCs/>
          <w:color w:val="1C1D1E"/>
          <w:sz w:val="20"/>
          <w:szCs w:val="20"/>
          <w:shd w:val="clear" w:color="auto" w:fill="FFFFFF"/>
          <w:lang w:val="en-US"/>
        </w:rPr>
        <w:t>Vegfr1</w:t>
      </w:r>
      <w:r w:rsidRPr="000A5741">
        <w:rPr>
          <w:rFonts w:ascii="Arial" w:hAnsi="Arial" w:cs="Arial"/>
          <w:color w:val="1C1D1E"/>
          <w:sz w:val="20"/>
          <w:szCs w:val="20"/>
          <w:shd w:val="clear" w:color="auto" w:fill="FFFFFF"/>
          <w:lang w:val="en-US"/>
        </w:rPr>
        <w:t> (red) and </w:t>
      </w:r>
      <w:proofErr w:type="spellStart"/>
      <w:r w:rsidRPr="000A5741">
        <w:rPr>
          <w:rFonts w:ascii="Arial" w:hAnsi="Arial" w:cs="Arial"/>
          <w:i/>
          <w:iCs/>
          <w:color w:val="1C1D1E"/>
          <w:sz w:val="20"/>
          <w:szCs w:val="20"/>
          <w:shd w:val="clear" w:color="auto" w:fill="FFFFFF"/>
          <w:lang w:val="en-US"/>
        </w:rPr>
        <w:t>Vegfa</w:t>
      </w:r>
      <w:proofErr w:type="spellEnd"/>
      <w:r w:rsidRPr="000A5741">
        <w:rPr>
          <w:rFonts w:ascii="Arial" w:hAnsi="Arial" w:cs="Arial"/>
          <w:color w:val="1C1D1E"/>
          <w:sz w:val="20"/>
          <w:szCs w:val="20"/>
          <w:shd w:val="clear" w:color="auto" w:fill="FFFFFF"/>
          <w:lang w:val="en-US"/>
        </w:rPr>
        <w:t xml:space="preserve"> (green) in coronal sections of the hypothalamic </w:t>
      </w:r>
      <w:proofErr w:type="spellStart"/>
      <w:r w:rsidRPr="000A5741">
        <w:rPr>
          <w:rFonts w:ascii="Arial" w:hAnsi="Arial" w:cs="Arial"/>
          <w:color w:val="1C1D1E"/>
          <w:sz w:val="20"/>
          <w:szCs w:val="20"/>
          <w:shd w:val="clear" w:color="auto" w:fill="FFFFFF"/>
          <w:lang w:val="en-US"/>
        </w:rPr>
        <w:t>tuberal</w:t>
      </w:r>
      <w:proofErr w:type="spellEnd"/>
      <w:r w:rsidRPr="000A5741">
        <w:rPr>
          <w:rFonts w:ascii="Arial" w:hAnsi="Arial" w:cs="Arial"/>
          <w:color w:val="1C1D1E"/>
          <w:sz w:val="20"/>
          <w:szCs w:val="20"/>
          <w:shd w:val="clear" w:color="auto" w:fill="FFFFFF"/>
          <w:lang w:val="en-US"/>
        </w:rPr>
        <w:t xml:space="preserve"> region from adult male mice at different rostro-caudal levels (from bregma −1.34 mm to −2.54 mm). Low-magnification images show the third ventricle (3V) region. Corresponding anatomical reference images from the Allen Brain Atlas are shown on the left for orientation. Nuclei are counterstained with DAPI (blue). White arrows indicate </w:t>
      </w:r>
      <w:r w:rsidRPr="000A5741">
        <w:rPr>
          <w:rFonts w:ascii="Arial" w:hAnsi="Arial" w:cs="Arial"/>
          <w:i/>
          <w:iCs/>
          <w:color w:val="1C1D1E"/>
          <w:sz w:val="20"/>
          <w:szCs w:val="20"/>
          <w:shd w:val="clear" w:color="auto" w:fill="FFFFFF"/>
          <w:lang w:val="en-US"/>
        </w:rPr>
        <w:t>Vegfr1</w:t>
      </w:r>
      <w:r w:rsidRPr="000A5741">
        <w:rPr>
          <w:rFonts w:ascii="Arial" w:hAnsi="Arial" w:cs="Arial"/>
          <w:color w:val="1C1D1E"/>
          <w:sz w:val="20"/>
          <w:szCs w:val="20"/>
          <w:shd w:val="clear" w:color="auto" w:fill="FFFFFF"/>
          <w:lang w:val="en-US"/>
        </w:rPr>
        <w:t> expression in VMH/DMH tanycytes. Red arrows denote </w:t>
      </w:r>
      <w:proofErr w:type="spellStart"/>
      <w:r w:rsidRPr="000A5741">
        <w:rPr>
          <w:rFonts w:ascii="Arial" w:hAnsi="Arial" w:cs="Arial"/>
          <w:i/>
          <w:iCs/>
          <w:color w:val="1C1D1E"/>
          <w:sz w:val="20"/>
          <w:szCs w:val="20"/>
          <w:shd w:val="clear" w:color="auto" w:fill="FFFFFF"/>
          <w:lang w:val="en-US"/>
        </w:rPr>
        <w:t>Vegfa</w:t>
      </w:r>
      <w:proofErr w:type="spellEnd"/>
      <w:r w:rsidRPr="000A5741">
        <w:rPr>
          <w:rFonts w:ascii="Arial" w:hAnsi="Arial" w:cs="Arial"/>
          <w:color w:val="1C1D1E"/>
          <w:sz w:val="20"/>
          <w:szCs w:val="20"/>
          <w:shd w:val="clear" w:color="auto" w:fill="FFFFFF"/>
          <w:lang w:val="en-US"/>
        </w:rPr>
        <w:t> expression in ME tanycytes. Orange arrows highlight overlapping domains of </w:t>
      </w:r>
      <w:r w:rsidRPr="000A5741">
        <w:rPr>
          <w:rFonts w:ascii="Arial" w:hAnsi="Arial" w:cs="Arial"/>
          <w:i/>
          <w:iCs/>
          <w:color w:val="1C1D1E"/>
          <w:sz w:val="20"/>
          <w:szCs w:val="20"/>
          <w:shd w:val="clear" w:color="auto" w:fill="FFFFFF"/>
          <w:lang w:val="en-US"/>
        </w:rPr>
        <w:t>Vegfr1</w:t>
      </w:r>
      <w:r w:rsidRPr="000A5741">
        <w:rPr>
          <w:rFonts w:ascii="Arial" w:hAnsi="Arial" w:cs="Arial"/>
          <w:color w:val="1C1D1E"/>
          <w:sz w:val="20"/>
          <w:szCs w:val="20"/>
          <w:shd w:val="clear" w:color="auto" w:fill="FFFFFF"/>
          <w:lang w:val="en-US"/>
        </w:rPr>
        <w:t> and </w:t>
      </w:r>
      <w:proofErr w:type="spellStart"/>
      <w:r w:rsidRPr="000A5741">
        <w:rPr>
          <w:rFonts w:ascii="Arial" w:hAnsi="Arial" w:cs="Arial"/>
          <w:i/>
          <w:iCs/>
          <w:color w:val="1C1D1E"/>
          <w:sz w:val="20"/>
          <w:szCs w:val="20"/>
          <w:shd w:val="clear" w:color="auto" w:fill="FFFFFF"/>
          <w:lang w:val="en-US"/>
        </w:rPr>
        <w:t>Vegfa</w:t>
      </w:r>
      <w:proofErr w:type="spellEnd"/>
      <w:r w:rsidRPr="000A5741">
        <w:rPr>
          <w:rFonts w:ascii="Arial" w:hAnsi="Arial" w:cs="Arial"/>
          <w:color w:val="1C1D1E"/>
          <w:sz w:val="20"/>
          <w:szCs w:val="20"/>
          <w:shd w:val="clear" w:color="auto" w:fill="FFFFFF"/>
          <w:lang w:val="en-US"/>
        </w:rPr>
        <w:t xml:space="preserve"> expression, observed only at the most anterior and posterior levels of the ME. Asterisks indicate blood vessels at the level of the ME, with high expression of </w:t>
      </w:r>
      <w:r w:rsidRPr="000A5741">
        <w:rPr>
          <w:rFonts w:ascii="Arial" w:hAnsi="Arial" w:cs="Arial"/>
          <w:i/>
          <w:iCs/>
          <w:color w:val="1C1D1E"/>
          <w:sz w:val="20"/>
          <w:szCs w:val="20"/>
          <w:shd w:val="clear" w:color="auto" w:fill="FFFFFF"/>
          <w:lang w:val="en-US"/>
        </w:rPr>
        <w:t>vegfr1</w:t>
      </w:r>
      <w:r w:rsidRPr="000A5741">
        <w:rPr>
          <w:rFonts w:ascii="Arial" w:hAnsi="Arial" w:cs="Arial"/>
          <w:color w:val="1C1D1E"/>
          <w:sz w:val="20"/>
          <w:szCs w:val="20"/>
          <w:shd w:val="clear" w:color="auto" w:fill="FFFFFF"/>
          <w:lang w:val="en-US"/>
        </w:rPr>
        <w:t>. Scale bar = 100 </w:t>
      </w:r>
      <w:proofErr w:type="spellStart"/>
      <w:r w:rsidRPr="000A5741">
        <w:rPr>
          <w:rFonts w:ascii="Arial" w:hAnsi="Arial" w:cs="Arial"/>
          <w:color w:val="1C1D1E"/>
          <w:sz w:val="20"/>
          <w:szCs w:val="20"/>
          <w:shd w:val="clear" w:color="auto" w:fill="FFFFFF"/>
          <w:lang w:val="en-US"/>
        </w:rPr>
        <w:t>μm</w:t>
      </w:r>
      <w:proofErr w:type="spellEnd"/>
      <w:r w:rsidRPr="000A5741">
        <w:rPr>
          <w:rFonts w:ascii="Arial" w:hAnsi="Arial" w:cs="Arial"/>
          <w:color w:val="1C1D1E"/>
          <w:sz w:val="20"/>
          <w:szCs w:val="20"/>
          <w:shd w:val="clear" w:color="auto" w:fill="FFFFFF"/>
          <w:lang w:val="en-US"/>
        </w:rPr>
        <w:t xml:space="preserve"> in all panels. ARH, arcuate nucleus of the hypothalamus; ME, median eminence; VMH, ventromedial hypothalamic nucleus; DMH, dorsomedial hypothalamic nucleus; 3V, third ventricle.</w:t>
      </w:r>
    </w:p>
    <w:p w:rsidR="00942921" w:rsidRDefault="00942921" w:rsidP="008D79D1">
      <w:pPr>
        <w:spacing w:before="120" w:after="120" w:line="480" w:lineRule="auto"/>
        <w:rPr>
          <w:rFonts w:ascii="Arial" w:hAnsi="Arial" w:cs="Arial"/>
          <w:b/>
          <w:bCs/>
          <w:color w:val="0070C0"/>
          <w:sz w:val="20"/>
          <w:szCs w:val="20"/>
          <w:lang w:val="en-US"/>
        </w:rPr>
      </w:pPr>
    </w:p>
    <w:p w:rsidR="00302C3F" w:rsidRDefault="00302C3F" w:rsidP="00302C3F">
      <w:pPr>
        <w:spacing w:before="120" w:after="120" w:line="480" w:lineRule="auto"/>
        <w:rPr>
          <w:rFonts w:ascii="Arial" w:hAnsi="Arial" w:cs="Arial"/>
          <w:b/>
          <w:bCs/>
          <w:color w:val="0070C0"/>
          <w:sz w:val="20"/>
          <w:szCs w:val="20"/>
          <w:lang w:val="en-US"/>
        </w:rPr>
      </w:pPr>
      <w:r>
        <w:rPr>
          <w:rFonts w:ascii="Arial" w:hAnsi="Arial" w:cs="Arial"/>
          <w:b/>
          <w:bCs/>
          <w:noProof/>
          <w:color w:val="0070C0"/>
          <w:sz w:val="20"/>
          <w:szCs w:val="20"/>
          <w:lang w:val="en-US"/>
        </w:rPr>
        <w:lastRenderedPageBreak/>
        <w:drawing>
          <wp:anchor distT="0" distB="0" distL="114300" distR="114300" simplePos="0" relativeHeight="251662336" behindDoc="0" locked="0" layoutInCell="1" allowOverlap="1">
            <wp:simplePos x="0" y="0"/>
            <wp:positionH relativeFrom="column">
              <wp:posOffset>0</wp:posOffset>
            </wp:positionH>
            <wp:positionV relativeFrom="paragraph">
              <wp:posOffset>293</wp:posOffset>
            </wp:positionV>
            <wp:extent cx="5560060" cy="6633210"/>
            <wp:effectExtent l="0" t="0" r="2540" b="0"/>
            <wp:wrapTopAndBottom/>
            <wp:docPr id="15733096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309650" name="Picture 1573309650"/>
                    <pic:cNvPicPr/>
                  </pic:nvPicPr>
                  <pic:blipFill rotWithShape="1">
                    <a:blip r:embed="rId7">
                      <a:extLst>
                        <a:ext uri="{28A0092B-C50C-407E-A947-70E740481C1C}">
                          <a14:useLocalDpi xmlns:a14="http://schemas.microsoft.com/office/drawing/2010/main" val="0"/>
                        </a:ext>
                      </a:extLst>
                    </a:blip>
                    <a:srcRect t="8533" b="7061"/>
                    <a:stretch/>
                  </pic:blipFill>
                  <pic:spPr bwMode="auto">
                    <a:xfrm>
                      <a:off x="0" y="0"/>
                      <a:ext cx="5560060" cy="6633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02C3F" w:rsidRDefault="008D79D1" w:rsidP="00302C3F">
      <w:pPr>
        <w:spacing w:before="120" w:after="120" w:line="480" w:lineRule="auto"/>
        <w:rPr>
          <w:rFonts w:ascii="Arial" w:hAnsi="Arial" w:cs="Arial"/>
          <w:b/>
          <w:bCs/>
          <w:color w:val="0070C0"/>
          <w:sz w:val="20"/>
          <w:szCs w:val="20"/>
          <w:lang w:val="en-US"/>
        </w:rPr>
      </w:pPr>
      <w:r w:rsidRPr="000A5741">
        <w:rPr>
          <w:rFonts w:ascii="Arial" w:hAnsi="Arial" w:cs="Arial"/>
          <w:b/>
          <w:bCs/>
          <w:color w:val="0070C0"/>
          <w:sz w:val="20"/>
          <w:szCs w:val="20"/>
          <w:lang w:val="en-US"/>
        </w:rPr>
        <w:t>Supplementary Figure 4</w:t>
      </w:r>
      <w:r>
        <w:rPr>
          <w:rFonts w:ascii="Arial" w:hAnsi="Arial" w:cs="Arial"/>
          <w:b/>
          <w:bCs/>
          <w:color w:val="0070C0"/>
          <w:sz w:val="20"/>
          <w:szCs w:val="20"/>
          <w:lang w:val="en-US"/>
        </w:rPr>
        <w:t>.</w:t>
      </w:r>
      <w:r w:rsidRPr="000A5741">
        <w:rPr>
          <w:rFonts w:ascii="Arial" w:hAnsi="Arial" w:cs="Arial"/>
          <w:b/>
          <w:bCs/>
          <w:color w:val="0070C0"/>
          <w:sz w:val="20"/>
          <w:szCs w:val="20"/>
          <w:lang w:val="en-US"/>
        </w:rPr>
        <w:t xml:space="preserve"> Rostro-caudal analysis of </w:t>
      </w:r>
      <w:r w:rsidRPr="000A5741">
        <w:rPr>
          <w:rFonts w:ascii="Arial" w:hAnsi="Arial" w:cs="Arial"/>
          <w:b/>
          <w:bCs/>
          <w:i/>
          <w:iCs/>
          <w:color w:val="0070C0"/>
          <w:sz w:val="20"/>
          <w:szCs w:val="20"/>
          <w:lang w:val="en-US"/>
        </w:rPr>
        <w:t>Vegfr2</w:t>
      </w:r>
      <w:r w:rsidRPr="000A5741">
        <w:rPr>
          <w:rFonts w:ascii="Arial" w:hAnsi="Arial" w:cs="Arial"/>
          <w:b/>
          <w:bCs/>
          <w:color w:val="0070C0"/>
          <w:sz w:val="20"/>
          <w:szCs w:val="20"/>
          <w:lang w:val="en-US"/>
        </w:rPr>
        <w:t xml:space="preserve"> expression in adult males</w:t>
      </w:r>
    </w:p>
    <w:p w:rsidR="00302C3F" w:rsidRPr="00302C3F" w:rsidRDefault="00302C3F" w:rsidP="00302C3F">
      <w:pPr>
        <w:spacing w:before="120" w:after="120" w:line="276" w:lineRule="auto"/>
        <w:rPr>
          <w:rFonts w:ascii="Arial" w:hAnsi="Arial" w:cs="Arial"/>
          <w:b/>
          <w:bCs/>
          <w:color w:val="0070C0"/>
          <w:sz w:val="20"/>
          <w:szCs w:val="20"/>
          <w:lang w:val="en-US"/>
        </w:rPr>
      </w:pPr>
      <w:r>
        <w:rPr>
          <w:rFonts w:ascii="Arial" w:hAnsi="Arial" w:cs="Arial"/>
          <w:i/>
          <w:iCs/>
          <w:color w:val="000000" w:themeColor="text1"/>
          <w:sz w:val="20"/>
          <w:szCs w:val="20"/>
          <w:lang w:val="en-US"/>
        </w:rPr>
        <w:t>I</w:t>
      </w:r>
      <w:r w:rsidRPr="000A5741">
        <w:rPr>
          <w:rFonts w:ascii="Arial" w:hAnsi="Arial" w:cs="Arial"/>
          <w:i/>
          <w:iCs/>
          <w:color w:val="000000" w:themeColor="text1"/>
          <w:sz w:val="20"/>
          <w:szCs w:val="20"/>
          <w:lang w:val="en-US"/>
        </w:rPr>
        <w:t>n situ</w:t>
      </w:r>
      <w:r w:rsidRPr="000A5741">
        <w:rPr>
          <w:rFonts w:ascii="Arial" w:hAnsi="Arial" w:cs="Arial"/>
          <w:color w:val="000000" w:themeColor="text1"/>
          <w:sz w:val="20"/>
          <w:szCs w:val="20"/>
          <w:lang w:val="en-US"/>
        </w:rPr>
        <w:t xml:space="preserve"> hybridization images for </w:t>
      </w:r>
      <w:r w:rsidRPr="000A5741">
        <w:rPr>
          <w:rFonts w:ascii="Arial" w:hAnsi="Arial" w:cs="Arial"/>
          <w:i/>
          <w:iCs/>
          <w:color w:val="000000" w:themeColor="text1"/>
          <w:sz w:val="20"/>
          <w:szCs w:val="20"/>
          <w:lang w:val="en-US"/>
        </w:rPr>
        <w:t>Vegfr2</w:t>
      </w:r>
      <w:r w:rsidRPr="000A5741">
        <w:rPr>
          <w:rFonts w:ascii="Arial" w:hAnsi="Arial" w:cs="Arial"/>
          <w:color w:val="000000" w:themeColor="text1"/>
          <w:sz w:val="20"/>
          <w:szCs w:val="20"/>
          <w:lang w:val="en-US"/>
        </w:rPr>
        <w:t xml:space="preserve"> (red) combined with immunofluorescence against vimentin (green), a marker of tanycytes, in coronal sections of the hypothalamic </w:t>
      </w:r>
      <w:proofErr w:type="spellStart"/>
      <w:r w:rsidRPr="000A5741">
        <w:rPr>
          <w:rFonts w:ascii="Arial" w:hAnsi="Arial" w:cs="Arial"/>
          <w:color w:val="000000" w:themeColor="text1"/>
          <w:sz w:val="20"/>
          <w:szCs w:val="20"/>
          <w:lang w:val="en-US"/>
        </w:rPr>
        <w:t>tuberal</w:t>
      </w:r>
      <w:proofErr w:type="spellEnd"/>
      <w:r w:rsidRPr="000A5741">
        <w:rPr>
          <w:rFonts w:ascii="Arial" w:hAnsi="Arial" w:cs="Arial"/>
          <w:color w:val="000000" w:themeColor="text1"/>
          <w:sz w:val="20"/>
          <w:szCs w:val="20"/>
          <w:lang w:val="en-US"/>
        </w:rPr>
        <w:t xml:space="preserve"> region from adult male mice. Sections span rostro-caudal levels of the ME from bregma −1.34 mm to −2.54 mm. Anatomical reference images from the Allen Brain Atlas are shown on the left for orientation. Nuclei are counterstained with DAPI (blue). White arrows indicate </w:t>
      </w:r>
      <w:r w:rsidRPr="000A5741">
        <w:rPr>
          <w:rFonts w:ascii="Arial" w:hAnsi="Arial" w:cs="Arial"/>
          <w:i/>
          <w:iCs/>
          <w:color w:val="000000" w:themeColor="text1"/>
          <w:sz w:val="20"/>
          <w:szCs w:val="20"/>
          <w:lang w:val="en-US"/>
        </w:rPr>
        <w:t>Vegfr2</w:t>
      </w:r>
      <w:r w:rsidRPr="000A5741">
        <w:rPr>
          <w:rFonts w:ascii="Arial" w:hAnsi="Arial" w:cs="Arial"/>
          <w:color w:val="000000" w:themeColor="text1"/>
          <w:sz w:val="20"/>
          <w:szCs w:val="20"/>
          <w:lang w:val="en-US"/>
        </w:rPr>
        <w:t xml:space="preserve"> expression in vimentin-positive (vimentin</w:t>
      </w:r>
      <w:r w:rsidRPr="000A5741">
        <w:rPr>
          <w:rFonts w:ascii="Cambria Math" w:hAnsi="Cambria Math" w:cs="Cambria Math"/>
          <w:color w:val="000000" w:themeColor="text1"/>
          <w:sz w:val="20"/>
          <w:szCs w:val="20"/>
          <w:lang w:val="en-US"/>
        </w:rPr>
        <w:t>⁺</w:t>
      </w:r>
      <w:r w:rsidRPr="000A5741">
        <w:rPr>
          <w:rFonts w:ascii="Arial" w:hAnsi="Arial" w:cs="Arial"/>
          <w:color w:val="000000" w:themeColor="text1"/>
          <w:sz w:val="20"/>
          <w:szCs w:val="20"/>
          <w:lang w:val="en-US"/>
        </w:rPr>
        <w:t xml:space="preserve">) ARH-tanycytes located along the third ventricle. Orange arrows highlight </w:t>
      </w:r>
      <w:r w:rsidRPr="000A5741">
        <w:rPr>
          <w:rFonts w:ascii="Arial" w:hAnsi="Arial" w:cs="Arial"/>
          <w:i/>
          <w:iCs/>
          <w:color w:val="000000" w:themeColor="text1"/>
          <w:sz w:val="20"/>
          <w:szCs w:val="20"/>
          <w:lang w:val="en-US"/>
        </w:rPr>
        <w:t>Vegfr2</w:t>
      </w:r>
      <w:r w:rsidRPr="000A5741">
        <w:rPr>
          <w:rFonts w:ascii="Arial" w:hAnsi="Arial" w:cs="Arial"/>
          <w:color w:val="000000" w:themeColor="text1"/>
          <w:sz w:val="20"/>
          <w:szCs w:val="20"/>
          <w:lang w:val="en-US"/>
        </w:rPr>
        <w:t xml:space="preserve"> expression in tanycytes located in the anterior and posterior zones of the ME. Asterisks denote strong </w:t>
      </w:r>
      <w:r w:rsidRPr="000A5741">
        <w:rPr>
          <w:rFonts w:ascii="Arial" w:hAnsi="Arial" w:cs="Arial"/>
          <w:i/>
          <w:iCs/>
          <w:color w:val="000000" w:themeColor="text1"/>
          <w:sz w:val="20"/>
          <w:szCs w:val="20"/>
          <w:lang w:val="en-US"/>
        </w:rPr>
        <w:t>Vegfr2</w:t>
      </w:r>
      <w:r w:rsidRPr="000A5741">
        <w:rPr>
          <w:rFonts w:ascii="Arial" w:hAnsi="Arial" w:cs="Arial"/>
          <w:color w:val="000000" w:themeColor="text1"/>
          <w:sz w:val="20"/>
          <w:szCs w:val="20"/>
          <w:lang w:val="en-US"/>
        </w:rPr>
        <w:t xml:space="preserve"> signal in fenestrated blood vessels within the ME. Scale bar = 100 </w:t>
      </w:r>
      <w:proofErr w:type="spellStart"/>
      <w:r w:rsidRPr="000A5741">
        <w:rPr>
          <w:rFonts w:ascii="Arial" w:hAnsi="Arial" w:cs="Arial"/>
          <w:color w:val="000000" w:themeColor="text1"/>
          <w:sz w:val="20"/>
          <w:szCs w:val="20"/>
          <w:lang w:val="en-US"/>
        </w:rPr>
        <w:t>μm</w:t>
      </w:r>
      <w:proofErr w:type="spellEnd"/>
      <w:r w:rsidRPr="000A5741">
        <w:rPr>
          <w:rFonts w:ascii="Arial" w:hAnsi="Arial" w:cs="Arial"/>
          <w:color w:val="000000" w:themeColor="text1"/>
          <w:sz w:val="20"/>
          <w:szCs w:val="20"/>
          <w:lang w:val="en-US"/>
        </w:rPr>
        <w:t xml:space="preserve"> in all panels. ARH, arcuate nucleus of the hypothalamus; ME, median eminence; VMH, ventromedial hypothalamic nucleus; DMH, dorsomedial hypothalamic nucleus; 3V, third ventricle.</w:t>
      </w:r>
    </w:p>
    <w:p w:rsidR="00302C3F" w:rsidRDefault="00302C3F" w:rsidP="00302C3F">
      <w:pPr>
        <w:spacing w:before="120" w:after="120" w:line="480" w:lineRule="auto"/>
        <w:rPr>
          <w:rFonts w:ascii="Arial" w:hAnsi="Arial" w:cs="Arial"/>
          <w:b/>
          <w:bCs/>
          <w:color w:val="0070C0"/>
          <w:sz w:val="20"/>
          <w:szCs w:val="20"/>
          <w:lang w:val="en-US"/>
        </w:rPr>
      </w:pPr>
      <w:r>
        <w:rPr>
          <w:rFonts w:ascii="Arial" w:hAnsi="Arial" w:cs="Arial"/>
          <w:b/>
          <w:bCs/>
          <w:noProof/>
          <w:color w:val="0070C0"/>
          <w:sz w:val="20"/>
          <w:szCs w:val="20"/>
          <w:lang w:val="en-US"/>
        </w:rPr>
        <w:lastRenderedPageBreak/>
        <w:drawing>
          <wp:anchor distT="0" distB="0" distL="114300" distR="114300" simplePos="0" relativeHeight="251661312" behindDoc="0" locked="0" layoutInCell="1" allowOverlap="1">
            <wp:simplePos x="0" y="0"/>
            <wp:positionH relativeFrom="column">
              <wp:posOffset>176334</wp:posOffset>
            </wp:positionH>
            <wp:positionV relativeFrom="paragraph">
              <wp:posOffset>231140</wp:posOffset>
            </wp:positionV>
            <wp:extent cx="4975860" cy="5420360"/>
            <wp:effectExtent l="0" t="0" r="2540" b="2540"/>
            <wp:wrapTopAndBottom/>
            <wp:docPr id="15926332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633255" name="Picture 1592633255"/>
                    <pic:cNvPicPr/>
                  </pic:nvPicPr>
                  <pic:blipFill rotWithShape="1">
                    <a:blip r:embed="rId8">
                      <a:extLst>
                        <a:ext uri="{28A0092B-C50C-407E-A947-70E740481C1C}">
                          <a14:useLocalDpi xmlns:a14="http://schemas.microsoft.com/office/drawing/2010/main" val="0"/>
                        </a:ext>
                      </a:extLst>
                    </a:blip>
                    <a:srcRect l="12227" t="9586" r="23001" b="40495"/>
                    <a:stretch/>
                  </pic:blipFill>
                  <pic:spPr bwMode="auto">
                    <a:xfrm>
                      <a:off x="0" y="0"/>
                      <a:ext cx="4975860" cy="5420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D79D1" w:rsidRPr="000A5741" w:rsidRDefault="008D79D1" w:rsidP="008D79D1">
      <w:pPr>
        <w:spacing w:before="120" w:after="120" w:line="480" w:lineRule="auto"/>
        <w:jc w:val="both"/>
        <w:rPr>
          <w:rFonts w:ascii="Arial" w:hAnsi="Arial" w:cs="Arial"/>
          <w:b/>
          <w:bCs/>
          <w:color w:val="0070C0"/>
          <w:sz w:val="20"/>
          <w:szCs w:val="20"/>
          <w:lang w:val="en-US"/>
        </w:rPr>
      </w:pPr>
    </w:p>
    <w:p w:rsidR="008D79D1" w:rsidRPr="000A5741" w:rsidRDefault="008D79D1" w:rsidP="00302C3F">
      <w:pPr>
        <w:spacing w:before="120" w:after="120" w:line="480" w:lineRule="auto"/>
        <w:jc w:val="both"/>
        <w:rPr>
          <w:rFonts w:ascii="Arial" w:hAnsi="Arial" w:cs="Arial"/>
          <w:b/>
          <w:bCs/>
          <w:color w:val="0070C0"/>
          <w:sz w:val="20"/>
          <w:szCs w:val="20"/>
          <w:lang w:val="en-US"/>
        </w:rPr>
      </w:pPr>
      <w:r w:rsidRPr="000A5741">
        <w:rPr>
          <w:rFonts w:ascii="Arial" w:hAnsi="Arial" w:cs="Arial"/>
          <w:b/>
          <w:bCs/>
          <w:color w:val="0070C0"/>
          <w:sz w:val="20"/>
          <w:szCs w:val="20"/>
          <w:lang w:val="en-US"/>
        </w:rPr>
        <w:t>Supplementary Figure 5</w:t>
      </w:r>
      <w:r>
        <w:rPr>
          <w:rFonts w:ascii="Arial" w:hAnsi="Arial" w:cs="Arial"/>
          <w:b/>
          <w:bCs/>
          <w:color w:val="0070C0"/>
          <w:sz w:val="20"/>
          <w:szCs w:val="20"/>
          <w:lang w:val="en-US"/>
        </w:rPr>
        <w:t>.</w:t>
      </w:r>
      <w:r w:rsidRPr="000A5741">
        <w:rPr>
          <w:rFonts w:ascii="Arial" w:hAnsi="Arial" w:cs="Arial"/>
          <w:b/>
          <w:bCs/>
          <w:color w:val="0070C0"/>
          <w:sz w:val="20"/>
          <w:szCs w:val="20"/>
          <w:lang w:val="en-US"/>
        </w:rPr>
        <w:t xml:space="preserve"> </w:t>
      </w:r>
      <w:r w:rsidRPr="000A5741">
        <w:rPr>
          <w:rFonts w:ascii="Arial" w:hAnsi="Arial" w:cs="Arial"/>
          <w:b/>
          <w:bCs/>
          <w:i/>
          <w:iCs/>
          <w:color w:val="0070C0"/>
          <w:sz w:val="20"/>
          <w:szCs w:val="20"/>
          <w:lang w:val="en-US"/>
        </w:rPr>
        <w:t>Vegfr1, Vegfr2</w:t>
      </w:r>
      <w:r w:rsidRPr="000A5741">
        <w:rPr>
          <w:rFonts w:ascii="Arial" w:hAnsi="Arial" w:cs="Arial"/>
          <w:b/>
          <w:bCs/>
          <w:color w:val="0070C0"/>
          <w:sz w:val="20"/>
          <w:szCs w:val="20"/>
          <w:lang w:val="en-US"/>
        </w:rPr>
        <w:t xml:space="preserve"> and </w:t>
      </w:r>
      <w:proofErr w:type="spellStart"/>
      <w:r w:rsidRPr="000A5741">
        <w:rPr>
          <w:rFonts w:ascii="Arial" w:hAnsi="Arial" w:cs="Arial"/>
          <w:b/>
          <w:bCs/>
          <w:i/>
          <w:iCs/>
          <w:color w:val="0070C0"/>
          <w:sz w:val="20"/>
          <w:szCs w:val="20"/>
          <w:lang w:val="en-US"/>
        </w:rPr>
        <w:t>Vegfa</w:t>
      </w:r>
      <w:proofErr w:type="spellEnd"/>
      <w:r w:rsidRPr="000A5741">
        <w:rPr>
          <w:rFonts w:ascii="Arial" w:hAnsi="Arial" w:cs="Arial"/>
          <w:b/>
          <w:bCs/>
          <w:color w:val="0070C0"/>
          <w:sz w:val="20"/>
          <w:szCs w:val="20"/>
          <w:lang w:val="en-US"/>
        </w:rPr>
        <w:t xml:space="preserve"> in females</w:t>
      </w:r>
    </w:p>
    <w:p w:rsidR="008D79D1" w:rsidRDefault="008D79D1" w:rsidP="00302C3F">
      <w:pPr>
        <w:spacing w:before="120" w:after="120" w:line="276" w:lineRule="auto"/>
        <w:jc w:val="both"/>
        <w:rPr>
          <w:rFonts w:ascii="Arial" w:hAnsi="Arial" w:cs="Arial"/>
          <w:color w:val="1C1D1E"/>
          <w:sz w:val="20"/>
          <w:szCs w:val="20"/>
          <w:shd w:val="clear" w:color="auto" w:fill="FFFFFF"/>
          <w:lang w:val="en-US"/>
        </w:rPr>
      </w:pPr>
      <w:r w:rsidRPr="000A5741">
        <w:rPr>
          <w:rFonts w:ascii="Arial" w:hAnsi="Arial" w:cs="Arial"/>
          <w:i/>
          <w:iCs/>
          <w:color w:val="1C1D1E"/>
          <w:sz w:val="20"/>
          <w:szCs w:val="20"/>
          <w:shd w:val="clear" w:color="auto" w:fill="FFFFFF"/>
          <w:lang w:val="en-US"/>
        </w:rPr>
        <w:t>In situ</w:t>
      </w:r>
      <w:r w:rsidRPr="000A5741">
        <w:rPr>
          <w:rFonts w:ascii="Arial" w:hAnsi="Arial" w:cs="Arial"/>
          <w:color w:val="1C1D1E"/>
          <w:sz w:val="20"/>
          <w:szCs w:val="20"/>
          <w:shd w:val="clear" w:color="auto" w:fill="FFFFFF"/>
          <w:lang w:val="en-US"/>
        </w:rPr>
        <w:t xml:space="preserve"> hybridization (RNAscope) images for </w:t>
      </w:r>
      <w:r w:rsidRPr="000A5741">
        <w:rPr>
          <w:rFonts w:ascii="Arial" w:hAnsi="Arial" w:cs="Arial"/>
          <w:i/>
          <w:iCs/>
          <w:color w:val="1C1D1E"/>
          <w:sz w:val="20"/>
          <w:szCs w:val="20"/>
          <w:shd w:val="clear" w:color="auto" w:fill="FFFFFF"/>
          <w:lang w:val="en-US"/>
        </w:rPr>
        <w:t>Vegfr1</w:t>
      </w:r>
      <w:r w:rsidRPr="000A5741">
        <w:rPr>
          <w:rFonts w:ascii="Arial" w:hAnsi="Arial" w:cs="Arial"/>
          <w:color w:val="1C1D1E"/>
          <w:sz w:val="20"/>
          <w:szCs w:val="20"/>
          <w:shd w:val="clear" w:color="auto" w:fill="FFFFFF"/>
          <w:lang w:val="en-US"/>
        </w:rPr>
        <w:t xml:space="preserve"> (red), </w:t>
      </w:r>
      <w:r w:rsidRPr="000A5741">
        <w:rPr>
          <w:rFonts w:ascii="Arial" w:hAnsi="Arial" w:cs="Arial"/>
          <w:i/>
          <w:iCs/>
          <w:color w:val="1C1D1E"/>
          <w:sz w:val="20"/>
          <w:szCs w:val="20"/>
          <w:shd w:val="clear" w:color="auto" w:fill="FFFFFF"/>
          <w:lang w:val="en-US"/>
        </w:rPr>
        <w:t>Vegfr2</w:t>
      </w:r>
      <w:r w:rsidRPr="000A5741">
        <w:rPr>
          <w:rFonts w:ascii="Arial" w:hAnsi="Arial" w:cs="Arial"/>
          <w:color w:val="1C1D1E"/>
          <w:sz w:val="20"/>
          <w:szCs w:val="20"/>
          <w:shd w:val="clear" w:color="auto" w:fill="FFFFFF"/>
          <w:lang w:val="en-US"/>
        </w:rPr>
        <w:t xml:space="preserve"> (green) and </w:t>
      </w:r>
      <w:proofErr w:type="spellStart"/>
      <w:r w:rsidRPr="000A5741">
        <w:rPr>
          <w:rFonts w:ascii="Arial" w:hAnsi="Arial" w:cs="Arial"/>
          <w:i/>
          <w:iCs/>
          <w:color w:val="1C1D1E"/>
          <w:sz w:val="20"/>
          <w:szCs w:val="20"/>
          <w:shd w:val="clear" w:color="auto" w:fill="FFFFFF"/>
          <w:lang w:val="en-US"/>
        </w:rPr>
        <w:t>Vegfa</w:t>
      </w:r>
      <w:proofErr w:type="spellEnd"/>
      <w:r w:rsidRPr="000A5741">
        <w:rPr>
          <w:rFonts w:ascii="Arial" w:hAnsi="Arial" w:cs="Arial"/>
          <w:color w:val="1C1D1E"/>
          <w:sz w:val="20"/>
          <w:szCs w:val="20"/>
          <w:shd w:val="clear" w:color="auto" w:fill="FFFFFF"/>
          <w:lang w:val="en-US"/>
        </w:rPr>
        <w:t xml:space="preserve"> (green) in coronal sections of the hypothalamic </w:t>
      </w:r>
      <w:proofErr w:type="spellStart"/>
      <w:r w:rsidRPr="000A5741">
        <w:rPr>
          <w:rFonts w:ascii="Arial" w:hAnsi="Arial" w:cs="Arial"/>
          <w:color w:val="1C1D1E"/>
          <w:sz w:val="20"/>
          <w:szCs w:val="20"/>
          <w:shd w:val="clear" w:color="auto" w:fill="FFFFFF"/>
          <w:lang w:val="en-US"/>
        </w:rPr>
        <w:t>tuberal</w:t>
      </w:r>
      <w:proofErr w:type="spellEnd"/>
      <w:r w:rsidRPr="000A5741">
        <w:rPr>
          <w:rFonts w:ascii="Arial" w:hAnsi="Arial" w:cs="Arial"/>
          <w:color w:val="1C1D1E"/>
          <w:sz w:val="20"/>
          <w:szCs w:val="20"/>
          <w:shd w:val="clear" w:color="auto" w:fill="FFFFFF"/>
          <w:lang w:val="en-US"/>
        </w:rPr>
        <w:t xml:space="preserve"> region of adult female mice at different days of the estrus cycle. </w:t>
      </w:r>
      <w:r w:rsidRPr="000A5741">
        <w:rPr>
          <w:rFonts w:ascii="Arial" w:hAnsi="Arial" w:cs="Arial"/>
          <w:b/>
          <w:bCs/>
          <w:color w:val="1C1D1E"/>
          <w:sz w:val="20"/>
          <w:szCs w:val="20"/>
          <w:shd w:val="clear" w:color="auto" w:fill="FFFFFF"/>
          <w:lang w:val="en-US"/>
        </w:rPr>
        <w:t>Upper panel</w:t>
      </w:r>
      <w:r w:rsidRPr="000A5741">
        <w:rPr>
          <w:rFonts w:ascii="Arial" w:hAnsi="Arial" w:cs="Arial"/>
          <w:color w:val="1C1D1E"/>
          <w:sz w:val="20"/>
          <w:szCs w:val="20"/>
          <w:shd w:val="clear" w:color="auto" w:fill="FFFFFF"/>
          <w:lang w:val="en-US"/>
        </w:rPr>
        <w:t xml:space="preserve">: Low-magnification image of the 3V of females in Estrus. </w:t>
      </w:r>
      <w:r w:rsidRPr="000A5741">
        <w:rPr>
          <w:rFonts w:ascii="Arial" w:hAnsi="Arial" w:cs="Arial"/>
          <w:b/>
          <w:bCs/>
          <w:color w:val="1C1D1E"/>
          <w:sz w:val="20"/>
          <w:szCs w:val="20"/>
          <w:shd w:val="clear" w:color="auto" w:fill="FFFFFF"/>
          <w:lang w:val="en-US"/>
        </w:rPr>
        <w:t>Lower panels</w:t>
      </w:r>
      <w:r w:rsidRPr="000A5741">
        <w:rPr>
          <w:rFonts w:ascii="Arial" w:hAnsi="Arial" w:cs="Arial"/>
          <w:color w:val="1C1D1E"/>
          <w:sz w:val="20"/>
          <w:szCs w:val="20"/>
          <w:shd w:val="clear" w:color="auto" w:fill="FFFFFF"/>
          <w:lang w:val="en-US"/>
        </w:rPr>
        <w:t xml:space="preserve">: Low-magnification image of the 3V of females in proestrus. Individual channels are shown in grey for </w:t>
      </w:r>
      <w:r w:rsidRPr="000A5741">
        <w:rPr>
          <w:rFonts w:ascii="Arial" w:hAnsi="Arial" w:cs="Arial"/>
          <w:i/>
          <w:iCs/>
          <w:color w:val="1C1D1E"/>
          <w:sz w:val="20"/>
          <w:szCs w:val="20"/>
          <w:shd w:val="clear" w:color="auto" w:fill="FFFFFF"/>
          <w:lang w:val="en-US"/>
        </w:rPr>
        <w:t>Vegfr2, Vegfr1</w:t>
      </w:r>
      <w:r w:rsidRPr="000A5741">
        <w:rPr>
          <w:rFonts w:ascii="Arial" w:hAnsi="Arial" w:cs="Arial"/>
          <w:color w:val="1C1D1E"/>
          <w:sz w:val="20"/>
          <w:szCs w:val="20"/>
          <w:shd w:val="clear" w:color="auto" w:fill="FFFFFF"/>
          <w:lang w:val="en-US"/>
        </w:rPr>
        <w:t xml:space="preserve"> and </w:t>
      </w:r>
      <w:proofErr w:type="spellStart"/>
      <w:r w:rsidRPr="000A5741">
        <w:rPr>
          <w:rFonts w:ascii="Arial" w:hAnsi="Arial" w:cs="Arial"/>
          <w:i/>
          <w:iCs/>
          <w:color w:val="1C1D1E"/>
          <w:sz w:val="20"/>
          <w:szCs w:val="20"/>
          <w:shd w:val="clear" w:color="auto" w:fill="FFFFFF"/>
          <w:lang w:val="en-US"/>
        </w:rPr>
        <w:t>Vegfa</w:t>
      </w:r>
      <w:proofErr w:type="spellEnd"/>
      <w:r w:rsidRPr="000A5741">
        <w:rPr>
          <w:rFonts w:ascii="Arial" w:hAnsi="Arial" w:cs="Arial"/>
          <w:color w:val="1C1D1E"/>
          <w:sz w:val="20"/>
          <w:szCs w:val="20"/>
          <w:shd w:val="clear" w:color="auto" w:fill="FFFFFF"/>
          <w:lang w:val="en-US"/>
        </w:rPr>
        <w:t xml:space="preserve">. Note that </w:t>
      </w:r>
      <w:proofErr w:type="spellStart"/>
      <w:r w:rsidRPr="000A5741">
        <w:rPr>
          <w:rFonts w:ascii="Arial" w:hAnsi="Arial" w:cs="Arial"/>
          <w:i/>
          <w:iCs/>
          <w:color w:val="1C1D1E"/>
          <w:sz w:val="20"/>
          <w:szCs w:val="20"/>
          <w:shd w:val="clear" w:color="auto" w:fill="FFFFFF"/>
          <w:lang w:val="en-US"/>
        </w:rPr>
        <w:t>Vegfa</w:t>
      </w:r>
      <w:proofErr w:type="spellEnd"/>
      <w:r w:rsidRPr="000A5741">
        <w:rPr>
          <w:rFonts w:ascii="Arial" w:hAnsi="Arial" w:cs="Arial"/>
          <w:color w:val="1C1D1E"/>
          <w:sz w:val="20"/>
          <w:szCs w:val="20"/>
          <w:shd w:val="clear" w:color="auto" w:fill="FFFFFF"/>
          <w:lang w:val="en-US"/>
        </w:rPr>
        <w:t xml:space="preserve"> is highly expressed at the level of the ME tanycytes (blue arrows) and DMH tanycytes (red arrows). While Vegfr2 is mainly expressed in the ARH tanycytes (yellow arrows). Dotted line indicated the 3V limits.</w:t>
      </w:r>
      <w:r w:rsidRPr="000A5741">
        <w:rPr>
          <w:lang w:val="en-US"/>
        </w:rPr>
        <w:t xml:space="preserve"> </w:t>
      </w:r>
      <w:r w:rsidRPr="000A5741">
        <w:rPr>
          <w:rFonts w:ascii="Arial" w:hAnsi="Arial" w:cs="Arial"/>
          <w:color w:val="1C1D1E"/>
          <w:sz w:val="20"/>
          <w:szCs w:val="20"/>
          <w:shd w:val="clear" w:color="auto" w:fill="FFFFFF"/>
          <w:lang w:val="en-US"/>
        </w:rPr>
        <w:t>Scale bar = 100 </w:t>
      </w:r>
      <w:proofErr w:type="spellStart"/>
      <w:r w:rsidRPr="000A5741">
        <w:rPr>
          <w:rFonts w:ascii="Arial" w:hAnsi="Arial" w:cs="Arial"/>
          <w:color w:val="1C1D1E"/>
          <w:sz w:val="20"/>
          <w:szCs w:val="20"/>
          <w:shd w:val="clear" w:color="auto" w:fill="FFFFFF"/>
          <w:lang w:val="en-US"/>
        </w:rPr>
        <w:t>μm</w:t>
      </w:r>
      <w:proofErr w:type="spellEnd"/>
      <w:r w:rsidRPr="000A5741">
        <w:rPr>
          <w:rFonts w:ascii="Arial" w:hAnsi="Arial" w:cs="Arial"/>
          <w:color w:val="1C1D1E"/>
          <w:sz w:val="20"/>
          <w:szCs w:val="20"/>
          <w:shd w:val="clear" w:color="auto" w:fill="FFFFFF"/>
          <w:lang w:val="en-US"/>
        </w:rPr>
        <w:t>.</w:t>
      </w:r>
    </w:p>
    <w:p w:rsidR="008D79D1" w:rsidRPr="000A5741" w:rsidRDefault="008D79D1" w:rsidP="008D79D1">
      <w:pPr>
        <w:spacing w:before="120" w:after="120" w:line="480" w:lineRule="auto"/>
        <w:jc w:val="both"/>
        <w:rPr>
          <w:rFonts w:ascii="Arial" w:hAnsi="Arial" w:cs="Arial"/>
          <w:b/>
          <w:bCs/>
          <w:color w:val="1C1D1E"/>
          <w:sz w:val="20"/>
          <w:szCs w:val="20"/>
          <w:shd w:val="clear" w:color="auto" w:fill="FFFFFF"/>
          <w:lang w:val="en-US"/>
        </w:rPr>
      </w:pPr>
    </w:p>
    <w:p w:rsidR="003403FC" w:rsidRDefault="003403FC" w:rsidP="008D79D1">
      <w:pPr>
        <w:spacing w:before="120" w:after="120" w:line="480" w:lineRule="auto"/>
        <w:jc w:val="both"/>
        <w:rPr>
          <w:rFonts w:ascii="Arial" w:hAnsi="Arial" w:cs="Arial"/>
          <w:b/>
          <w:bCs/>
          <w:color w:val="0070C0"/>
          <w:sz w:val="20"/>
          <w:szCs w:val="20"/>
          <w:lang w:val="en-US"/>
        </w:rPr>
      </w:pPr>
    </w:p>
    <w:p w:rsidR="003403FC" w:rsidRDefault="003403FC" w:rsidP="008D79D1">
      <w:pPr>
        <w:spacing w:before="120" w:after="120" w:line="480" w:lineRule="auto"/>
        <w:jc w:val="both"/>
        <w:rPr>
          <w:rFonts w:ascii="Arial" w:hAnsi="Arial" w:cs="Arial"/>
          <w:b/>
          <w:bCs/>
          <w:color w:val="0070C0"/>
          <w:sz w:val="20"/>
          <w:szCs w:val="20"/>
          <w:lang w:val="en-US"/>
        </w:rPr>
      </w:pPr>
    </w:p>
    <w:p w:rsidR="003403FC" w:rsidRDefault="003403FC" w:rsidP="008D79D1">
      <w:pPr>
        <w:spacing w:before="120" w:after="120" w:line="480" w:lineRule="auto"/>
        <w:jc w:val="both"/>
        <w:rPr>
          <w:rFonts w:ascii="Arial" w:hAnsi="Arial" w:cs="Arial"/>
          <w:b/>
          <w:bCs/>
          <w:color w:val="0070C0"/>
          <w:sz w:val="20"/>
          <w:szCs w:val="20"/>
          <w:lang w:val="en-US"/>
        </w:rPr>
      </w:pPr>
    </w:p>
    <w:p w:rsidR="003403FC" w:rsidRDefault="003403FC" w:rsidP="008D79D1">
      <w:pPr>
        <w:spacing w:before="120" w:after="120" w:line="480" w:lineRule="auto"/>
        <w:jc w:val="both"/>
        <w:rPr>
          <w:rFonts w:ascii="Arial" w:hAnsi="Arial" w:cs="Arial"/>
          <w:b/>
          <w:bCs/>
          <w:color w:val="0070C0"/>
          <w:sz w:val="20"/>
          <w:szCs w:val="20"/>
          <w:lang w:val="en-US"/>
        </w:rPr>
      </w:pPr>
      <w:r>
        <w:rPr>
          <w:rFonts w:ascii="Arial" w:hAnsi="Arial" w:cs="Arial"/>
          <w:b/>
          <w:bCs/>
          <w:noProof/>
          <w:color w:val="1C1D1E"/>
          <w:sz w:val="20"/>
          <w:szCs w:val="20"/>
          <w:shd w:val="clear" w:color="auto" w:fill="FFFFFF"/>
          <w:lang w:val="en-US"/>
        </w:rPr>
        <w:lastRenderedPageBreak/>
        <w:drawing>
          <wp:anchor distT="0" distB="0" distL="114300" distR="114300" simplePos="0" relativeHeight="251660288" behindDoc="0" locked="0" layoutInCell="1" allowOverlap="1">
            <wp:simplePos x="0" y="0"/>
            <wp:positionH relativeFrom="column">
              <wp:posOffset>282136</wp:posOffset>
            </wp:positionH>
            <wp:positionV relativeFrom="paragraph">
              <wp:posOffset>107803</wp:posOffset>
            </wp:positionV>
            <wp:extent cx="5029200" cy="6633845"/>
            <wp:effectExtent l="0" t="0" r="0" b="0"/>
            <wp:wrapTopAndBottom/>
            <wp:docPr id="21249236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923660" name="Picture 2124923660"/>
                    <pic:cNvPicPr/>
                  </pic:nvPicPr>
                  <pic:blipFill rotWithShape="1">
                    <a:blip r:embed="rId9">
                      <a:extLst>
                        <a:ext uri="{28A0092B-C50C-407E-A947-70E740481C1C}">
                          <a14:useLocalDpi xmlns:a14="http://schemas.microsoft.com/office/drawing/2010/main" val="0"/>
                        </a:ext>
                      </a:extLst>
                    </a:blip>
                    <a:srcRect l="6113" t="9703" r="9451" b="11503"/>
                    <a:stretch/>
                  </pic:blipFill>
                  <pic:spPr bwMode="auto">
                    <a:xfrm>
                      <a:off x="0" y="0"/>
                      <a:ext cx="5029200" cy="6633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D79D1" w:rsidRPr="000A5741" w:rsidRDefault="008D79D1" w:rsidP="008D79D1">
      <w:pPr>
        <w:spacing w:before="120" w:after="120" w:line="480" w:lineRule="auto"/>
        <w:jc w:val="both"/>
        <w:rPr>
          <w:rFonts w:ascii="Arial" w:hAnsi="Arial" w:cs="Arial"/>
          <w:b/>
          <w:bCs/>
          <w:i/>
          <w:iCs/>
          <w:color w:val="0070C0"/>
          <w:sz w:val="20"/>
          <w:szCs w:val="20"/>
          <w:lang w:val="en-US"/>
        </w:rPr>
      </w:pPr>
      <w:r w:rsidRPr="000A5741">
        <w:rPr>
          <w:rFonts w:ascii="Arial" w:hAnsi="Arial" w:cs="Arial"/>
          <w:b/>
          <w:bCs/>
          <w:color w:val="0070C0"/>
          <w:sz w:val="20"/>
          <w:szCs w:val="20"/>
          <w:lang w:val="en-US"/>
        </w:rPr>
        <w:t>Supplementary Figure 6</w:t>
      </w:r>
      <w:r>
        <w:rPr>
          <w:rFonts w:ascii="Arial" w:hAnsi="Arial" w:cs="Arial"/>
          <w:b/>
          <w:bCs/>
          <w:color w:val="0070C0"/>
          <w:sz w:val="20"/>
          <w:szCs w:val="20"/>
          <w:lang w:val="en-US"/>
        </w:rPr>
        <w:t>.</w:t>
      </w:r>
      <w:r w:rsidRPr="000A5741">
        <w:rPr>
          <w:rFonts w:ascii="Arial" w:hAnsi="Arial" w:cs="Arial"/>
          <w:b/>
          <w:bCs/>
          <w:color w:val="0070C0"/>
          <w:sz w:val="20"/>
          <w:szCs w:val="20"/>
          <w:lang w:val="en-US"/>
        </w:rPr>
        <w:t xml:space="preserve"> Tanycytes’ morphology during postnatal development</w:t>
      </w:r>
      <w:r w:rsidRPr="000A5741">
        <w:rPr>
          <w:rFonts w:ascii="Arial" w:hAnsi="Arial" w:cs="Arial"/>
          <w:b/>
          <w:bCs/>
          <w:i/>
          <w:iCs/>
          <w:color w:val="0070C0"/>
          <w:sz w:val="20"/>
          <w:szCs w:val="20"/>
          <w:lang w:val="en-US"/>
        </w:rPr>
        <w:t xml:space="preserve"> </w:t>
      </w:r>
    </w:p>
    <w:p w:rsidR="008D79D1" w:rsidRDefault="008D79D1" w:rsidP="00302C3F">
      <w:pPr>
        <w:spacing w:before="120" w:after="120" w:line="276" w:lineRule="auto"/>
        <w:jc w:val="both"/>
        <w:rPr>
          <w:rFonts w:ascii="Arial" w:hAnsi="Arial" w:cs="Arial"/>
          <w:color w:val="000000" w:themeColor="text1"/>
          <w:sz w:val="20"/>
          <w:szCs w:val="20"/>
          <w:lang w:val="en-US"/>
        </w:rPr>
      </w:pPr>
      <w:r w:rsidRPr="000A5741">
        <w:rPr>
          <w:rFonts w:ascii="Arial" w:hAnsi="Arial" w:cs="Arial"/>
          <w:sz w:val="20"/>
          <w:szCs w:val="20"/>
          <w:lang w:val="en-US"/>
        </w:rPr>
        <w:t xml:space="preserve">Immunostaining images against Vimentin (green) in coronal sections of the hypothalamic </w:t>
      </w:r>
      <w:proofErr w:type="spellStart"/>
      <w:r w:rsidRPr="000A5741">
        <w:rPr>
          <w:rFonts w:ascii="Arial" w:hAnsi="Arial" w:cs="Arial"/>
          <w:sz w:val="20"/>
          <w:szCs w:val="20"/>
          <w:lang w:val="en-US"/>
        </w:rPr>
        <w:t>tuberal</w:t>
      </w:r>
      <w:proofErr w:type="spellEnd"/>
      <w:r w:rsidRPr="000A5741">
        <w:rPr>
          <w:rFonts w:ascii="Arial" w:hAnsi="Arial" w:cs="Arial"/>
          <w:sz w:val="20"/>
          <w:szCs w:val="20"/>
          <w:lang w:val="en-US"/>
        </w:rPr>
        <w:t xml:space="preserve"> region of male mice at postnatal days P4, P8 and P21. Nuclei are counterstained with DAPI (white). Upper panels: low magnifications of the 3V region. (</w:t>
      </w:r>
      <w:r w:rsidRPr="000A5741">
        <w:rPr>
          <w:rFonts w:ascii="Arial" w:hAnsi="Arial" w:cs="Arial"/>
          <w:b/>
          <w:bCs/>
          <w:sz w:val="20"/>
          <w:szCs w:val="20"/>
          <w:lang w:val="en-US"/>
        </w:rPr>
        <w:t>A-B</w:t>
      </w:r>
      <w:r w:rsidRPr="000A5741">
        <w:rPr>
          <w:rFonts w:ascii="Arial" w:hAnsi="Arial" w:cs="Arial"/>
          <w:sz w:val="20"/>
          <w:szCs w:val="20"/>
          <w:lang w:val="en-US"/>
        </w:rPr>
        <w:t>): higher magnification of the boxed regions of the upper panels showing the establishment of the linear processes of the ARH tanycytes (</w:t>
      </w:r>
      <w:r w:rsidRPr="000A5741">
        <w:rPr>
          <w:rFonts w:ascii="Arial" w:hAnsi="Arial" w:cs="Arial"/>
          <w:b/>
          <w:bCs/>
          <w:sz w:val="20"/>
          <w:szCs w:val="20"/>
          <w:lang w:val="en-US"/>
        </w:rPr>
        <w:t>A</w:t>
      </w:r>
      <w:r w:rsidRPr="000A5741">
        <w:rPr>
          <w:rFonts w:ascii="Arial" w:hAnsi="Arial" w:cs="Arial"/>
          <w:sz w:val="20"/>
          <w:szCs w:val="20"/>
          <w:lang w:val="en-US"/>
        </w:rPr>
        <w:t>), and the branching of ME tanycytes across development (</w:t>
      </w:r>
      <w:r w:rsidRPr="000A5741">
        <w:rPr>
          <w:rFonts w:ascii="Arial" w:hAnsi="Arial" w:cs="Arial"/>
          <w:b/>
          <w:bCs/>
          <w:sz w:val="20"/>
          <w:szCs w:val="20"/>
          <w:lang w:val="en-US"/>
        </w:rPr>
        <w:t>B</w:t>
      </w:r>
      <w:r w:rsidRPr="000A5741">
        <w:rPr>
          <w:rFonts w:ascii="Arial" w:hAnsi="Arial" w:cs="Arial"/>
          <w:sz w:val="20"/>
          <w:szCs w:val="20"/>
          <w:lang w:val="en-US"/>
        </w:rPr>
        <w:t xml:space="preserve">). </w:t>
      </w:r>
      <w:r w:rsidRPr="000A5741">
        <w:rPr>
          <w:rFonts w:ascii="Arial" w:hAnsi="Arial" w:cs="Arial"/>
          <w:color w:val="000000" w:themeColor="text1"/>
          <w:sz w:val="20"/>
          <w:szCs w:val="20"/>
          <w:lang w:val="en-US"/>
        </w:rPr>
        <w:t>Scale bar = 100 </w:t>
      </w:r>
      <w:proofErr w:type="spellStart"/>
      <w:r w:rsidRPr="000A5741">
        <w:rPr>
          <w:rFonts w:ascii="Arial" w:hAnsi="Arial" w:cs="Arial"/>
          <w:color w:val="000000" w:themeColor="text1"/>
          <w:sz w:val="20"/>
          <w:szCs w:val="20"/>
          <w:lang w:val="en-US"/>
        </w:rPr>
        <w:t>μm</w:t>
      </w:r>
      <w:proofErr w:type="spellEnd"/>
      <w:r w:rsidRPr="000A5741">
        <w:rPr>
          <w:rFonts w:ascii="Arial" w:hAnsi="Arial" w:cs="Arial"/>
          <w:color w:val="000000" w:themeColor="text1"/>
          <w:sz w:val="20"/>
          <w:szCs w:val="20"/>
          <w:lang w:val="en-US"/>
        </w:rPr>
        <w:t xml:space="preserve"> in the upper </w:t>
      </w:r>
      <w:proofErr w:type="spellStart"/>
      <w:r w:rsidRPr="000A5741">
        <w:rPr>
          <w:rFonts w:ascii="Arial" w:hAnsi="Arial" w:cs="Arial"/>
          <w:color w:val="000000" w:themeColor="text1"/>
          <w:sz w:val="20"/>
          <w:szCs w:val="20"/>
          <w:lang w:val="en-US"/>
        </w:rPr>
        <w:t>pannels</w:t>
      </w:r>
      <w:proofErr w:type="spellEnd"/>
      <w:r w:rsidRPr="000A5741">
        <w:rPr>
          <w:rFonts w:ascii="Arial" w:hAnsi="Arial" w:cs="Arial"/>
          <w:color w:val="000000" w:themeColor="text1"/>
          <w:sz w:val="20"/>
          <w:szCs w:val="20"/>
          <w:lang w:val="en-US"/>
        </w:rPr>
        <w:t>, 50 µm in ARH, arcuate nucleus of the hypothalamus; ME, median eminence; VMH, ventromedial hypothalamic nucleus; DMH, dorsomedial hypothalamic nucleus; 3V, third ventricle.</w:t>
      </w:r>
    </w:p>
    <w:p w:rsidR="008D79D1" w:rsidRPr="000A5741" w:rsidRDefault="008D79D1" w:rsidP="008D79D1">
      <w:pPr>
        <w:spacing w:before="120" w:after="120" w:line="480" w:lineRule="auto"/>
        <w:jc w:val="both"/>
        <w:rPr>
          <w:rFonts w:ascii="Arial" w:hAnsi="Arial" w:cs="Arial"/>
          <w:b/>
          <w:bCs/>
          <w:color w:val="0070C0"/>
          <w:sz w:val="20"/>
          <w:szCs w:val="20"/>
          <w:lang w:val="en-US"/>
        </w:rPr>
      </w:pPr>
    </w:p>
    <w:p w:rsidR="008D79D1" w:rsidRDefault="001759A7" w:rsidP="008D79D1">
      <w:pPr>
        <w:spacing w:before="120" w:after="120" w:line="480" w:lineRule="auto"/>
        <w:jc w:val="both"/>
        <w:rPr>
          <w:rFonts w:ascii="Arial" w:hAnsi="Arial" w:cs="Arial"/>
          <w:b/>
          <w:bCs/>
          <w:color w:val="0070C0"/>
          <w:sz w:val="20"/>
          <w:szCs w:val="20"/>
          <w:lang w:val="en-US"/>
        </w:rPr>
      </w:pPr>
      <w:r>
        <w:rPr>
          <w:rFonts w:ascii="Arial" w:hAnsi="Arial" w:cs="Arial"/>
          <w:b/>
          <w:bCs/>
          <w:i/>
          <w:iCs/>
          <w:noProof/>
          <w:color w:val="0070C0"/>
          <w:sz w:val="20"/>
          <w:szCs w:val="20"/>
          <w:lang w:val="en-US"/>
        </w:rPr>
        <w:lastRenderedPageBreak/>
        <w:drawing>
          <wp:anchor distT="0" distB="0" distL="114300" distR="114300" simplePos="0" relativeHeight="251666432" behindDoc="0" locked="0" layoutInCell="1" allowOverlap="1">
            <wp:simplePos x="0" y="0"/>
            <wp:positionH relativeFrom="column">
              <wp:posOffset>346075</wp:posOffset>
            </wp:positionH>
            <wp:positionV relativeFrom="paragraph">
              <wp:posOffset>130859</wp:posOffset>
            </wp:positionV>
            <wp:extent cx="4594860" cy="6259195"/>
            <wp:effectExtent l="0" t="0" r="2540" b="1905"/>
            <wp:wrapSquare wrapText="bothSides"/>
            <wp:docPr id="11067874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787483" name="Picture 1106787483"/>
                    <pic:cNvPicPr/>
                  </pic:nvPicPr>
                  <pic:blipFill rotWithShape="1">
                    <a:blip r:embed="rId10">
                      <a:extLst>
                        <a:ext uri="{28A0092B-C50C-407E-A947-70E740481C1C}">
                          <a14:useLocalDpi xmlns:a14="http://schemas.microsoft.com/office/drawing/2010/main" val="0"/>
                        </a:ext>
                      </a:extLst>
                    </a:blip>
                    <a:srcRect t="3611"/>
                    <a:stretch/>
                  </pic:blipFill>
                  <pic:spPr bwMode="auto">
                    <a:xfrm>
                      <a:off x="0" y="0"/>
                      <a:ext cx="4594860" cy="6259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79D1" w:rsidRPr="000A5741">
        <w:rPr>
          <w:rFonts w:ascii="Arial" w:hAnsi="Arial" w:cs="Arial"/>
          <w:b/>
          <w:bCs/>
          <w:color w:val="0070C0"/>
          <w:sz w:val="20"/>
          <w:szCs w:val="20"/>
          <w:lang w:val="en-US"/>
        </w:rPr>
        <w:t>Supplementary Figure 7</w:t>
      </w:r>
      <w:r w:rsidR="008D79D1">
        <w:rPr>
          <w:rFonts w:ascii="Arial" w:hAnsi="Arial" w:cs="Arial"/>
          <w:b/>
          <w:bCs/>
          <w:color w:val="0070C0"/>
          <w:sz w:val="20"/>
          <w:szCs w:val="20"/>
          <w:lang w:val="en-US"/>
        </w:rPr>
        <w:t>.</w:t>
      </w:r>
      <w:r w:rsidR="008D79D1" w:rsidRPr="000A5741">
        <w:rPr>
          <w:rFonts w:ascii="Arial" w:hAnsi="Arial" w:cs="Arial"/>
          <w:b/>
          <w:bCs/>
          <w:color w:val="0070C0"/>
          <w:sz w:val="20"/>
          <w:szCs w:val="20"/>
          <w:lang w:val="en-US"/>
        </w:rPr>
        <w:t xml:space="preserve"> </w:t>
      </w:r>
      <w:proofErr w:type="spellStart"/>
      <w:r w:rsidR="008D79D1" w:rsidRPr="000A5741">
        <w:rPr>
          <w:rFonts w:ascii="Arial" w:hAnsi="Arial" w:cs="Arial"/>
          <w:b/>
          <w:bCs/>
          <w:i/>
          <w:iCs/>
          <w:color w:val="0070C0"/>
          <w:sz w:val="20"/>
          <w:szCs w:val="20"/>
          <w:lang w:val="en-US"/>
        </w:rPr>
        <w:t>Vegfr</w:t>
      </w:r>
      <w:proofErr w:type="spellEnd"/>
      <w:r w:rsidR="008D79D1" w:rsidRPr="000A5741">
        <w:rPr>
          <w:rFonts w:ascii="Arial" w:hAnsi="Arial" w:cs="Arial"/>
          <w:b/>
          <w:bCs/>
          <w:color w:val="0070C0"/>
          <w:sz w:val="20"/>
          <w:szCs w:val="20"/>
          <w:lang w:val="en-US"/>
        </w:rPr>
        <w:t xml:space="preserve"> family in aging</w:t>
      </w:r>
    </w:p>
    <w:p w:rsidR="00302C3F" w:rsidRDefault="00302C3F" w:rsidP="00302C3F">
      <w:pPr>
        <w:spacing w:before="120" w:after="120" w:line="276" w:lineRule="auto"/>
        <w:jc w:val="both"/>
        <w:rPr>
          <w:rFonts w:ascii="Arial" w:hAnsi="Arial" w:cs="Arial"/>
          <w:color w:val="1C1D1E"/>
          <w:sz w:val="20"/>
          <w:szCs w:val="20"/>
          <w:shd w:val="clear" w:color="auto" w:fill="FFFFFF"/>
          <w:lang w:val="en-US"/>
        </w:rPr>
      </w:pPr>
      <w:r>
        <w:rPr>
          <w:rFonts w:ascii="Arial" w:hAnsi="Arial" w:cs="Arial"/>
          <w:b/>
          <w:bCs/>
          <w:color w:val="1C1D1E"/>
          <w:sz w:val="20"/>
          <w:szCs w:val="20"/>
          <w:shd w:val="clear" w:color="auto" w:fill="FFFFFF"/>
          <w:lang w:val="en-US"/>
        </w:rPr>
        <w:t>(</w:t>
      </w:r>
      <w:r w:rsidRPr="000A5741">
        <w:rPr>
          <w:rFonts w:ascii="Arial" w:hAnsi="Arial" w:cs="Arial"/>
          <w:b/>
          <w:bCs/>
          <w:color w:val="1C1D1E"/>
          <w:sz w:val="20"/>
          <w:szCs w:val="20"/>
          <w:shd w:val="clear" w:color="auto" w:fill="FFFFFF"/>
          <w:lang w:val="en-US"/>
        </w:rPr>
        <w:t>A</w:t>
      </w:r>
      <w:r w:rsidRPr="000A5741">
        <w:rPr>
          <w:rFonts w:ascii="Arial" w:hAnsi="Arial" w:cs="Arial"/>
          <w:color w:val="1C1D1E"/>
          <w:sz w:val="20"/>
          <w:szCs w:val="20"/>
          <w:shd w:val="clear" w:color="auto" w:fill="FFFFFF"/>
          <w:lang w:val="en-US"/>
        </w:rPr>
        <w:t>) Schematic representation of the workflow for FACS-based isolation of tanycytes from the ME of adult male mice and representative FACS plots illustrating the gating strategy for tanycyte isolation (</w:t>
      </w:r>
      <w:r w:rsidRPr="000A5741">
        <w:rPr>
          <w:rFonts w:ascii="Arial" w:hAnsi="Arial" w:cs="Arial"/>
          <w:b/>
          <w:bCs/>
          <w:color w:val="1C1D1E"/>
          <w:sz w:val="20"/>
          <w:szCs w:val="20"/>
          <w:shd w:val="clear" w:color="auto" w:fill="FFFFFF"/>
          <w:lang w:val="en-US"/>
        </w:rPr>
        <w:t>B</w:t>
      </w:r>
      <w:r w:rsidRPr="000A5741">
        <w:rPr>
          <w:rFonts w:ascii="Arial" w:hAnsi="Arial" w:cs="Arial"/>
          <w:color w:val="1C1D1E"/>
          <w:sz w:val="20"/>
          <w:szCs w:val="20"/>
          <w:shd w:val="clear" w:color="auto" w:fill="FFFFFF"/>
          <w:lang w:val="en-US"/>
        </w:rPr>
        <w:t>) qPCR analysis of endothelial marker </w:t>
      </w:r>
      <w:r w:rsidRPr="000A5741">
        <w:rPr>
          <w:rFonts w:ascii="Arial" w:hAnsi="Arial" w:cs="Arial"/>
          <w:i/>
          <w:iCs/>
          <w:color w:val="1C1D1E"/>
          <w:sz w:val="20"/>
          <w:szCs w:val="20"/>
          <w:shd w:val="clear" w:color="auto" w:fill="FFFFFF"/>
          <w:lang w:val="en-US"/>
        </w:rPr>
        <w:t>Pecam1</w:t>
      </w:r>
      <w:r w:rsidRPr="000A5741">
        <w:rPr>
          <w:rFonts w:ascii="Arial" w:hAnsi="Arial" w:cs="Arial"/>
          <w:color w:val="1C1D1E"/>
          <w:sz w:val="20"/>
          <w:szCs w:val="20"/>
          <w:shd w:val="clear" w:color="auto" w:fill="FFFFFF"/>
          <w:lang w:val="en-US"/>
        </w:rPr>
        <w:t>, tanycyte marker </w:t>
      </w:r>
      <w:r w:rsidRPr="000A5741">
        <w:rPr>
          <w:rFonts w:ascii="Arial" w:hAnsi="Arial" w:cs="Arial"/>
          <w:i/>
          <w:iCs/>
          <w:color w:val="1C1D1E"/>
          <w:sz w:val="20"/>
          <w:szCs w:val="20"/>
          <w:shd w:val="clear" w:color="auto" w:fill="FFFFFF"/>
          <w:lang w:val="en-US"/>
        </w:rPr>
        <w:t>Gpr50</w:t>
      </w:r>
      <w:r w:rsidRPr="000A5741">
        <w:rPr>
          <w:rFonts w:ascii="Arial" w:hAnsi="Arial" w:cs="Arial"/>
          <w:color w:val="1C1D1E"/>
          <w:sz w:val="20"/>
          <w:szCs w:val="20"/>
          <w:shd w:val="clear" w:color="auto" w:fill="FFFFFF"/>
          <w:lang w:val="en-US"/>
        </w:rPr>
        <w:t xml:space="preserve"> , and neuronal marker </w:t>
      </w:r>
      <w:r w:rsidRPr="000A5741">
        <w:rPr>
          <w:rFonts w:ascii="Arial" w:hAnsi="Arial" w:cs="Arial"/>
          <w:i/>
          <w:iCs/>
          <w:color w:val="1C1D1E"/>
          <w:sz w:val="20"/>
          <w:szCs w:val="20"/>
          <w:shd w:val="clear" w:color="auto" w:fill="FFFFFF"/>
          <w:lang w:val="en-US"/>
        </w:rPr>
        <w:t>Elavl4</w:t>
      </w:r>
      <w:r w:rsidRPr="000A5741">
        <w:rPr>
          <w:rFonts w:ascii="Arial" w:hAnsi="Arial" w:cs="Arial"/>
          <w:color w:val="1C1D1E"/>
          <w:sz w:val="20"/>
          <w:szCs w:val="20"/>
          <w:shd w:val="clear" w:color="auto" w:fill="FFFFFF"/>
          <w:lang w:val="en-US"/>
        </w:rPr>
        <w:t>, confirming the identity and purity of the sorted population</w:t>
      </w:r>
      <w:r w:rsidRPr="000A5741">
        <w:rPr>
          <w:rFonts w:ascii="Arial" w:hAnsi="Arial" w:cs="Arial"/>
          <w:b/>
          <w:bCs/>
          <w:color w:val="0070C0"/>
          <w:sz w:val="20"/>
          <w:szCs w:val="20"/>
          <w:lang w:val="en-US"/>
        </w:rPr>
        <w:t xml:space="preserve"> </w:t>
      </w:r>
      <w:r w:rsidRPr="000A5741">
        <w:rPr>
          <w:rFonts w:ascii="Arial" w:hAnsi="Arial" w:cs="Arial"/>
          <w:b/>
          <w:bCs/>
          <w:color w:val="000000" w:themeColor="text1"/>
          <w:sz w:val="20"/>
          <w:szCs w:val="20"/>
          <w:lang w:val="en-US"/>
        </w:rPr>
        <w:t xml:space="preserve">(C) </w:t>
      </w:r>
      <w:r w:rsidRPr="000A5741">
        <w:rPr>
          <w:rFonts w:ascii="Arial" w:hAnsi="Arial" w:cs="Arial"/>
          <w:color w:val="1C1D1E"/>
          <w:sz w:val="20"/>
          <w:szCs w:val="20"/>
          <w:shd w:val="clear" w:color="auto" w:fill="FFFFFF"/>
          <w:lang w:val="en-US"/>
        </w:rPr>
        <w:t>qPCR analysis of Vegfr</w:t>
      </w:r>
      <w:r w:rsidRPr="000A5741">
        <w:rPr>
          <w:rFonts w:ascii="Arial" w:hAnsi="Arial" w:cs="Arial"/>
          <w:i/>
          <w:iCs/>
          <w:color w:val="1C1D1E"/>
          <w:sz w:val="20"/>
          <w:szCs w:val="20"/>
          <w:shd w:val="clear" w:color="auto" w:fill="FFFFFF"/>
          <w:lang w:val="en-US"/>
        </w:rPr>
        <w:t>1, Vegfr2</w:t>
      </w:r>
      <w:r w:rsidRPr="000A5741">
        <w:rPr>
          <w:rFonts w:ascii="Arial" w:hAnsi="Arial" w:cs="Arial"/>
          <w:color w:val="1C1D1E"/>
          <w:sz w:val="20"/>
          <w:szCs w:val="20"/>
          <w:shd w:val="clear" w:color="auto" w:fill="FFFFFF"/>
          <w:lang w:val="en-US"/>
        </w:rPr>
        <w:t xml:space="preserve">, and </w:t>
      </w:r>
      <w:r w:rsidRPr="000A5741">
        <w:rPr>
          <w:rFonts w:ascii="Arial" w:hAnsi="Arial" w:cs="Arial"/>
          <w:i/>
          <w:iCs/>
          <w:color w:val="1C1D1E"/>
          <w:sz w:val="20"/>
          <w:szCs w:val="20"/>
          <w:shd w:val="clear" w:color="auto" w:fill="FFFFFF"/>
          <w:lang w:val="en-US"/>
        </w:rPr>
        <w:t>Vegfr3</w:t>
      </w:r>
      <w:r w:rsidRPr="000A5741">
        <w:rPr>
          <w:rFonts w:ascii="Arial" w:hAnsi="Arial" w:cs="Arial"/>
          <w:color w:val="1C1D1E"/>
          <w:sz w:val="20"/>
          <w:szCs w:val="20"/>
          <w:shd w:val="clear" w:color="auto" w:fill="FFFFFF"/>
          <w:lang w:val="en-US"/>
        </w:rPr>
        <w:t xml:space="preserve"> mRNA expression levels, and their ligands, in tomato+ (tanycytes) and tomato – (non tanycytes) isolated from male mice aged 3, 6, 9, 12, and 18 months. Notably, </w:t>
      </w:r>
      <w:r w:rsidRPr="000A5741">
        <w:rPr>
          <w:rFonts w:ascii="Arial" w:hAnsi="Arial" w:cs="Arial"/>
          <w:i/>
          <w:iCs/>
          <w:color w:val="1C1D1E"/>
          <w:sz w:val="20"/>
          <w:szCs w:val="20"/>
          <w:shd w:val="clear" w:color="auto" w:fill="FFFFFF"/>
          <w:lang w:val="en-US"/>
        </w:rPr>
        <w:t>Vegfr2</w:t>
      </w:r>
      <w:r w:rsidRPr="000A5741">
        <w:rPr>
          <w:rFonts w:ascii="Arial" w:hAnsi="Arial" w:cs="Arial"/>
          <w:color w:val="1C1D1E"/>
          <w:sz w:val="20"/>
          <w:szCs w:val="20"/>
          <w:shd w:val="clear" w:color="auto" w:fill="FFFFFF"/>
          <w:lang w:val="en-US"/>
        </w:rPr>
        <w:t xml:space="preserve"> expression shows a progressive decline with age, while </w:t>
      </w:r>
      <w:r w:rsidRPr="000A5741">
        <w:rPr>
          <w:rFonts w:ascii="Arial" w:hAnsi="Arial" w:cs="Arial"/>
          <w:i/>
          <w:iCs/>
          <w:color w:val="1C1D1E"/>
          <w:sz w:val="20"/>
          <w:szCs w:val="20"/>
          <w:shd w:val="clear" w:color="auto" w:fill="FFFFFF"/>
          <w:lang w:val="en-US"/>
        </w:rPr>
        <w:t>Vegfr1</w:t>
      </w:r>
      <w:r w:rsidRPr="000A5741">
        <w:rPr>
          <w:rFonts w:ascii="Arial" w:hAnsi="Arial" w:cs="Arial"/>
          <w:color w:val="1C1D1E"/>
          <w:sz w:val="20"/>
          <w:szCs w:val="20"/>
          <w:shd w:val="clear" w:color="auto" w:fill="FFFFFF"/>
          <w:lang w:val="en-US"/>
        </w:rPr>
        <w:t xml:space="preserve"> remain stable in tanycytes and Vegfr3 is barely detected in this population.  Note the high level of expression of the three receptors, but specially </w:t>
      </w:r>
      <w:r w:rsidRPr="000A5741">
        <w:rPr>
          <w:rFonts w:ascii="Arial" w:hAnsi="Arial" w:cs="Arial"/>
          <w:i/>
          <w:iCs/>
          <w:color w:val="1C1D1E"/>
          <w:sz w:val="20"/>
          <w:szCs w:val="20"/>
          <w:shd w:val="clear" w:color="auto" w:fill="FFFFFF"/>
          <w:lang w:val="en-US"/>
        </w:rPr>
        <w:t>Vegfr3</w:t>
      </w:r>
      <w:r w:rsidRPr="000A5741">
        <w:rPr>
          <w:rFonts w:ascii="Arial" w:hAnsi="Arial" w:cs="Arial"/>
          <w:color w:val="1C1D1E"/>
          <w:sz w:val="20"/>
          <w:szCs w:val="20"/>
          <w:shd w:val="clear" w:color="auto" w:fill="FFFFFF"/>
          <w:lang w:val="en-US"/>
        </w:rPr>
        <w:t xml:space="preserve"> in the negative compartment (that includes endothelial cells). qPCR data are normalized to housekeeping genes </w:t>
      </w:r>
      <w:r w:rsidRPr="000A5741">
        <w:rPr>
          <w:rFonts w:ascii="Arial" w:hAnsi="Arial" w:cs="Arial"/>
          <w:i/>
          <w:iCs/>
          <w:color w:val="1C1D1E"/>
          <w:sz w:val="20"/>
          <w:szCs w:val="20"/>
          <w:shd w:val="clear" w:color="auto" w:fill="FFFFFF"/>
          <w:lang w:val="en-US"/>
        </w:rPr>
        <w:t>18S</w:t>
      </w:r>
      <w:r w:rsidRPr="000A5741">
        <w:rPr>
          <w:rFonts w:ascii="Arial" w:hAnsi="Arial" w:cs="Arial"/>
          <w:color w:val="1C1D1E"/>
          <w:sz w:val="20"/>
          <w:szCs w:val="20"/>
          <w:shd w:val="clear" w:color="auto" w:fill="FFFFFF"/>
          <w:lang w:val="en-US"/>
        </w:rPr>
        <w:t>, and presented as mean ± SEM; n = 5–6 mice per time point. Statistical analysis was performed using one-way ANOVA with Fisher’s LSD post hoc test. p &lt; 0.05 considered significant</w:t>
      </w:r>
    </w:p>
    <w:p w:rsidR="00302C3F" w:rsidRDefault="00302C3F" w:rsidP="008D79D1">
      <w:pPr>
        <w:spacing w:before="120" w:after="120" w:line="480" w:lineRule="auto"/>
        <w:jc w:val="both"/>
        <w:rPr>
          <w:rFonts w:ascii="Arial" w:hAnsi="Arial" w:cs="Arial"/>
          <w:b/>
          <w:bCs/>
          <w:color w:val="0070C0"/>
          <w:sz w:val="20"/>
          <w:szCs w:val="20"/>
          <w:lang w:val="en-US"/>
        </w:rPr>
      </w:pPr>
    </w:p>
    <w:p w:rsidR="00302C3F" w:rsidRDefault="00302C3F" w:rsidP="008D79D1">
      <w:pPr>
        <w:spacing w:before="120" w:after="120" w:line="480" w:lineRule="auto"/>
        <w:jc w:val="both"/>
        <w:rPr>
          <w:rFonts w:ascii="Arial" w:hAnsi="Arial" w:cs="Arial"/>
          <w:b/>
          <w:bCs/>
          <w:color w:val="0070C0"/>
          <w:sz w:val="20"/>
          <w:szCs w:val="20"/>
          <w:lang w:val="en-US"/>
        </w:rPr>
      </w:pPr>
      <w:r>
        <w:rPr>
          <w:rFonts w:ascii="Arial" w:hAnsi="Arial" w:cs="Arial"/>
          <w:noProof/>
          <w:color w:val="000000" w:themeColor="text1"/>
          <w:sz w:val="20"/>
          <w:szCs w:val="20"/>
          <w:lang w:val="en-US"/>
        </w:rPr>
        <w:lastRenderedPageBreak/>
        <w:drawing>
          <wp:anchor distT="0" distB="0" distL="114300" distR="114300" simplePos="0" relativeHeight="251658240" behindDoc="0" locked="0" layoutInCell="1" allowOverlap="1">
            <wp:simplePos x="0" y="0"/>
            <wp:positionH relativeFrom="column">
              <wp:posOffset>440104</wp:posOffset>
            </wp:positionH>
            <wp:positionV relativeFrom="paragraph">
              <wp:posOffset>231140</wp:posOffset>
            </wp:positionV>
            <wp:extent cx="4400550" cy="2355850"/>
            <wp:effectExtent l="0" t="0" r="6350" b="6350"/>
            <wp:wrapTopAndBottom/>
            <wp:docPr id="4580885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088512" name="Picture 458088512"/>
                    <pic:cNvPicPr/>
                  </pic:nvPicPr>
                  <pic:blipFill rotWithShape="1">
                    <a:blip r:embed="rId11">
                      <a:extLst>
                        <a:ext uri="{28A0092B-C50C-407E-A947-70E740481C1C}">
                          <a14:useLocalDpi xmlns:a14="http://schemas.microsoft.com/office/drawing/2010/main" val="0"/>
                        </a:ext>
                      </a:extLst>
                    </a:blip>
                    <a:srcRect l="9089" t="6780" r="23331" b="67617"/>
                    <a:stretch/>
                  </pic:blipFill>
                  <pic:spPr bwMode="auto">
                    <a:xfrm>
                      <a:off x="0" y="0"/>
                      <a:ext cx="4400550" cy="2355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D79D1" w:rsidRPr="00302C3F" w:rsidRDefault="008D79D1" w:rsidP="008D79D1">
      <w:pPr>
        <w:spacing w:before="120" w:after="120" w:line="480" w:lineRule="auto"/>
        <w:jc w:val="both"/>
        <w:rPr>
          <w:rFonts w:ascii="Arial" w:hAnsi="Arial" w:cs="Arial"/>
          <w:color w:val="1C1D1E"/>
          <w:sz w:val="20"/>
          <w:szCs w:val="20"/>
          <w:shd w:val="clear" w:color="auto" w:fill="FFFFFF"/>
          <w:lang w:val="en-US"/>
        </w:rPr>
      </w:pPr>
    </w:p>
    <w:p w:rsidR="008D79D1" w:rsidRPr="000A5741" w:rsidRDefault="008D79D1" w:rsidP="008D79D1">
      <w:pPr>
        <w:spacing w:before="120" w:after="120" w:line="480" w:lineRule="auto"/>
        <w:jc w:val="both"/>
        <w:rPr>
          <w:rFonts w:ascii="Arial" w:hAnsi="Arial" w:cs="Arial"/>
          <w:color w:val="000000" w:themeColor="text1"/>
          <w:sz w:val="20"/>
          <w:szCs w:val="20"/>
          <w:lang w:val="en-US"/>
        </w:rPr>
      </w:pPr>
      <w:r w:rsidRPr="000A5741">
        <w:rPr>
          <w:rFonts w:ascii="Arial" w:hAnsi="Arial" w:cs="Arial"/>
          <w:b/>
          <w:bCs/>
          <w:color w:val="0070C0"/>
          <w:sz w:val="20"/>
          <w:szCs w:val="20"/>
          <w:lang w:val="en-US"/>
        </w:rPr>
        <w:t>Supplementary Figure 8</w:t>
      </w:r>
      <w:r>
        <w:rPr>
          <w:rFonts w:ascii="Arial" w:hAnsi="Arial" w:cs="Arial"/>
          <w:b/>
          <w:bCs/>
          <w:color w:val="0070C0"/>
          <w:sz w:val="20"/>
          <w:szCs w:val="20"/>
          <w:lang w:val="en-US"/>
        </w:rPr>
        <w:t>.</w:t>
      </w:r>
      <w:r w:rsidRPr="000A5741">
        <w:rPr>
          <w:rFonts w:ascii="Arial" w:hAnsi="Arial" w:cs="Arial"/>
          <w:b/>
          <w:bCs/>
          <w:color w:val="0070C0"/>
          <w:sz w:val="20"/>
          <w:szCs w:val="20"/>
          <w:lang w:val="en-US"/>
        </w:rPr>
        <w:t xml:space="preserve"> </w:t>
      </w:r>
      <w:proofErr w:type="spellStart"/>
      <w:r w:rsidRPr="000A5741">
        <w:rPr>
          <w:rFonts w:ascii="Arial" w:hAnsi="Arial" w:cs="Arial"/>
          <w:b/>
          <w:bCs/>
          <w:i/>
          <w:iCs/>
          <w:color w:val="0070C0"/>
          <w:sz w:val="20"/>
          <w:szCs w:val="20"/>
          <w:lang w:val="en-US"/>
        </w:rPr>
        <w:t>Vegfr</w:t>
      </w:r>
      <w:proofErr w:type="spellEnd"/>
      <w:r w:rsidRPr="000A5741">
        <w:rPr>
          <w:rFonts w:ascii="Arial" w:hAnsi="Arial" w:cs="Arial"/>
          <w:b/>
          <w:bCs/>
          <w:color w:val="0070C0"/>
          <w:sz w:val="20"/>
          <w:szCs w:val="20"/>
          <w:lang w:val="en-US"/>
        </w:rPr>
        <w:t xml:space="preserve"> family in human tanycytes</w:t>
      </w:r>
    </w:p>
    <w:p w:rsidR="008D79D1" w:rsidRPr="000A5741" w:rsidRDefault="008D79D1" w:rsidP="00302C3F">
      <w:pPr>
        <w:spacing w:before="120" w:after="120" w:line="276" w:lineRule="auto"/>
        <w:jc w:val="both"/>
        <w:rPr>
          <w:rFonts w:ascii="Arial" w:hAnsi="Arial" w:cs="Arial"/>
          <w:b/>
          <w:bCs/>
          <w:color w:val="0070C0"/>
          <w:sz w:val="20"/>
          <w:szCs w:val="20"/>
          <w:lang w:val="en-US"/>
        </w:rPr>
      </w:pPr>
      <w:r w:rsidRPr="000A5741">
        <w:rPr>
          <w:rFonts w:ascii="Arial" w:hAnsi="Arial" w:cs="Arial"/>
          <w:color w:val="000000" w:themeColor="text1"/>
          <w:sz w:val="20"/>
          <w:szCs w:val="20"/>
          <w:lang w:val="en-US"/>
        </w:rPr>
        <w:t>Representative RNAscope images of positive and negative control probes, demonstrating probe specificity and signal quality.</w:t>
      </w:r>
      <w:r w:rsidR="0035051B">
        <w:rPr>
          <w:rFonts w:ascii="Arial" w:hAnsi="Arial" w:cs="Arial"/>
          <w:color w:val="000000" w:themeColor="text1"/>
          <w:sz w:val="20"/>
          <w:szCs w:val="20"/>
          <w:lang w:val="en-US"/>
        </w:rPr>
        <w:t xml:space="preserve"> Single channels are shown.</w:t>
      </w:r>
      <w:r w:rsidRPr="000A5741">
        <w:rPr>
          <w:rFonts w:ascii="Arial" w:hAnsi="Arial" w:cs="Arial"/>
          <w:color w:val="000000" w:themeColor="text1"/>
          <w:sz w:val="20"/>
          <w:szCs w:val="20"/>
          <w:lang w:val="en-US"/>
        </w:rPr>
        <w:t xml:space="preserve"> Note that human postmortem tissue exhibits elevated background fluorescence, necessitating careful interpretation of puncta.</w:t>
      </w:r>
    </w:p>
    <w:p w:rsidR="008D79D1" w:rsidRPr="000A5741" w:rsidRDefault="008D79D1" w:rsidP="008D79D1">
      <w:pPr>
        <w:spacing w:before="120" w:after="120" w:line="480" w:lineRule="auto"/>
        <w:rPr>
          <w:rFonts w:ascii="Arial" w:hAnsi="Arial" w:cs="Arial"/>
          <w:b/>
          <w:bCs/>
          <w:color w:val="0070C0"/>
          <w:sz w:val="20"/>
          <w:szCs w:val="20"/>
          <w:lang w:val="en-US"/>
        </w:rPr>
      </w:pPr>
    </w:p>
    <w:p w:rsidR="00E24CC0" w:rsidRDefault="00E24CC0"/>
    <w:sectPr w:rsidR="00E24CC0" w:rsidSect="00302C3F">
      <w:pgSz w:w="11900" w:h="16840"/>
      <w:pgMar w:top="1159" w:right="1411" w:bottom="1326" w:left="1411" w:header="706" w:footer="706"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
    <w:altName w:val="Times New Roman"/>
    <w:panose1 w:val="020B06040202020202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2"/>
  <w:proofState w:spelling="clean" w:grammar="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79D1"/>
    <w:rsid w:val="00004503"/>
    <w:rsid w:val="000711A4"/>
    <w:rsid w:val="001759A7"/>
    <w:rsid w:val="00211A99"/>
    <w:rsid w:val="00237A53"/>
    <w:rsid w:val="002F7590"/>
    <w:rsid w:val="00302C3F"/>
    <w:rsid w:val="003403FC"/>
    <w:rsid w:val="0035051B"/>
    <w:rsid w:val="00397C52"/>
    <w:rsid w:val="00504438"/>
    <w:rsid w:val="0053390E"/>
    <w:rsid w:val="00554593"/>
    <w:rsid w:val="006466A0"/>
    <w:rsid w:val="0078314C"/>
    <w:rsid w:val="007F768D"/>
    <w:rsid w:val="00853037"/>
    <w:rsid w:val="008D79D1"/>
    <w:rsid w:val="00942921"/>
    <w:rsid w:val="00A03AFF"/>
    <w:rsid w:val="00B1479D"/>
    <w:rsid w:val="00B31AE8"/>
    <w:rsid w:val="00B4330C"/>
    <w:rsid w:val="00C927DF"/>
    <w:rsid w:val="00D260AC"/>
    <w:rsid w:val="00D62221"/>
    <w:rsid w:val="00E24CC0"/>
    <w:rsid w:val="00E50C05"/>
    <w:rsid w:val="00EE19B4"/>
    <w:rsid w:val="00F00BF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903297"/>
  <w14:defaultImageDpi w14:val="32767"/>
  <w15:chartTrackingRefBased/>
  <w15:docId w15:val="{3138664F-A4EA-2E4B-A25E-7B5DA45EA7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8D79D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tB1">
    <w:name w:val="Part B1"/>
    <w:basedOn w:val="Footer"/>
    <w:qFormat/>
    <w:rsid w:val="00237A53"/>
    <w:pPr>
      <w:jc w:val="center"/>
    </w:pPr>
    <w:rPr>
      <w:rFonts w:ascii="Times" w:hAnsi="Times" w:cs="Times New Roman"/>
      <w:sz w:val="18"/>
      <w:lang w:val="en-US" w:eastAsia="en-GB"/>
    </w:rPr>
  </w:style>
  <w:style w:type="paragraph" w:styleId="Footer">
    <w:name w:val="footer"/>
    <w:basedOn w:val="Normal"/>
    <w:link w:val="FooterChar"/>
    <w:uiPriority w:val="99"/>
    <w:semiHidden/>
    <w:unhideWhenUsed/>
    <w:rsid w:val="00237A53"/>
    <w:pPr>
      <w:tabs>
        <w:tab w:val="center" w:pos="4703"/>
        <w:tab w:val="right" w:pos="9406"/>
      </w:tabs>
    </w:pPr>
  </w:style>
  <w:style w:type="character" w:customStyle="1" w:styleId="FooterChar">
    <w:name w:val="Footer Char"/>
    <w:basedOn w:val="DefaultParagraphFont"/>
    <w:link w:val="Footer"/>
    <w:uiPriority w:val="99"/>
    <w:semiHidden/>
    <w:rsid w:val="00237A53"/>
  </w:style>
  <w:style w:type="character" w:styleId="LineNumber">
    <w:name w:val="line number"/>
    <w:basedOn w:val="DefaultParagraphFont"/>
    <w:uiPriority w:val="99"/>
    <w:semiHidden/>
    <w:unhideWhenUsed/>
    <w:rsid w:val="008D79D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jp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image" Target="media/image8.jpg"/><Relationship Id="rId5" Type="http://schemas.openxmlformats.org/officeDocument/2006/relationships/image" Target="media/image2.jpg"/><Relationship Id="rId10" Type="http://schemas.openxmlformats.org/officeDocument/2006/relationships/image" Target="media/image7.png"/><Relationship Id="rId4" Type="http://schemas.openxmlformats.org/officeDocument/2006/relationships/image" Target="media/image1.jpg"/><Relationship Id="rId9" Type="http://schemas.openxmlformats.org/officeDocument/2006/relationships/image" Target="media/image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9</Pages>
  <Words>1420</Words>
  <Characters>8100</Characters>
  <Application>Microsoft Office Word</Application>
  <DocSecurity>0</DocSecurity>
  <Lines>67</Lines>
  <Paragraphs>19</Paragraphs>
  <ScaleCrop>false</ScaleCrop>
  <Company/>
  <LinksUpToDate>false</LinksUpToDate>
  <CharactersWithSpaces>9501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Inès MARTINEZ-CORRAL</dc:creator>
  <cp:keywords/>
  <dc:description/>
  <cp:lastModifiedBy>Inès MARTINEZ-CORRAL</cp:lastModifiedBy>
  <cp:revision>3</cp:revision>
  <cp:lastPrinted>2025-10-09T13:45:00Z</cp:lastPrinted>
  <dcterms:created xsi:type="dcterms:W3CDTF">2025-10-16T12:35:00Z</dcterms:created>
  <dcterms:modified xsi:type="dcterms:W3CDTF">2025-10-16T12:37:00Z</dcterms:modified>
</cp:coreProperties>
</file>