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Supplementary Materials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Table S1. </w:t>
      </w:r>
      <w:r>
        <w:rPr>
          <w:rtl w:val="0"/>
          <w:lang w:val="en-US"/>
        </w:rPr>
        <w:t>Health behaviour distribution between diagnostic groups</w:t>
      </w:r>
    </w:p>
    <w:tbl>
      <w:tblPr>
        <w:tblW w:w="145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58"/>
        <w:gridCol w:w="4857"/>
        <w:gridCol w:w="4857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4858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Number of Health Behaviours</w:t>
            </w:r>
          </w:p>
        </w:tc>
        <w:tc>
          <w:tcPr>
            <w:tcW w:type="dxa" w:w="485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Schizophrenia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(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= 225)</w:t>
            </w:r>
          </w:p>
        </w:tc>
        <w:tc>
          <w:tcPr>
            <w:tcW w:type="dxa" w:w="485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Affective Disorders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(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= 185)</w:t>
            </w:r>
          </w:p>
        </w:tc>
      </w:tr>
      <w:tr>
        <w:tblPrEx>
          <w:shd w:val="clear" w:color="auto" w:fill="cadfff"/>
        </w:tblPrEx>
        <w:trPr>
          <w:trHeight w:val="322" w:hRule="atLeast"/>
        </w:trPr>
        <w:tc>
          <w:tcPr>
            <w:tcW w:type="dxa" w:w="4858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0, N (%)</w:t>
            </w:r>
          </w:p>
        </w:tc>
        <w:tc>
          <w:tcPr>
            <w:tcW w:type="dxa" w:w="4857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17 (7.6)</w:t>
            </w:r>
          </w:p>
        </w:tc>
        <w:tc>
          <w:tcPr>
            <w:tcW w:type="dxa" w:w="4857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 (10.8)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58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1, N (%)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52 (23.1)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48 (25.9)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58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2, N (%)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58 (25.8)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49 (26.5)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58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3, N (%)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58 (25.8)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34 (18.4)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4858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4, N (%)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31 (13.8)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 (12.4)</w:t>
            </w:r>
          </w:p>
        </w:tc>
      </w:tr>
      <w:tr>
        <w:tblPrEx>
          <w:shd w:val="clear" w:color="auto" w:fill="cadfff"/>
        </w:tblPrEx>
        <w:trPr>
          <w:trHeight w:val="307" w:hRule="atLeast"/>
        </w:trPr>
        <w:tc>
          <w:tcPr>
            <w:tcW w:type="dxa" w:w="4858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5, N (%)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 (4.0)</w:t>
            </w:r>
          </w:p>
        </w:tc>
        <w:tc>
          <w:tcPr>
            <w:tcW w:type="dxa" w:w="4857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 (6.1.)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Table S2.</w:t>
      </w:r>
      <w:r>
        <w:rPr>
          <w:rtl w:val="0"/>
          <w:lang w:val="en-US"/>
        </w:rPr>
        <w:t xml:space="preserve"> Chi-square associations between health behaviours </w:t>
      </w:r>
    </w:p>
    <w:tbl>
      <w:tblPr>
        <w:tblW w:w="145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641"/>
        <w:gridCol w:w="3644"/>
        <w:gridCol w:w="3643"/>
        <w:gridCol w:w="3644"/>
      </w:tblGrid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3641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Behaviour 1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Behaviour 2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χ</w:t>
            </w:r>
            <w:r>
              <w:rPr>
                <w:rFonts w:ascii="Times New Roman" w:hAnsi="Times New Roman"/>
                <w:i w:val="1"/>
                <w:iCs w:val="1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2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p-value</w:t>
            </w:r>
          </w:p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3641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Tobacco use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Coffee Consumption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15.68</w:t>
            </w:r>
          </w:p>
        </w:tc>
        <w:tc>
          <w:tcPr>
            <w:tcW w:type="dxa" w:w="3643"/>
            <w:tcBorders>
              <w:top w:val="single" w:color="000000" w:sz="8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&lt; 0.001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Tobacco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Alcohol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26.74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&lt; 0.001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Tobacco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Substance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31.63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&lt; 0.001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Tobacco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1.56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0.21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Tobacco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Diet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0.08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0.77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Coffee Consumption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Alcohol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1.93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0.16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Coffee Consumption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Substance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0.36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0.55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Coffee Consumption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1.90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0.66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Coffee Consumption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Diet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0.02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0.88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Alcohol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Substance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23.56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&lt; 0.001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Alcohol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0.54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0.82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Alcohol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Diet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1.03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0.31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Substance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3.85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0.05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Substance Use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Diet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7.23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fefffe" w:sz="2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0.007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3641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Exercise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Diet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9.79</w:t>
            </w:r>
          </w:p>
        </w:tc>
        <w:tc>
          <w:tcPr>
            <w:tcW w:type="dxa" w:w="3643"/>
            <w:tcBorders>
              <w:top w:val="single" w:color="fefffe" w:sz="2" w:space="0" w:shadow="0" w:frame="0"/>
              <w:left w:val="single" w:color="fefffe" w:sz="2" w:space="0" w:shadow="0" w:frame="0"/>
              <w:bottom w:val="single" w:color="000000" w:sz="8" w:space="0" w:shadow="0" w:frame="0"/>
              <w:right w:val="single" w:color="fefffe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0.002</w:t>
            </w:r>
          </w:p>
        </w:tc>
      </w:tr>
    </w:tbl>
    <w:p>
      <w:pPr>
        <w:pStyle w:val="Body A"/>
        <w:widowControl w:val="0"/>
        <w:ind w:left="108" w:hanging="108"/>
      </w:pP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*</w:t>
      </w:r>
      <w:r>
        <w:rPr>
          <w:i w:val="1"/>
          <w:iCs w:val="1"/>
          <w:sz w:val="22"/>
          <w:szCs w:val="22"/>
          <w:rtl w:val="0"/>
          <w:lang w:val="en-US"/>
        </w:rPr>
        <w:t>Significance threshold adjusted for multiple corrections. New alpha threshold set to: p = 0.0033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Figure S1. </w:t>
      </w:r>
      <w:r>
        <w:rPr>
          <w:rtl w:val="0"/>
          <w:lang w:val="en-US"/>
        </w:rPr>
        <w:t xml:space="preserve">Sexual abuse and number of health behaviours </w:t>
      </w:r>
    </w:p>
    <w:p>
      <w:pPr>
        <w:pStyle w:val="Body A"/>
      </w:pPr>
      <w:r>
        <w:rPr>
          <w:rtl w:val="0"/>
          <w:lang w:val="en-US"/>
        </w:rPr>
        <w:t xml:space="preserve">ANCOVA, 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 = 4.29, </w:t>
      </w:r>
      <w:r>
        <w:rPr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= 0.04</w:t>
      </w:r>
      <w:r>
        <w:rPr>
          <w:rtl w:val="0"/>
          <w:lang w:val="en-US"/>
        </w:rPr>
        <w:t>, adjusted for age, s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719999</wp:posOffset>
            </wp:positionH>
            <wp:positionV relativeFrom="page">
              <wp:posOffset>909216</wp:posOffset>
            </wp:positionV>
            <wp:extent cx="7620000" cy="4181046"/>
            <wp:effectExtent l="0" t="0" r="0" b="0"/>
            <wp:wrapTopAndBottom distT="0" distB="0"/>
            <wp:docPr id="1073741825" name="officeArt object" descr="SA x Lifestyle (Figure 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A x Lifestyle (Figure 2).png" descr="SA x Lifestyle (Figure 2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81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ex, and ethnicity. Patients with more severe sexual abuse history have unhealthier lifestyles. 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Figure S2</w:t>
      </w:r>
      <w:r>
        <w:rPr>
          <w:rtl w:val="0"/>
          <w:lang w:val="en-US"/>
        </w:rPr>
        <w:t xml:space="preserve">. Sexual abuse and number of health behaviours </w:t>
      </w:r>
    </w:p>
    <w:p>
      <w:pPr>
        <w:pStyle w:val="Body A"/>
      </w:pPr>
      <w:r>
        <w:rPr>
          <w:rtl w:val="0"/>
          <w:lang w:val="en-US"/>
        </w:rPr>
        <w:t>ANCOVA, F = 3.15, p = 0.008, adjusted for age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719999</wp:posOffset>
            </wp:positionH>
            <wp:positionV relativeFrom="page">
              <wp:posOffset>923200</wp:posOffset>
            </wp:positionV>
            <wp:extent cx="6361723" cy="3562645"/>
            <wp:effectExtent l="0" t="0" r="0" b="0"/>
            <wp:wrapTopAndBottom distT="0" distB="0"/>
            <wp:docPr id="1073741826" name="officeArt object" descr="A graph with a lin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graph with a lineAI-generated content may be incorrect." descr="A graph with a line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6102"/>
                    <a:stretch>
                      <a:fillRect/>
                    </a:stretch>
                  </pic:blipFill>
                  <pic:spPr>
                    <a:xfrm>
                      <a:off x="0" y="0"/>
                      <a:ext cx="6361723" cy="3562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, sex, and ethnicity. Patients with more severe sexual abuse history have more unhealthy behaviours.  </w: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