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D15" w:rsidRDefault="00ED2B59">
      <w:pPr>
        <w:pStyle w:val="MDPI12titl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Design, Synthesis, Biological Evaluation, and </w:t>
      </w:r>
      <w:r w:rsidRPr="006561BC">
        <w:rPr>
          <w:rFonts w:ascii="Times New Roman" w:hAnsi="Times New Roman"/>
          <w:i/>
          <w:sz w:val="24"/>
          <w:szCs w:val="24"/>
        </w:rPr>
        <w:t>In Silico</w:t>
      </w:r>
      <w:r>
        <w:rPr>
          <w:rFonts w:ascii="Times New Roman" w:hAnsi="Times New Roman"/>
          <w:sz w:val="24"/>
          <w:szCs w:val="24"/>
        </w:rPr>
        <w:t xml:space="preserve"> Studies of Novel </w:t>
      </w:r>
      <w:proofErr w:type="spellStart"/>
      <w:r>
        <w:rPr>
          <w:rFonts w:ascii="Times New Roman" w:hAnsi="Times New Roman"/>
          <w:sz w:val="24"/>
          <w:szCs w:val="24"/>
        </w:rPr>
        <w:t>Phenylthiazole</w:t>
      </w:r>
      <w:proofErr w:type="spellEnd"/>
      <w:r>
        <w:rPr>
          <w:rFonts w:ascii="Times New Roman" w:hAnsi="Times New Roman"/>
          <w:sz w:val="24"/>
          <w:szCs w:val="24"/>
        </w:rPr>
        <w:t xml:space="preserve"> Derivatives as Multifunctional Skin-Whitening Agents</w:t>
      </w:r>
    </w:p>
    <w:p w:rsidR="009A4D15" w:rsidRDefault="00ED2B59">
      <w:pPr>
        <w:pStyle w:val="MDPI13authornames"/>
        <w:rPr>
          <w:rFonts w:ascii="Times New Roman" w:eastAsia="맑은 고딕" w:hAnsi="Times New Roman"/>
          <w:szCs w:val="20"/>
          <w:lang w:eastAsia="ko-KR"/>
        </w:rPr>
      </w:pPr>
      <w:r>
        <w:rPr>
          <w:rFonts w:ascii="Times New Roman" w:hAnsi="Times New Roman"/>
          <w:szCs w:val="20"/>
        </w:rPr>
        <w:t>Yang Xu</w:t>
      </w:r>
      <w:r>
        <w:rPr>
          <w:rFonts w:ascii="Times New Roman" w:hAnsi="Times New Roman"/>
          <w:szCs w:val="20"/>
          <w:vertAlign w:val="superscript"/>
        </w:rPr>
        <w:t xml:space="preserve"> 1</w:t>
      </w:r>
      <w:r>
        <w:rPr>
          <w:rFonts w:ascii="Times New Roman" w:hAnsi="Times New Roman"/>
          <w:szCs w:val="20"/>
        </w:rPr>
        <w:t xml:space="preserve">, </w:t>
      </w:r>
      <w:proofErr w:type="spellStart"/>
      <w:r>
        <w:rPr>
          <w:rFonts w:ascii="Times New Roman" w:hAnsi="Times New Roman"/>
          <w:szCs w:val="20"/>
        </w:rPr>
        <w:t>Xuhui</w:t>
      </w:r>
      <w:proofErr w:type="spellEnd"/>
      <w:r>
        <w:rPr>
          <w:rFonts w:ascii="Times New Roman" w:hAnsi="Times New Roman"/>
          <w:szCs w:val="20"/>
        </w:rPr>
        <w:t xml:space="preserve"> Liang</w:t>
      </w:r>
      <w:r>
        <w:rPr>
          <w:rFonts w:ascii="Times New Roman" w:hAnsi="Times New Roman"/>
          <w:szCs w:val="20"/>
          <w:vertAlign w:val="superscript"/>
        </w:rPr>
        <w:t>1</w:t>
      </w:r>
      <w:r>
        <w:rPr>
          <w:rFonts w:ascii="Times New Roman" w:hAnsi="Times New Roman"/>
          <w:szCs w:val="20"/>
        </w:rPr>
        <w:t xml:space="preserve"> and Chang-Gu Hyun </w:t>
      </w:r>
      <w:r>
        <w:rPr>
          <w:rFonts w:ascii="Times New Roman" w:eastAsia="맑은 고딕" w:hAnsi="Times New Roman"/>
          <w:szCs w:val="20"/>
          <w:vertAlign w:val="superscript"/>
          <w:lang w:eastAsia="ko-KR"/>
        </w:rPr>
        <w:t>1,2*</w:t>
      </w:r>
    </w:p>
    <w:p w:rsidR="009A4D15" w:rsidRDefault="00ED2B59">
      <w:pPr>
        <w:pStyle w:val="MDPI13authornames"/>
        <w:rPr>
          <w:rFonts w:ascii="Times New Roman" w:hAnsi="Times New Roman"/>
          <w:b w:val="0"/>
          <w:bCs/>
          <w:szCs w:val="20"/>
        </w:rPr>
      </w:pPr>
      <w:r>
        <w:rPr>
          <w:rFonts w:ascii="Times New Roman" w:hAnsi="Times New Roman"/>
          <w:b w:val="0"/>
          <w:bCs/>
          <w:szCs w:val="20"/>
          <w:vertAlign w:val="superscript"/>
        </w:rPr>
        <w:t>1</w:t>
      </w:r>
      <w:r>
        <w:rPr>
          <w:rFonts w:ascii="Times New Roman" w:eastAsia="맑은 고딕" w:hAnsi="Times New Roman"/>
          <w:b w:val="0"/>
          <w:bCs/>
          <w:szCs w:val="20"/>
          <w:vertAlign w:val="superscript"/>
          <w:lang w:eastAsia="ko-KR"/>
        </w:rPr>
        <w:t xml:space="preserve"> </w:t>
      </w:r>
      <w:proofErr w:type="spellStart"/>
      <w:r>
        <w:rPr>
          <w:rFonts w:ascii="Times New Roman" w:hAnsi="Times New Roman"/>
          <w:b w:val="0"/>
          <w:bCs/>
          <w:szCs w:val="20"/>
        </w:rPr>
        <w:t>Jeju</w:t>
      </w:r>
      <w:proofErr w:type="spellEnd"/>
      <w:r>
        <w:rPr>
          <w:rFonts w:ascii="Times New Roman" w:hAnsi="Times New Roman"/>
          <w:b w:val="0"/>
          <w:bCs/>
          <w:szCs w:val="20"/>
        </w:rPr>
        <w:t xml:space="preserve"> Inside Agency and Cosmetic Science Center, </w:t>
      </w:r>
      <w:proofErr w:type="spellStart"/>
      <w:r>
        <w:rPr>
          <w:rFonts w:ascii="Times New Roman" w:hAnsi="Times New Roman"/>
          <w:b w:val="0"/>
          <w:bCs/>
          <w:szCs w:val="20"/>
        </w:rPr>
        <w:t>Jeju</w:t>
      </w:r>
      <w:proofErr w:type="spellEnd"/>
      <w:r>
        <w:rPr>
          <w:rFonts w:ascii="Times New Roman" w:hAnsi="Times New Roman"/>
          <w:b w:val="0"/>
          <w:bCs/>
          <w:szCs w:val="20"/>
        </w:rPr>
        <w:t xml:space="preserve"> National University, </w:t>
      </w:r>
      <w:proofErr w:type="spellStart"/>
      <w:r>
        <w:rPr>
          <w:rFonts w:ascii="Times New Roman" w:hAnsi="Times New Roman"/>
          <w:b w:val="0"/>
          <w:bCs/>
          <w:szCs w:val="20"/>
        </w:rPr>
        <w:t>Jeju</w:t>
      </w:r>
      <w:proofErr w:type="spellEnd"/>
      <w:r>
        <w:rPr>
          <w:rFonts w:ascii="Times New Roman" w:eastAsia="맑은 고딕" w:hAnsi="Times New Roman"/>
          <w:b w:val="0"/>
          <w:bCs/>
          <w:szCs w:val="20"/>
          <w:lang w:eastAsia="ko-KR"/>
        </w:rPr>
        <w:t xml:space="preserve"> </w:t>
      </w:r>
      <w:r>
        <w:rPr>
          <w:rFonts w:ascii="Times New Roman" w:hAnsi="Times New Roman"/>
          <w:b w:val="0"/>
          <w:bCs/>
          <w:szCs w:val="20"/>
        </w:rPr>
        <w:t>63243, Korea</w:t>
      </w:r>
    </w:p>
    <w:p w:rsidR="009A4D15" w:rsidRDefault="00ED2B59">
      <w:pPr>
        <w:pStyle w:val="MDPI13authornames"/>
        <w:rPr>
          <w:rFonts w:ascii="Times New Roman" w:hAnsi="Times New Roman"/>
          <w:b w:val="0"/>
          <w:bCs/>
          <w:szCs w:val="20"/>
        </w:rPr>
      </w:pPr>
      <w:r>
        <w:rPr>
          <w:rFonts w:ascii="Times New Roman" w:hAnsi="Times New Roman"/>
          <w:b w:val="0"/>
          <w:bCs/>
          <w:szCs w:val="20"/>
          <w:vertAlign w:val="superscript"/>
        </w:rPr>
        <w:t>2</w:t>
      </w:r>
      <w:r>
        <w:rPr>
          <w:rFonts w:ascii="Times New Roman" w:eastAsia="맑은 고딕" w:hAnsi="Times New Roman"/>
          <w:b w:val="0"/>
          <w:bCs/>
          <w:szCs w:val="20"/>
          <w:vertAlign w:val="superscript"/>
          <w:lang w:eastAsia="ko-KR"/>
        </w:rPr>
        <w:t xml:space="preserve"> </w:t>
      </w:r>
      <w:r>
        <w:rPr>
          <w:rFonts w:ascii="Times New Roman" w:hAnsi="Times New Roman"/>
          <w:b w:val="0"/>
          <w:bCs/>
          <w:szCs w:val="20"/>
        </w:rPr>
        <w:t xml:space="preserve">Department of Beauty and Cosmetology, </w:t>
      </w:r>
      <w:proofErr w:type="spellStart"/>
      <w:r>
        <w:rPr>
          <w:rFonts w:ascii="Times New Roman" w:hAnsi="Times New Roman"/>
          <w:b w:val="0"/>
          <w:bCs/>
          <w:szCs w:val="20"/>
        </w:rPr>
        <w:t>Jeju</w:t>
      </w:r>
      <w:proofErr w:type="spellEnd"/>
      <w:r>
        <w:rPr>
          <w:rFonts w:ascii="Times New Roman" w:hAnsi="Times New Roman"/>
          <w:b w:val="0"/>
          <w:bCs/>
          <w:szCs w:val="20"/>
        </w:rPr>
        <w:t xml:space="preserve"> National University, </w:t>
      </w:r>
      <w:proofErr w:type="spellStart"/>
      <w:r>
        <w:rPr>
          <w:rFonts w:ascii="Times New Roman" w:hAnsi="Times New Roman"/>
          <w:b w:val="0"/>
          <w:bCs/>
          <w:szCs w:val="20"/>
        </w:rPr>
        <w:t>Jeju</w:t>
      </w:r>
      <w:proofErr w:type="spellEnd"/>
      <w:r>
        <w:rPr>
          <w:rFonts w:ascii="Times New Roman" w:hAnsi="Times New Roman"/>
          <w:b w:val="0"/>
          <w:bCs/>
          <w:szCs w:val="20"/>
        </w:rPr>
        <w:t xml:space="preserve"> 63243, Korea</w:t>
      </w:r>
    </w:p>
    <w:p w:rsidR="009A4D15" w:rsidRDefault="00ED2B59">
      <w:pPr>
        <w:pStyle w:val="MDPI13authornames"/>
        <w:rPr>
          <w:rFonts w:ascii="Times New Roman" w:eastAsia="맑은 고딕" w:hAnsi="Times New Roman"/>
          <w:b w:val="0"/>
          <w:bCs/>
          <w:szCs w:val="20"/>
          <w:lang w:eastAsia="ko-KR"/>
        </w:rPr>
        <w:sectPr w:rsidR="009A4D1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2"/>
          <w:cols w:space="425"/>
          <w:titlePg/>
          <w:docGrid w:type="lines" w:linePitch="312"/>
        </w:sectPr>
      </w:pPr>
      <w:r>
        <w:rPr>
          <w:rFonts w:ascii="Times New Roman" w:hAnsi="Times New Roman"/>
          <w:b w:val="0"/>
          <w:bCs/>
          <w:szCs w:val="20"/>
        </w:rPr>
        <w:t>*</w:t>
      </w:r>
      <w:r>
        <w:rPr>
          <w:rFonts w:ascii="Times New Roman" w:eastAsia="맑은 고딕" w:hAnsi="Times New Roman"/>
          <w:b w:val="0"/>
          <w:bCs/>
          <w:szCs w:val="20"/>
          <w:lang w:eastAsia="ko-KR"/>
        </w:rPr>
        <w:t xml:space="preserve"> </w:t>
      </w:r>
      <w:r>
        <w:rPr>
          <w:rFonts w:ascii="Times New Roman" w:hAnsi="Times New Roman"/>
          <w:b w:val="0"/>
          <w:bCs/>
          <w:szCs w:val="20"/>
        </w:rPr>
        <w:t>Correspondence: cghyun@jejunu.ac.kr; Tel.: +82-64-754-</w:t>
      </w:r>
      <w:r>
        <w:rPr>
          <w:rFonts w:ascii="Times New Roman" w:eastAsia="맑은 고딕" w:hAnsi="Times New Roman"/>
          <w:b w:val="0"/>
          <w:bCs/>
          <w:szCs w:val="20"/>
          <w:lang w:eastAsia="ko-KR"/>
        </w:rPr>
        <w:t>1803</w:t>
      </w:r>
    </w:p>
    <w:sdt>
      <w:sdtPr>
        <w:rPr>
          <w:rFonts w:ascii="Times New Roman" w:hAnsi="Times New Roman"/>
        </w:rPr>
        <w:id w:val="147461087"/>
        <w15:color w:val="DBDBDB"/>
        <w:docPartObj>
          <w:docPartGallery w:val="Table of Contents"/>
          <w:docPartUnique/>
        </w:docPartObj>
      </w:sdtPr>
      <w:sdtEndPr/>
      <w:sdtContent>
        <w:p w:rsidR="009A4D15" w:rsidRDefault="00ED2B59">
          <w:pPr>
            <w:spacing w:line="240" w:lineRule="auto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Supplementary materials</w:t>
          </w:r>
        </w:p>
        <w:p w:rsidR="00966C0A" w:rsidRDefault="00ED2B59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rFonts w:ascii="Times New Roman" w:eastAsia="SimSun" w:hAnsi="Times New Roman"/>
              <w:sz w:val="20"/>
              <w:szCs w:val="20"/>
            </w:rPr>
            <w:fldChar w:fldCharType="begin"/>
          </w:r>
          <w:r>
            <w:rPr>
              <w:rFonts w:ascii="Times New Roman" w:eastAsia="SimSun" w:hAnsi="Times New Roman"/>
              <w:sz w:val="20"/>
              <w:szCs w:val="20"/>
            </w:rPr>
            <w:instrText xml:space="preserve">TOC \o "1-1" \h \u </w:instrText>
          </w:r>
          <w:r>
            <w:rPr>
              <w:rFonts w:ascii="Times New Roman" w:eastAsia="SimSun" w:hAnsi="Times New Roman"/>
              <w:sz w:val="20"/>
              <w:szCs w:val="20"/>
            </w:rPr>
            <w:fldChar w:fldCharType="separate"/>
          </w:r>
          <w:hyperlink w:anchor="_Toc211341306" w:history="1">
            <w:r w:rsidR="00966C0A" w:rsidRPr="00A050CE">
              <w:rPr>
                <w:rStyle w:val="af3"/>
                <w:b/>
                <w:bCs/>
                <w:noProof/>
              </w:rPr>
              <w:t xml:space="preserve">Table S1. </w:t>
            </w:r>
            <w:r w:rsidR="00966C0A" w:rsidRPr="00A050CE">
              <w:rPr>
                <w:rStyle w:val="af3"/>
                <w:bCs/>
                <w:noProof/>
              </w:rPr>
              <w:t>Gradient elution of the mobile phase for the synthetic compounds using HPLC</w:t>
            </w:r>
            <w:r w:rsidR="00966C0A">
              <w:rPr>
                <w:noProof/>
              </w:rPr>
              <w:tab/>
            </w:r>
            <w:r w:rsidR="00966C0A">
              <w:rPr>
                <w:noProof/>
              </w:rPr>
              <w:fldChar w:fldCharType="begin"/>
            </w:r>
            <w:r w:rsidR="00966C0A">
              <w:rPr>
                <w:noProof/>
              </w:rPr>
              <w:instrText xml:space="preserve"> PAGEREF _Toc211341306 \h </w:instrText>
            </w:r>
            <w:r w:rsidR="00966C0A">
              <w:rPr>
                <w:noProof/>
              </w:rPr>
            </w:r>
            <w:r w:rsidR="00966C0A">
              <w:rPr>
                <w:noProof/>
              </w:rPr>
              <w:fldChar w:fldCharType="separate"/>
            </w:r>
            <w:r w:rsidR="00966C0A">
              <w:rPr>
                <w:noProof/>
              </w:rPr>
              <w:t>5</w:t>
            </w:r>
            <w:r w:rsidR="00966C0A"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07" w:history="1">
            <w:r w:rsidRPr="00A050CE">
              <w:rPr>
                <w:rStyle w:val="af3"/>
                <w:b/>
                <w:bCs/>
                <w:noProof/>
              </w:rPr>
              <w:t xml:space="preserve">Table S2. </w:t>
            </w:r>
            <w:r w:rsidRPr="00A050CE">
              <w:rPr>
                <w:rStyle w:val="af3"/>
                <w:bCs/>
                <w:noProof/>
              </w:rPr>
              <w:t>The stability of the synthesized compounds in aqueous solution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08" w:history="1">
            <w:r w:rsidRPr="00A050CE">
              <w:rPr>
                <w:rStyle w:val="af3"/>
                <w:b/>
                <w:bCs/>
                <w:noProof/>
              </w:rPr>
              <w:t xml:space="preserve">Figure S1. </w:t>
            </w:r>
            <w:r w:rsidRPr="00A050CE">
              <w:rPr>
                <w:rStyle w:val="af3"/>
                <w:noProof/>
              </w:rPr>
              <w:t>1H NMR of the 4-phenyl-2-(2-(propan-2-ylidene)hydrazineyl)thiazole (</w:t>
            </w:r>
            <w:r w:rsidRPr="00A050CE">
              <w:rPr>
                <w:rStyle w:val="af3"/>
                <w:b/>
                <w:bCs/>
                <w:noProof/>
              </w:rPr>
              <w:t>3a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09" w:history="1">
            <w:r w:rsidRPr="00A050CE">
              <w:rPr>
                <w:rStyle w:val="af3"/>
                <w:b/>
                <w:bCs/>
                <w:noProof/>
              </w:rPr>
              <w:t xml:space="preserve">Figure S2. </w:t>
            </w:r>
            <w:r w:rsidRPr="00A050CE">
              <w:rPr>
                <w:rStyle w:val="af3"/>
                <w:noProof/>
                <w:vertAlign w:val="superscript"/>
              </w:rPr>
              <w:t>13</w:t>
            </w:r>
            <w:r w:rsidRPr="00A050CE">
              <w:rPr>
                <w:rStyle w:val="af3"/>
                <w:noProof/>
              </w:rPr>
              <w:t xml:space="preserve">C NMR of the </w:t>
            </w:r>
            <w:r w:rsidRPr="00A050CE">
              <w:rPr>
                <w:rStyle w:val="af3"/>
                <w:rFonts w:eastAsia="SimSun"/>
                <w:noProof/>
                <w:lang w:bidi="ar"/>
              </w:rPr>
              <w:t>4-phenyl-2-(2-(propan-2-ylidene)hydrazineyl)thiazole (</w:t>
            </w:r>
            <w:r w:rsidRPr="00A050CE">
              <w:rPr>
                <w:rStyle w:val="af3"/>
                <w:rFonts w:eastAsia="SimSun"/>
                <w:b/>
                <w:bCs/>
                <w:noProof/>
                <w:lang w:bidi="ar"/>
              </w:rPr>
              <w:t>3a</w:t>
            </w:r>
            <w:r w:rsidRPr="00A050CE">
              <w:rPr>
                <w:rStyle w:val="af3"/>
                <w:rFonts w:eastAsia="SimSun"/>
                <w:noProof/>
                <w:lang w:bidi="ar"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0" w:history="1">
            <w:r w:rsidRPr="00A050CE">
              <w:rPr>
                <w:rStyle w:val="af3"/>
                <w:b/>
                <w:bCs/>
                <w:noProof/>
              </w:rPr>
              <w:t xml:space="preserve">Figure S3. </w:t>
            </w:r>
            <w:r w:rsidRPr="00A050CE">
              <w:rPr>
                <w:rStyle w:val="af3"/>
                <w:noProof/>
              </w:rPr>
              <w:t>HRMS of the 4-phenyl-2-(2-(propan-2-ylidene)hydrazineyl)thiazole (</w:t>
            </w:r>
            <w:r w:rsidRPr="00A050CE">
              <w:rPr>
                <w:rStyle w:val="af3"/>
                <w:b/>
                <w:bCs/>
                <w:noProof/>
              </w:rPr>
              <w:t>3a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1" w:history="1">
            <w:r>
              <w:rPr>
                <w:b/>
                <w:noProof/>
                <w:lang w:bidi="ar"/>
              </w:rPr>
              <w:object w:dxaOrig="9" w:dyaOrig="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.45pt;height:.45pt" o:ole="">
                  <v:imagedata r:id="rId14" o:title=""/>
                </v:shape>
                <o:OLEObject Type="Embed" ProgID="Excel.Sheet.12" ShapeID="_x0000_i1033" DrawAspect="Content" ObjectID="_1821954084" r:id="rId15"/>
              </w:object>
            </w:r>
            <w:r w:rsidRPr="00A050CE">
              <w:rPr>
                <w:rStyle w:val="af3"/>
                <w:b/>
                <w:noProof/>
              </w:rPr>
              <w:t xml:space="preserve">Figure S4. </w:t>
            </w:r>
            <w:r w:rsidRPr="00A050CE">
              <w:rPr>
                <w:rStyle w:val="af3"/>
                <w:noProof/>
                <w:vertAlign w:val="superscript"/>
              </w:rPr>
              <w:t>1</w:t>
            </w:r>
            <w:r w:rsidRPr="00A050CE">
              <w:rPr>
                <w:rStyle w:val="af3"/>
                <w:noProof/>
              </w:rPr>
              <w:t>H NMR of the 4-(4-methoxyphenyl)-2-(2-(propan-2-ylidene)hydrazineyl)thiazole (</w:t>
            </w:r>
            <w:r w:rsidRPr="00A050CE">
              <w:rPr>
                <w:rStyle w:val="af3"/>
                <w:b/>
                <w:noProof/>
              </w:rPr>
              <w:t>3b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2" w:history="1">
            <w:r w:rsidRPr="00A050CE">
              <w:rPr>
                <w:rStyle w:val="af3"/>
                <w:b/>
                <w:bCs/>
                <w:noProof/>
              </w:rPr>
              <w:t xml:space="preserve">Figure S5. </w:t>
            </w:r>
            <w:r w:rsidRPr="00A050CE">
              <w:rPr>
                <w:rStyle w:val="af3"/>
                <w:bCs/>
                <w:noProof/>
                <w:vertAlign w:val="superscript"/>
              </w:rPr>
              <w:t>13</w:t>
            </w:r>
            <w:r w:rsidRPr="00A050CE">
              <w:rPr>
                <w:rStyle w:val="af3"/>
                <w:bCs/>
                <w:noProof/>
              </w:rPr>
              <w:t>C NMR of the 4-(4-methoxyphenyl)-2-(2-(propan-2-ylidene)hydrazineyl)thiazole (</w:t>
            </w:r>
            <w:r w:rsidRPr="00A050CE">
              <w:rPr>
                <w:rStyle w:val="af3"/>
                <w:b/>
                <w:noProof/>
              </w:rPr>
              <w:t>3b</w:t>
            </w:r>
            <w:r w:rsidRPr="00A050CE">
              <w:rPr>
                <w:rStyle w:val="af3"/>
                <w:bCs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3" w:history="1">
            <w:r w:rsidRPr="00A050CE">
              <w:rPr>
                <w:rStyle w:val="af3"/>
                <w:b/>
                <w:bCs/>
                <w:noProof/>
              </w:rPr>
              <w:t xml:space="preserve">Figure S6. </w:t>
            </w:r>
            <w:r w:rsidRPr="00A050CE">
              <w:rPr>
                <w:rStyle w:val="af3"/>
                <w:noProof/>
              </w:rPr>
              <w:t>HRMS of the 4-(4-methoxyphenyl)-2-(2-(propan-2-ylidene)hydrazineyl)thiazole (</w:t>
            </w:r>
            <w:r w:rsidRPr="00A050CE">
              <w:rPr>
                <w:rStyle w:val="af3"/>
                <w:b/>
                <w:bCs/>
                <w:noProof/>
              </w:rPr>
              <w:t>3b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4" w:history="1">
            <w:r w:rsidRPr="00A050CE">
              <w:rPr>
                <w:rStyle w:val="af3"/>
                <w:b/>
                <w:bCs/>
                <w:noProof/>
              </w:rPr>
              <w:t>Figure S7.</w:t>
            </w:r>
            <w:r w:rsidRPr="00A050CE">
              <w:rPr>
                <w:rStyle w:val="af3"/>
                <w:noProof/>
                <w:vertAlign w:val="superscript"/>
              </w:rPr>
              <w:t xml:space="preserve"> 1</w:t>
            </w:r>
            <w:r w:rsidRPr="00A050CE">
              <w:rPr>
                <w:rStyle w:val="af3"/>
                <w:noProof/>
              </w:rPr>
              <w:t>H NMR of the 4-(2-(2-(propan-2-ylidene)hydrazineyl)thiazol-4-yl)phenol (</w:t>
            </w:r>
            <w:r w:rsidRPr="00A050CE">
              <w:rPr>
                <w:rStyle w:val="af3"/>
                <w:b/>
                <w:bCs/>
                <w:noProof/>
              </w:rPr>
              <w:t>3c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5" w:history="1">
            <w:r w:rsidRPr="00A050CE">
              <w:rPr>
                <w:rStyle w:val="af3"/>
                <w:b/>
                <w:bCs/>
                <w:noProof/>
              </w:rPr>
              <w:t xml:space="preserve">Figure S8. </w:t>
            </w:r>
            <w:r w:rsidRPr="00A050CE">
              <w:rPr>
                <w:rStyle w:val="af3"/>
                <w:noProof/>
                <w:vertAlign w:val="superscript"/>
              </w:rPr>
              <w:t>13</w:t>
            </w:r>
            <w:r w:rsidRPr="00A050CE">
              <w:rPr>
                <w:rStyle w:val="af3"/>
                <w:noProof/>
              </w:rPr>
              <w:t>C NMR of the 4-(2-(2-(propan-2-ylidene)hydrazineyl)thiazol-4-yl)phenol (</w:t>
            </w:r>
            <w:r w:rsidRPr="00A050CE">
              <w:rPr>
                <w:rStyle w:val="af3"/>
                <w:b/>
                <w:bCs/>
                <w:noProof/>
              </w:rPr>
              <w:t>3c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6" w:history="1">
            <w:r w:rsidRPr="00A050CE">
              <w:rPr>
                <w:rStyle w:val="af3"/>
                <w:b/>
                <w:bCs/>
                <w:noProof/>
              </w:rPr>
              <w:t xml:space="preserve">Figure S9. </w:t>
            </w:r>
            <w:r w:rsidRPr="00A050CE">
              <w:rPr>
                <w:rStyle w:val="af3"/>
                <w:noProof/>
              </w:rPr>
              <w:t>HRMS of the 4-(2-(2-(propan-2-ylidene)hydrazineyl)thiazol-4-yl)phenol (</w:t>
            </w:r>
            <w:r w:rsidRPr="00A050CE">
              <w:rPr>
                <w:rStyle w:val="af3"/>
                <w:b/>
                <w:bCs/>
                <w:noProof/>
              </w:rPr>
              <w:t>3c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7" w:history="1">
            <w:r w:rsidRPr="00A050CE">
              <w:rPr>
                <w:rStyle w:val="af3"/>
                <w:b/>
                <w:noProof/>
              </w:rPr>
              <w:t>Figure S10.</w:t>
            </w:r>
            <w:r w:rsidRPr="00A050CE">
              <w:rPr>
                <w:rStyle w:val="af3"/>
                <w:noProof/>
              </w:rPr>
              <w:t xml:space="preserve"> 1H NMR of the 3-(2-(2-(propan-2-ylidene)hydrazineyl)thiazol-4-yl)phenol (</w:t>
            </w:r>
            <w:r w:rsidRPr="00A050CE">
              <w:rPr>
                <w:rStyle w:val="af3"/>
                <w:b/>
                <w:noProof/>
              </w:rPr>
              <w:t>3d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8" w:history="1">
            <w:r w:rsidRPr="00A050CE">
              <w:rPr>
                <w:rStyle w:val="af3"/>
                <w:b/>
                <w:bCs/>
                <w:noProof/>
              </w:rPr>
              <w:t xml:space="preserve">Figure S11. </w:t>
            </w:r>
            <w:r w:rsidRPr="00A050CE">
              <w:rPr>
                <w:rStyle w:val="af3"/>
                <w:noProof/>
                <w:vertAlign w:val="superscript"/>
              </w:rPr>
              <w:t>13</w:t>
            </w:r>
            <w:r w:rsidRPr="00A050CE">
              <w:rPr>
                <w:rStyle w:val="af3"/>
                <w:noProof/>
              </w:rPr>
              <w:t>C NMR</w:t>
            </w:r>
            <w:r w:rsidRPr="00A050CE">
              <w:rPr>
                <w:rStyle w:val="af3"/>
                <w:bCs/>
                <w:noProof/>
              </w:rPr>
              <w:t xml:space="preserve"> of the 3-(2-(2-(propan-2-ylidene)hydrazineyl)thiazol-4-yl)phenol (</w:t>
            </w:r>
            <w:r w:rsidRPr="00A050CE">
              <w:rPr>
                <w:rStyle w:val="af3"/>
                <w:b/>
                <w:noProof/>
              </w:rPr>
              <w:t>3d</w:t>
            </w:r>
            <w:r w:rsidRPr="00A050CE">
              <w:rPr>
                <w:rStyle w:val="af3"/>
                <w:bCs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19" w:history="1">
            <w:r w:rsidRPr="00A050CE">
              <w:rPr>
                <w:rStyle w:val="af3"/>
                <w:b/>
                <w:bCs/>
                <w:noProof/>
              </w:rPr>
              <w:t xml:space="preserve">Figure S12. </w:t>
            </w:r>
            <w:r w:rsidRPr="00A050CE">
              <w:rPr>
                <w:rStyle w:val="af3"/>
                <w:noProof/>
              </w:rPr>
              <w:t>HRMS of the 3-(2-(2-(propan-2-ylidene)hydrazineyl)thiazol-4-yl)phenol (</w:t>
            </w:r>
            <w:r w:rsidRPr="00A050CE">
              <w:rPr>
                <w:rStyle w:val="af3"/>
                <w:b/>
                <w:bCs/>
                <w:noProof/>
              </w:rPr>
              <w:t>3d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0" w:history="1">
            <w:r w:rsidRPr="00A050CE">
              <w:rPr>
                <w:rStyle w:val="af3"/>
                <w:b/>
                <w:bCs/>
                <w:noProof/>
              </w:rPr>
              <w:t>Figure S13.</w:t>
            </w:r>
            <w:r w:rsidRPr="00A050CE">
              <w:rPr>
                <w:rStyle w:val="af3"/>
                <w:bCs/>
                <w:noProof/>
              </w:rPr>
              <w:t xml:space="preserve"> </w:t>
            </w:r>
            <w:r w:rsidRPr="00A050CE">
              <w:rPr>
                <w:rStyle w:val="af3"/>
                <w:bCs/>
                <w:noProof/>
                <w:vertAlign w:val="superscript"/>
              </w:rPr>
              <w:t>1</w:t>
            </w:r>
            <w:r w:rsidRPr="00A050CE">
              <w:rPr>
                <w:rStyle w:val="af3"/>
                <w:bCs/>
                <w:noProof/>
              </w:rPr>
              <w:t>H NMR of the 2-(2-(2-(propan-2-ylidene)hydrazineyl)thiazol-4-yl)phenol (</w:t>
            </w:r>
            <w:r w:rsidRPr="00A050CE">
              <w:rPr>
                <w:rStyle w:val="af3"/>
                <w:b/>
                <w:noProof/>
              </w:rPr>
              <w:t>3e</w:t>
            </w:r>
            <w:r w:rsidRPr="00A050CE">
              <w:rPr>
                <w:rStyle w:val="af3"/>
                <w:bCs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1" w:history="1">
            <w:r w:rsidRPr="00A050CE">
              <w:rPr>
                <w:rStyle w:val="af3"/>
                <w:b/>
                <w:noProof/>
              </w:rPr>
              <w:t xml:space="preserve">Figure S14. </w:t>
            </w:r>
            <w:r w:rsidRPr="00A050CE">
              <w:rPr>
                <w:rStyle w:val="af3"/>
                <w:noProof/>
                <w:vertAlign w:val="superscript"/>
              </w:rPr>
              <w:t>13</w:t>
            </w:r>
            <w:r w:rsidRPr="00A050CE">
              <w:rPr>
                <w:rStyle w:val="af3"/>
                <w:noProof/>
              </w:rPr>
              <w:t>C NMR of the 2-(2-(2-(propan-2-ylidene)hydrazineyl)thiazol-4-yl)phenol (</w:t>
            </w:r>
            <w:r w:rsidRPr="00A050CE">
              <w:rPr>
                <w:rStyle w:val="af3"/>
                <w:b/>
                <w:noProof/>
              </w:rPr>
              <w:t>3e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2" w:history="1">
            <w:r w:rsidRPr="00A050CE">
              <w:rPr>
                <w:rStyle w:val="af3"/>
                <w:b/>
                <w:bCs/>
                <w:noProof/>
              </w:rPr>
              <w:t xml:space="preserve">Figure S15. </w:t>
            </w:r>
            <w:r w:rsidRPr="00A050CE">
              <w:rPr>
                <w:rStyle w:val="af3"/>
                <w:bCs/>
                <w:noProof/>
              </w:rPr>
              <w:t>HRMS of the  2-(2-(2-(propan-2-ylidene)hydrazineyl)thiazol-4-yl)phenol (</w:t>
            </w:r>
            <w:r w:rsidRPr="00A050CE">
              <w:rPr>
                <w:rStyle w:val="af3"/>
                <w:b/>
                <w:noProof/>
              </w:rPr>
              <w:t>3e</w:t>
            </w:r>
            <w:r w:rsidRPr="00A050CE">
              <w:rPr>
                <w:rStyle w:val="af3"/>
                <w:bCs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3" w:history="1">
            <w:r w:rsidRPr="00A050CE">
              <w:rPr>
                <w:rStyle w:val="af3"/>
                <w:b/>
                <w:noProof/>
              </w:rPr>
              <w:t>Figure S16.</w:t>
            </w:r>
            <w:r w:rsidRPr="00A050CE">
              <w:rPr>
                <w:rStyle w:val="af3"/>
                <w:noProof/>
              </w:rPr>
              <w:t xml:space="preserve"> 1H NMR of the 4-(4-fluorophenyl)-2-(2-(propan-2-ylidene)hydrazineyl)thiazole (</w:t>
            </w:r>
            <w:r w:rsidRPr="00A050CE">
              <w:rPr>
                <w:rStyle w:val="af3"/>
                <w:b/>
                <w:noProof/>
              </w:rPr>
              <w:t>3f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4" w:history="1">
            <w:r w:rsidRPr="00A050CE">
              <w:rPr>
                <w:rStyle w:val="af3"/>
                <w:b/>
                <w:bCs/>
                <w:noProof/>
              </w:rPr>
              <w:t xml:space="preserve">Figure S17. </w:t>
            </w:r>
            <w:r w:rsidRPr="00A050CE">
              <w:rPr>
                <w:rStyle w:val="af3"/>
                <w:noProof/>
                <w:vertAlign w:val="superscript"/>
              </w:rPr>
              <w:t>13</w:t>
            </w:r>
            <w:r w:rsidRPr="00A050CE">
              <w:rPr>
                <w:rStyle w:val="af3"/>
                <w:noProof/>
              </w:rPr>
              <w:t>C NMR of the 4-(4-fluorophenyl)-2-(2-(propan-2-ylidene)hydrazineyl)thiazole (</w:t>
            </w:r>
            <w:r w:rsidRPr="00A050CE">
              <w:rPr>
                <w:rStyle w:val="af3"/>
                <w:b/>
                <w:bCs/>
                <w:noProof/>
              </w:rPr>
              <w:t>3f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5" w:history="1">
            <w:r w:rsidRPr="00A050CE">
              <w:rPr>
                <w:rStyle w:val="af3"/>
                <w:b/>
                <w:bCs/>
                <w:noProof/>
              </w:rPr>
              <w:t xml:space="preserve">Figure S18. </w:t>
            </w:r>
            <w:r w:rsidRPr="00A050CE">
              <w:rPr>
                <w:rStyle w:val="af3"/>
                <w:bCs/>
                <w:noProof/>
              </w:rPr>
              <w:t xml:space="preserve">HRMS of the </w:t>
            </w:r>
            <w:r w:rsidRPr="00A050CE">
              <w:rPr>
                <w:rStyle w:val="af3"/>
                <w:noProof/>
              </w:rPr>
              <w:t>4-(4-fluorophenyl)-2-(2-(propan-2-ylidene)hydrazineyl)thiazole (</w:t>
            </w:r>
            <w:r w:rsidRPr="00A050CE">
              <w:rPr>
                <w:rStyle w:val="af3"/>
                <w:b/>
                <w:bCs/>
                <w:noProof/>
              </w:rPr>
              <w:t>3f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6" w:history="1">
            <w:r w:rsidRPr="00A050CE">
              <w:rPr>
                <w:rStyle w:val="af3"/>
                <w:b/>
                <w:bCs/>
                <w:noProof/>
              </w:rPr>
              <w:t>Figure S19.</w:t>
            </w:r>
            <w:r w:rsidRPr="00A050CE">
              <w:rPr>
                <w:rStyle w:val="af3"/>
                <w:bCs/>
                <w:noProof/>
                <w:vertAlign w:val="superscript"/>
              </w:rPr>
              <w:t xml:space="preserve"> 1</w:t>
            </w:r>
            <w:r w:rsidRPr="00A050CE">
              <w:rPr>
                <w:rStyle w:val="af3"/>
                <w:bCs/>
                <w:noProof/>
              </w:rPr>
              <w:t>H NMR of the 4-fluoro-2-(2-(2-(propan-2-ylidene)hydrazineyl)thiazol-4-yl)phenol (</w:t>
            </w:r>
            <w:r w:rsidRPr="00A050CE">
              <w:rPr>
                <w:rStyle w:val="af3"/>
                <w:b/>
                <w:noProof/>
              </w:rPr>
              <w:t>3g</w:t>
            </w:r>
            <w:r w:rsidRPr="00A050CE">
              <w:rPr>
                <w:rStyle w:val="af3"/>
                <w:bCs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7" w:history="1">
            <w:r w:rsidRPr="00A050CE">
              <w:rPr>
                <w:rStyle w:val="af3"/>
                <w:b/>
                <w:bCs/>
                <w:noProof/>
              </w:rPr>
              <w:t xml:space="preserve">Figure S20. </w:t>
            </w:r>
            <w:r w:rsidRPr="00A050CE">
              <w:rPr>
                <w:rStyle w:val="af3"/>
                <w:noProof/>
                <w:vertAlign w:val="superscript"/>
              </w:rPr>
              <w:t>13</w:t>
            </w:r>
            <w:r w:rsidRPr="00A050CE">
              <w:rPr>
                <w:rStyle w:val="af3"/>
                <w:noProof/>
              </w:rPr>
              <w:t>C NMR of the 4-fluoro-2-(2-(2-(propan-2-ylidene)hydrazineyl)thiazol-4-yl)phenol (</w:t>
            </w:r>
            <w:r w:rsidRPr="00A050CE">
              <w:rPr>
                <w:rStyle w:val="af3"/>
                <w:b/>
                <w:bCs/>
                <w:noProof/>
              </w:rPr>
              <w:t>3g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8" w:history="1">
            <w:r w:rsidRPr="00A050CE">
              <w:rPr>
                <w:rStyle w:val="af3"/>
                <w:b/>
                <w:bCs/>
                <w:noProof/>
              </w:rPr>
              <w:t xml:space="preserve">Figure S21. </w:t>
            </w:r>
            <w:r w:rsidRPr="00A050CE">
              <w:rPr>
                <w:rStyle w:val="af3"/>
                <w:noProof/>
              </w:rPr>
              <w:t>HRMS of the 4-fluoro-2-(2-(2-(propan-2-ylidene)hydrazineyl)thiazol-4-yl)phenol (</w:t>
            </w:r>
            <w:r w:rsidRPr="00A050CE">
              <w:rPr>
                <w:rStyle w:val="af3"/>
                <w:b/>
                <w:bCs/>
                <w:noProof/>
              </w:rPr>
              <w:t>3g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29" w:history="1">
            <w:r w:rsidRPr="00A050CE">
              <w:rPr>
                <w:rStyle w:val="af3"/>
                <w:b/>
                <w:noProof/>
              </w:rPr>
              <w:t>Figure S22.</w:t>
            </w:r>
            <w:r w:rsidRPr="00A050CE">
              <w:rPr>
                <w:rStyle w:val="af3"/>
                <w:noProof/>
              </w:rPr>
              <w:t xml:space="preserve"> </w:t>
            </w:r>
            <w:r w:rsidRPr="00A050CE">
              <w:rPr>
                <w:rStyle w:val="af3"/>
                <w:noProof/>
                <w:vertAlign w:val="superscript"/>
              </w:rPr>
              <w:t>1</w:t>
            </w:r>
            <w:r w:rsidRPr="00A050CE">
              <w:rPr>
                <w:rStyle w:val="af3"/>
                <w:noProof/>
              </w:rPr>
              <w:t>H NMR of the 4-(3,4-dimethoxyphenyl)-2-(2-(propan-2-ylidene)hydrazineyl)thiazole (</w:t>
            </w:r>
            <w:r w:rsidRPr="00A050CE">
              <w:rPr>
                <w:rStyle w:val="af3"/>
                <w:b/>
                <w:noProof/>
              </w:rPr>
              <w:t>3h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_Toc211341329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30" w:history="1">
            <w:r w:rsidRPr="00A050CE">
              <w:rPr>
                <w:rStyle w:val="af3"/>
                <w:b/>
                <w:bCs/>
                <w:noProof/>
              </w:rPr>
              <w:t>Figure S23.</w:t>
            </w:r>
            <w:r w:rsidRPr="00A050CE">
              <w:rPr>
                <w:rStyle w:val="af3"/>
                <w:noProof/>
              </w:rPr>
              <w:t xml:space="preserve"> </w:t>
            </w:r>
            <w:r w:rsidRPr="00A050CE">
              <w:rPr>
                <w:rStyle w:val="af3"/>
                <w:noProof/>
                <w:vertAlign w:val="superscript"/>
              </w:rPr>
              <w:t>13</w:t>
            </w:r>
            <w:r w:rsidRPr="00A050CE">
              <w:rPr>
                <w:rStyle w:val="af3"/>
                <w:noProof/>
              </w:rPr>
              <w:t>C NMR of the 4-(3,4-dimethoxyphenyl)-2-(2-(propan-2-ylidene)hydrazineyl)thiazole (</w:t>
            </w:r>
            <w:r w:rsidRPr="00A050CE">
              <w:rPr>
                <w:rStyle w:val="af3"/>
                <w:b/>
                <w:bCs/>
                <w:noProof/>
              </w:rPr>
              <w:t>3h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_Toc211341330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31" w:history="1">
            <w:r w:rsidRPr="00A050CE">
              <w:rPr>
                <w:rStyle w:val="af3"/>
                <w:b/>
                <w:bCs/>
                <w:noProof/>
              </w:rPr>
              <w:t>Figure S24.</w:t>
            </w:r>
            <w:r w:rsidRPr="00A050CE">
              <w:rPr>
                <w:rStyle w:val="af3"/>
                <w:noProof/>
              </w:rPr>
              <w:t xml:space="preserve"> HRMS of the 4-(3,4-dimethoxyphenyl)-2-(2-(propan-2-ylidene)hydrazineyl)thiazole (</w:t>
            </w:r>
            <w:r w:rsidRPr="00A050CE">
              <w:rPr>
                <w:rStyle w:val="af3"/>
                <w:b/>
                <w:bCs/>
                <w:noProof/>
              </w:rPr>
              <w:t>3h</w:t>
            </w:r>
            <w:r w:rsidRPr="00A050CE">
              <w:rPr>
                <w:rStyle w:val="af3"/>
                <w:noProof/>
              </w:rPr>
              <w:t>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_Toc211341331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32" w:history="1">
            <w:r w:rsidRPr="00A050CE">
              <w:rPr>
                <w:rStyle w:val="af3"/>
                <w:b/>
                <w:bCs/>
                <w:noProof/>
              </w:rPr>
              <w:t xml:space="preserve">Figure S25. </w:t>
            </w:r>
            <w:r w:rsidRPr="00A050CE">
              <w:rPr>
                <w:rStyle w:val="af3"/>
                <w:noProof/>
              </w:rPr>
              <w:t>Antimelanogenic effects of compounds in B16F10 melanoma cells.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_Toc211341332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33" w:history="1">
            <w:r w:rsidRPr="00A050CE">
              <w:rPr>
                <w:rStyle w:val="af3"/>
                <w:b/>
                <w:bCs/>
                <w:noProof/>
              </w:rPr>
              <w:t xml:space="preserve">Figure S26. </w:t>
            </w:r>
            <w:r w:rsidRPr="00A050CE">
              <w:rPr>
                <w:rStyle w:val="af3"/>
                <w:noProof/>
              </w:rPr>
              <w:t xml:space="preserve">Synthesis compounds </w:t>
            </w:r>
            <w:r w:rsidRPr="00A050CE">
              <w:rPr>
                <w:rStyle w:val="af3"/>
                <w:b/>
                <w:bCs/>
                <w:noProof/>
              </w:rPr>
              <w:t>3a</w:t>
            </w:r>
            <w:r w:rsidRPr="00A050CE">
              <w:rPr>
                <w:rStyle w:val="af3"/>
                <w:noProof/>
              </w:rPr>
              <w:t>-</w:t>
            </w:r>
            <w:r w:rsidRPr="00A050CE">
              <w:rPr>
                <w:rStyle w:val="af3"/>
                <w:b/>
                <w:bCs/>
                <w:noProof/>
              </w:rPr>
              <w:t>3h</w:t>
            </w:r>
            <w:r w:rsidRPr="00A050CE">
              <w:rPr>
                <w:rStyle w:val="af3"/>
                <w:noProof/>
              </w:rPr>
              <w:t xml:space="preserve"> on NO producton and cell viability in LPS-induced RAW 264.7macrophage cells.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_Toc211341333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34" w:history="1">
            <w:r w:rsidRPr="00A050CE">
              <w:rPr>
                <w:rStyle w:val="af3"/>
                <w:b/>
                <w:bCs/>
                <w:noProof/>
              </w:rPr>
              <w:t xml:space="preserve">Figure S27. </w:t>
            </w:r>
            <w:r w:rsidRPr="00A050CE">
              <w:rPr>
                <w:rStyle w:val="af3"/>
                <w:noProof/>
              </w:rPr>
              <w:t>The inhibition percentage of DPPH by the synthesized compounds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_Toc211341334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966C0A" w:rsidRDefault="00966C0A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11341335" w:history="1">
            <w:r w:rsidRPr="00A050CE">
              <w:rPr>
                <w:rStyle w:val="af3"/>
                <w:b/>
                <w:bCs/>
                <w:noProof/>
              </w:rPr>
              <w:t>Figure S28.</w:t>
            </w:r>
            <w:r w:rsidRPr="00A050CE">
              <w:rPr>
                <w:rStyle w:val="af3"/>
                <w:noProof/>
              </w:rPr>
              <w:t xml:space="preserve"> HPLC chromatograms for stability evaluation of the synthesized compounds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_Toc211341335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9A4D15" w:rsidRDefault="00ED2B59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9A4D15" w:rsidRDefault="009A4D15"/>
    <w:p w:rsidR="009A4D15" w:rsidRDefault="009A4D15">
      <w:pPr>
        <w:pStyle w:val="1"/>
        <w:rPr>
          <w:b/>
          <w:bCs/>
          <w:sz w:val="20"/>
          <w:szCs w:val="20"/>
        </w:rPr>
      </w:pPr>
    </w:p>
    <w:p w:rsidR="009A4D15" w:rsidRDefault="009A4D15"/>
    <w:p w:rsidR="009A4D15" w:rsidRDefault="009A4D15"/>
    <w:p w:rsidR="006561BC" w:rsidRDefault="006561BC"/>
    <w:p w:rsidR="006561BC" w:rsidRDefault="006561BC"/>
    <w:p w:rsidR="006561BC" w:rsidRDefault="006561BC"/>
    <w:p w:rsidR="006561BC" w:rsidRDefault="006561BC"/>
    <w:p w:rsidR="006561BC" w:rsidRDefault="006561BC"/>
    <w:p w:rsidR="006561BC" w:rsidRDefault="006561BC"/>
    <w:p w:rsidR="006561BC" w:rsidRDefault="006561BC"/>
    <w:p w:rsidR="006561BC" w:rsidRDefault="006561BC"/>
    <w:p w:rsidR="006561BC" w:rsidRDefault="006561BC"/>
    <w:p w:rsidR="009A4D15" w:rsidRDefault="00ED2B59">
      <w:pPr>
        <w:pStyle w:val="1"/>
        <w:rPr>
          <w:bCs/>
          <w:sz w:val="20"/>
          <w:szCs w:val="20"/>
        </w:rPr>
      </w:pPr>
      <w:bookmarkStart w:id="1" w:name="_Toc211341306"/>
      <w:r>
        <w:rPr>
          <w:b/>
          <w:bCs/>
          <w:sz w:val="20"/>
          <w:szCs w:val="20"/>
        </w:rPr>
        <w:lastRenderedPageBreak/>
        <w:t xml:space="preserve">Table S1. </w:t>
      </w:r>
      <w:r>
        <w:rPr>
          <w:bCs/>
          <w:sz w:val="20"/>
          <w:szCs w:val="20"/>
        </w:rPr>
        <w:t>Gradient elution of the mobile phase for the synthetic compounds using HPLC</w:t>
      </w:r>
      <w:bookmarkEnd w:id="1"/>
    </w:p>
    <w:p w:rsidR="009A4D15" w:rsidRDefault="00ED2B59">
      <w:pPr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mobile phase consisted of solvent A (0.1% acetic acid in water) and solvent B (acetonitrile). Gradient elution was performed at a flow rate of 1.0 mL/min. </w:t>
      </w:r>
    </w:p>
    <w:p w:rsidR="009A4D15" w:rsidRDefault="009A4D15">
      <w:pPr>
        <w:rPr>
          <w:rFonts w:ascii="Times New Roman" w:hAnsi="Times New Roman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781"/>
        <w:gridCol w:w="2781"/>
      </w:tblGrid>
      <w:tr w:rsidR="009A4D15"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Time</w:t>
            </w:r>
          </w:p>
        </w:tc>
        <w:tc>
          <w:tcPr>
            <w:tcW w:w="3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Solution (A) %</w:t>
            </w:r>
          </w:p>
        </w:tc>
        <w:tc>
          <w:tcPr>
            <w:tcW w:w="3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Solution (B) %</w:t>
            </w:r>
          </w:p>
        </w:tc>
      </w:tr>
      <w:tr w:rsidR="009A4D15">
        <w:tc>
          <w:tcPr>
            <w:tcW w:w="3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to 10 min</w:t>
            </w:r>
          </w:p>
        </w:tc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9A4D15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to 20 min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9A4D15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to 28 min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9A4D15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to 30 min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</w:tr>
      <w:tr w:rsidR="009A4D15"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to 40 min</w:t>
            </w:r>
          </w:p>
        </w:tc>
        <w:tc>
          <w:tcPr>
            <w:tcW w:w="30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30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4D15" w:rsidRDefault="00ED2B59">
            <w:pPr>
              <w:spacing w:before="100" w:beforeAutospacing="1" w:after="20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9A4D15" w:rsidRDefault="009A4D15">
      <w:pPr>
        <w:rPr>
          <w:rFonts w:ascii="Times New Roman" w:hAnsi="Times New Roman"/>
        </w:rPr>
      </w:pPr>
    </w:p>
    <w:p w:rsidR="009A4D15" w:rsidRDefault="00ED2B59">
      <w:pPr>
        <w:pStyle w:val="1"/>
        <w:rPr>
          <w:bCs/>
          <w:sz w:val="20"/>
          <w:szCs w:val="20"/>
        </w:rPr>
      </w:pPr>
      <w:bookmarkStart w:id="2" w:name="_Toc211341307"/>
      <w:r>
        <w:rPr>
          <w:b/>
          <w:bCs/>
          <w:sz w:val="20"/>
          <w:szCs w:val="20"/>
        </w:rPr>
        <w:t xml:space="preserve">Table S2. </w:t>
      </w:r>
      <w:r>
        <w:rPr>
          <w:bCs/>
          <w:sz w:val="20"/>
          <w:szCs w:val="20"/>
        </w:rPr>
        <w:t>The stability of the synthesized compounds in aqueous solution</w:t>
      </w:r>
      <w:bookmarkEnd w:id="2"/>
      <w:r>
        <w:rPr>
          <w:bCs/>
          <w:sz w:val="20"/>
          <w:szCs w:val="20"/>
        </w:rPr>
        <w:t xml:space="preserve"> </w:t>
      </w:r>
    </w:p>
    <w:p w:rsidR="009A4D15" w:rsidRDefault="00ED2B59">
      <w:pPr>
        <w:pStyle w:val="ad"/>
        <w:adjustRightInd w:val="0"/>
        <w:snapToGrid w:val="0"/>
        <w:spacing w:line="228" w:lineRule="auto"/>
        <w:ind w:firstLineChars="200" w:firstLine="40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Each compound was dissolved in an acetonitrile–water (1:1, v/v) mixture, followed by sonication and filtration through a 0.22 </w:t>
      </w:r>
      <w:proofErr w:type="spellStart"/>
      <w:r>
        <w:rPr>
          <w:rFonts w:ascii="Times New Roman" w:hAnsi="Times New Roman"/>
          <w:sz w:val="20"/>
        </w:rPr>
        <w:t>μm</w:t>
      </w:r>
      <w:proofErr w:type="spellEnd"/>
      <w:r>
        <w:rPr>
          <w:rFonts w:ascii="Times New Roman" w:hAnsi="Times New Roman"/>
          <w:sz w:val="20"/>
        </w:rPr>
        <w:t xml:space="preserve"> membrane filter prior to analysis. The detection wavelength was set at 248 nm. Peak areas were quantified using the minimum area integration method.</w:t>
      </w:r>
    </w:p>
    <w:p w:rsidR="009A4D15" w:rsidRDefault="009A4D15">
      <w:pPr>
        <w:pStyle w:val="ad"/>
        <w:adjustRightInd w:val="0"/>
        <w:snapToGrid w:val="0"/>
        <w:spacing w:line="228" w:lineRule="auto"/>
        <w:rPr>
          <w:rFonts w:ascii="Times New Roman" w:hAnsi="Times New Roman"/>
          <w:sz w:val="20"/>
        </w:rPr>
      </w:pPr>
    </w:p>
    <w:tbl>
      <w:tblPr>
        <w:tblStyle w:val="af2"/>
        <w:tblW w:w="6979" w:type="dxa"/>
        <w:tblInd w:w="893" w:type="dxa"/>
        <w:tblLayout w:type="fixed"/>
        <w:tblLook w:val="04A0" w:firstRow="1" w:lastRow="0" w:firstColumn="1" w:lastColumn="0" w:noHBand="0" w:noVBand="1"/>
      </w:tblPr>
      <w:tblGrid>
        <w:gridCol w:w="1360"/>
        <w:gridCol w:w="1129"/>
        <w:gridCol w:w="1138"/>
        <w:gridCol w:w="1000"/>
        <w:gridCol w:w="1000"/>
        <w:gridCol w:w="1352"/>
      </w:tblGrid>
      <w:tr w:rsidR="009A4D15">
        <w:trPr>
          <w:trHeight w:val="173"/>
        </w:trPr>
        <w:tc>
          <w:tcPr>
            <w:tcW w:w="1360" w:type="dxa"/>
            <w:vMerge w:val="restart"/>
          </w:tcPr>
          <w:p w:rsidR="009A4D15" w:rsidRDefault="00ED2B59">
            <w:pPr>
              <w:spacing w:line="48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Compounds</w:t>
            </w:r>
          </w:p>
        </w:tc>
        <w:tc>
          <w:tcPr>
            <w:tcW w:w="2267" w:type="dxa"/>
            <w:gridSpan w:val="2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 day</w:t>
            </w:r>
          </w:p>
        </w:tc>
        <w:tc>
          <w:tcPr>
            <w:tcW w:w="2000" w:type="dxa"/>
            <w:gridSpan w:val="2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month</w:t>
            </w:r>
          </w:p>
        </w:tc>
        <w:tc>
          <w:tcPr>
            <w:tcW w:w="1352" w:type="dxa"/>
            <w:vMerge w:val="restart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Degradation</w:t>
            </w:r>
          </w:p>
          <w:p w:rsidR="009A4D15" w:rsidRDefault="00ED2B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(%)</w:t>
            </w:r>
          </w:p>
        </w:tc>
      </w:tr>
      <w:tr w:rsidR="009A4D15">
        <w:trPr>
          <w:trHeight w:val="138"/>
        </w:trPr>
        <w:tc>
          <w:tcPr>
            <w:tcW w:w="1360" w:type="dxa"/>
            <w:vMerge/>
          </w:tcPr>
          <w:p w:rsidR="009A4D15" w:rsidRDefault="009A4D1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RT </w:t>
            </w:r>
            <w:r>
              <w:rPr>
                <w:rFonts w:ascii="Times New Roman" w:hAnsi="Times New Roman"/>
              </w:rPr>
              <w:t>(min)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Area </w:t>
            </w:r>
            <w:r>
              <w:rPr>
                <w:rFonts w:ascii="Times New Roman" w:hAnsi="Times New Roman"/>
              </w:rPr>
              <w:t>(%)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RT </w:t>
            </w:r>
            <w:r>
              <w:rPr>
                <w:rFonts w:ascii="Times New Roman" w:hAnsi="Times New Roman"/>
              </w:rPr>
              <w:t>(min)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Area </w:t>
            </w:r>
            <w:r>
              <w:rPr>
                <w:rFonts w:ascii="Times New Roman" w:hAnsi="Times New Roman"/>
              </w:rPr>
              <w:t>(%)</w:t>
            </w:r>
          </w:p>
        </w:tc>
        <w:tc>
          <w:tcPr>
            <w:tcW w:w="1352" w:type="dxa"/>
            <w:vMerge/>
          </w:tcPr>
          <w:p w:rsidR="009A4D15" w:rsidRDefault="009A4D1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3a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30.837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95.60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30.862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87.50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8.10</w:t>
            </w: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3b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30.462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95.36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30.482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85.48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9.88</w:t>
            </w: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3c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26.237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96.93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26.205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87.31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9.62</w:t>
            </w: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3d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31.912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97.44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31.875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85.36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12.08</w:t>
            </w: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3e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26.813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96.73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26.780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85.21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11.52</w:t>
            </w: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3f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31.265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95.59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31.213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88.81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6.78</w:t>
            </w: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3g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32.185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96.68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32.184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84.32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12.36</w:t>
            </w:r>
          </w:p>
        </w:tc>
      </w:tr>
      <w:tr w:rsidR="009A4D15">
        <w:tc>
          <w:tcPr>
            <w:tcW w:w="136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3h</w:t>
            </w:r>
          </w:p>
        </w:tc>
        <w:tc>
          <w:tcPr>
            <w:tcW w:w="1129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28.815</w:t>
            </w:r>
          </w:p>
        </w:tc>
        <w:tc>
          <w:tcPr>
            <w:tcW w:w="1138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94.80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28.775</w:t>
            </w:r>
          </w:p>
        </w:tc>
        <w:tc>
          <w:tcPr>
            <w:tcW w:w="1000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88.46</w:t>
            </w:r>
          </w:p>
        </w:tc>
        <w:tc>
          <w:tcPr>
            <w:tcW w:w="1352" w:type="dxa"/>
          </w:tcPr>
          <w:p w:rsidR="009A4D15" w:rsidRDefault="00ED2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6.36</w:t>
            </w:r>
          </w:p>
        </w:tc>
      </w:tr>
    </w:tbl>
    <w:p w:rsidR="009A4D15" w:rsidRDefault="009A4D15">
      <w:pPr>
        <w:pStyle w:val="MDPI51figurecaption"/>
        <w:spacing w:before="0" w:after="0"/>
        <w:ind w:left="0"/>
        <w:rPr>
          <w:rFonts w:ascii="Times New Roman" w:eastAsia="SimSun" w:hAnsi="Times New Roman"/>
          <w:sz w:val="20"/>
        </w:rPr>
      </w:pPr>
    </w:p>
    <w:p w:rsidR="009A4D15" w:rsidRDefault="009A4D15">
      <w:pPr>
        <w:pStyle w:val="ad"/>
        <w:adjustRightInd w:val="0"/>
        <w:snapToGrid w:val="0"/>
        <w:spacing w:line="228" w:lineRule="auto"/>
        <w:rPr>
          <w:rFonts w:ascii="Times New Roman" w:hAnsi="Times New Roman"/>
          <w:snapToGrid w:val="0"/>
          <w:sz w:val="20"/>
        </w:rPr>
      </w:pPr>
    </w:p>
    <w:p w:rsidR="009A4D15" w:rsidRDefault="009A4D15">
      <w:pPr>
        <w:spacing w:line="228" w:lineRule="auto"/>
        <w:rPr>
          <w:rFonts w:ascii="Times New Roman" w:hAnsi="Times New Roman"/>
          <w:lang w:bidi="ar"/>
        </w:rPr>
        <w:sectPr w:rsidR="009A4D15">
          <w:foot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A4D15" w:rsidRDefault="00ED2B59">
      <w:pPr>
        <w:pStyle w:val="1"/>
        <w:rPr>
          <w:sz w:val="20"/>
          <w:szCs w:val="20"/>
        </w:rPr>
      </w:pPr>
      <w:bookmarkStart w:id="3" w:name="_Toc211341308"/>
      <w:r>
        <w:rPr>
          <w:b/>
          <w:bCs/>
          <w:sz w:val="20"/>
          <w:szCs w:val="20"/>
        </w:rPr>
        <w:lastRenderedPageBreak/>
        <w:t xml:space="preserve">Figure S1. </w:t>
      </w:r>
      <w:bookmarkStart w:id="4" w:name="OLE_LINK1"/>
      <w:r>
        <w:rPr>
          <w:sz w:val="20"/>
          <w:szCs w:val="20"/>
        </w:rPr>
        <w:t xml:space="preserve">1H </w:t>
      </w:r>
      <w:bookmarkEnd w:id="4"/>
      <w:r>
        <w:rPr>
          <w:sz w:val="20"/>
          <w:szCs w:val="20"/>
        </w:rPr>
        <w:t>NMR of the 4-phenyl-2-(2-(propan-2-</w:t>
      </w:r>
      <w:proofErr w:type="gramStart"/>
      <w:r>
        <w:rPr>
          <w:sz w:val="20"/>
          <w:szCs w:val="20"/>
        </w:rPr>
        <w:t>ylidene)</w:t>
      </w:r>
      <w:proofErr w:type="spellStart"/>
      <w:r>
        <w:rPr>
          <w:sz w:val="20"/>
          <w:szCs w:val="20"/>
        </w:rPr>
        <w:t>hydrazineyl</w:t>
      </w:r>
      <w:proofErr w:type="spellEnd"/>
      <w:proofErr w:type="gramEnd"/>
      <w:r>
        <w:rPr>
          <w:sz w:val="20"/>
          <w:szCs w:val="20"/>
        </w:rPr>
        <w:t>)</w:t>
      </w:r>
      <w:proofErr w:type="spellStart"/>
      <w:r>
        <w:rPr>
          <w:sz w:val="20"/>
          <w:szCs w:val="20"/>
        </w:rPr>
        <w:t>thiazole</w:t>
      </w:r>
      <w:proofErr w:type="spellEnd"/>
      <w:r>
        <w:rPr>
          <w:sz w:val="20"/>
          <w:szCs w:val="20"/>
        </w:rPr>
        <w:t xml:space="preserve"> (</w:t>
      </w:r>
      <w:r>
        <w:rPr>
          <w:b/>
          <w:bCs/>
          <w:sz w:val="20"/>
          <w:szCs w:val="20"/>
        </w:rPr>
        <w:t>3a</w:t>
      </w:r>
      <w:r>
        <w:rPr>
          <w:sz w:val="20"/>
          <w:szCs w:val="20"/>
        </w:rPr>
        <w:t>)</w:t>
      </w:r>
      <w:bookmarkEnd w:id="3"/>
    </w:p>
    <w:p w:rsidR="009A4D15" w:rsidRDefault="00ED2B59">
      <w:pPr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7" name="图片 7" descr="1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-3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  <w:rPr>
          <w:rFonts w:eastAsia="SimSun"/>
          <w:color w:val="000000"/>
          <w:sz w:val="20"/>
          <w:szCs w:val="20"/>
          <w:lang w:bidi="ar"/>
        </w:rPr>
      </w:pPr>
      <w:bookmarkStart w:id="5" w:name="_Toc211341309"/>
      <w:r>
        <w:rPr>
          <w:b/>
          <w:bCs/>
          <w:sz w:val="20"/>
          <w:szCs w:val="20"/>
        </w:rPr>
        <w:t xml:space="preserve">Figure S2.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 xml:space="preserve">C NMR of the </w:t>
      </w:r>
      <w:r>
        <w:rPr>
          <w:rFonts w:eastAsia="SimSun"/>
          <w:color w:val="000000"/>
          <w:sz w:val="20"/>
          <w:szCs w:val="20"/>
          <w:lang w:bidi="ar"/>
        </w:rPr>
        <w:t>4-phenyl-2-(2-(propan-2-</w:t>
      </w:r>
      <w:proofErr w:type="gramStart"/>
      <w:r>
        <w:rPr>
          <w:rFonts w:eastAsia="SimSun"/>
          <w:color w:val="000000"/>
          <w:sz w:val="20"/>
          <w:szCs w:val="20"/>
          <w:lang w:bidi="ar"/>
        </w:rPr>
        <w:t>ylidene)</w:t>
      </w:r>
      <w:proofErr w:type="spellStart"/>
      <w:r>
        <w:rPr>
          <w:rFonts w:eastAsia="SimSun"/>
          <w:color w:val="000000"/>
          <w:sz w:val="20"/>
          <w:szCs w:val="20"/>
          <w:lang w:bidi="ar"/>
        </w:rPr>
        <w:t>hydrazineyl</w:t>
      </w:r>
      <w:proofErr w:type="spellEnd"/>
      <w:proofErr w:type="gramEnd"/>
      <w:r>
        <w:rPr>
          <w:rFonts w:eastAsia="SimSun"/>
          <w:color w:val="000000"/>
          <w:sz w:val="20"/>
          <w:szCs w:val="20"/>
          <w:lang w:bidi="ar"/>
        </w:rPr>
        <w:t>)</w:t>
      </w:r>
      <w:proofErr w:type="spellStart"/>
      <w:r>
        <w:rPr>
          <w:rFonts w:eastAsia="SimSun"/>
          <w:color w:val="000000"/>
          <w:sz w:val="20"/>
          <w:szCs w:val="20"/>
          <w:lang w:bidi="ar"/>
        </w:rPr>
        <w:t>thiazole</w:t>
      </w:r>
      <w:proofErr w:type="spellEnd"/>
      <w:r>
        <w:rPr>
          <w:rFonts w:eastAsia="SimSun"/>
          <w:color w:val="000000"/>
          <w:sz w:val="20"/>
          <w:szCs w:val="20"/>
          <w:lang w:bidi="ar"/>
        </w:rPr>
        <w:t xml:space="preserve"> (</w:t>
      </w:r>
      <w:r>
        <w:rPr>
          <w:rFonts w:eastAsia="SimSun"/>
          <w:b/>
          <w:bCs/>
          <w:color w:val="000000"/>
          <w:sz w:val="20"/>
          <w:szCs w:val="20"/>
          <w:lang w:bidi="ar"/>
        </w:rPr>
        <w:t>3a</w:t>
      </w:r>
      <w:r>
        <w:rPr>
          <w:rFonts w:eastAsia="SimSun"/>
          <w:color w:val="000000"/>
          <w:sz w:val="20"/>
          <w:szCs w:val="20"/>
          <w:lang w:bidi="ar"/>
        </w:rPr>
        <w:t>)</w:t>
      </w:r>
      <w:bookmarkEnd w:id="5"/>
    </w:p>
    <w:p w:rsidR="009A4D15" w:rsidRDefault="009A4D15">
      <w:pPr>
        <w:rPr>
          <w:rFonts w:ascii="Times New Roman" w:hAnsi="Times New Roman"/>
        </w:rPr>
      </w:pPr>
    </w:p>
    <w:p w:rsidR="009A4D15" w:rsidRDefault="00ED2B59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8" name="图片 8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  <w:rPr>
          <w:sz w:val="20"/>
          <w:szCs w:val="20"/>
        </w:rPr>
      </w:pPr>
      <w:bookmarkStart w:id="6" w:name="_Toc211341310"/>
      <w:r>
        <w:rPr>
          <w:b/>
          <w:bCs/>
          <w:sz w:val="20"/>
          <w:szCs w:val="20"/>
        </w:rPr>
        <w:lastRenderedPageBreak/>
        <w:t xml:space="preserve">Figure S3. </w:t>
      </w:r>
      <w:r>
        <w:rPr>
          <w:sz w:val="20"/>
          <w:szCs w:val="20"/>
        </w:rPr>
        <w:t>HRMS of the 4-phenyl-2-(2-(propan-2-</w:t>
      </w:r>
      <w:proofErr w:type="gramStart"/>
      <w:r>
        <w:rPr>
          <w:sz w:val="20"/>
          <w:szCs w:val="20"/>
        </w:rPr>
        <w:t>ylidene)</w:t>
      </w:r>
      <w:proofErr w:type="spellStart"/>
      <w:r>
        <w:rPr>
          <w:sz w:val="20"/>
          <w:szCs w:val="20"/>
        </w:rPr>
        <w:t>hydrazineyl</w:t>
      </w:r>
      <w:proofErr w:type="spellEnd"/>
      <w:proofErr w:type="gramEnd"/>
      <w:r>
        <w:rPr>
          <w:sz w:val="20"/>
          <w:szCs w:val="20"/>
        </w:rPr>
        <w:t>)</w:t>
      </w:r>
      <w:proofErr w:type="spellStart"/>
      <w:r>
        <w:rPr>
          <w:sz w:val="20"/>
          <w:szCs w:val="20"/>
        </w:rPr>
        <w:t>thiazole</w:t>
      </w:r>
      <w:proofErr w:type="spellEnd"/>
      <w:r>
        <w:rPr>
          <w:sz w:val="20"/>
          <w:szCs w:val="20"/>
        </w:rPr>
        <w:t xml:space="preserve"> (</w:t>
      </w:r>
      <w:r>
        <w:rPr>
          <w:b/>
          <w:bCs/>
          <w:sz w:val="20"/>
          <w:szCs w:val="20"/>
        </w:rPr>
        <w:t>3a</w:t>
      </w:r>
      <w:r>
        <w:rPr>
          <w:sz w:val="20"/>
          <w:szCs w:val="20"/>
        </w:rPr>
        <w:t>)</w:t>
      </w:r>
      <w:bookmarkEnd w:id="6"/>
    </w:p>
    <w:p w:rsidR="009A4D15" w:rsidRDefault="00ED2B59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3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15" w:rsidRDefault="009A4D15">
      <w:pPr>
        <w:rPr>
          <w:rFonts w:ascii="Times New Roman" w:hAnsi="Times New Roman"/>
        </w:rPr>
      </w:pPr>
    </w:p>
    <w:bookmarkStart w:id="7" w:name="_Toc211341311"/>
    <w:p w:rsidR="009A4D15" w:rsidRDefault="00ED2B59" w:rsidP="007F6B13">
      <w:pPr>
        <w:pStyle w:val="1"/>
      </w:pPr>
      <w:r>
        <w:rPr>
          <w:rFonts w:eastAsiaTheme="minorEastAsia"/>
          <w:b/>
          <w:lang w:bidi="ar"/>
        </w:rPr>
        <w:object w:dxaOrig="9" w:dyaOrig="9">
          <v:shape id="_x0000_i1026" type="#_x0000_t75" style="width:.45pt;height:.45pt" o:ole="">
            <v:imagedata r:id="rId14" o:title=""/>
          </v:shape>
          <o:OLEObject Type="Embed" ProgID="Excel.Sheet.12" ShapeID="_x0000_i1026" DrawAspect="Content" ObjectID="_1821954085" r:id="rId20"/>
        </w:object>
      </w:r>
      <w:r>
        <w:rPr>
          <w:b/>
        </w:rPr>
        <w:t xml:space="preserve">Figure S4. </w:t>
      </w:r>
      <w:r>
        <w:rPr>
          <w:vertAlign w:val="superscript"/>
        </w:rPr>
        <w:t>1</w:t>
      </w:r>
      <w:r>
        <w:t>H NMR of the 4-(4-methoxyphenyl)-2-(2-(propan-2-</w:t>
      </w:r>
      <w:proofErr w:type="gramStart"/>
      <w:r>
        <w:t>ylidene)</w:t>
      </w:r>
      <w:proofErr w:type="spellStart"/>
      <w:r>
        <w:t>hydrazineyl</w:t>
      </w:r>
      <w:proofErr w:type="spellEnd"/>
      <w:proofErr w:type="gramEnd"/>
      <w:r>
        <w:t>)</w:t>
      </w:r>
      <w:proofErr w:type="spellStart"/>
      <w:r>
        <w:t>thiazole</w:t>
      </w:r>
      <w:proofErr w:type="spellEnd"/>
      <w:r>
        <w:t xml:space="preserve"> (</w:t>
      </w:r>
      <w:r>
        <w:rPr>
          <w:b/>
        </w:rPr>
        <w:t>3b</w:t>
      </w:r>
      <w:r>
        <w:t>)</w:t>
      </w:r>
      <w:bookmarkEnd w:id="7"/>
    </w:p>
    <w:p w:rsidR="009A4D15" w:rsidRDefault="009A4D15">
      <w:pPr>
        <w:spacing w:line="228" w:lineRule="auto"/>
        <w:rPr>
          <w:rFonts w:ascii="Times New Roman" w:hAnsi="Times New Roman"/>
          <w:lang w:bidi="ar"/>
        </w:rPr>
      </w:pPr>
    </w:p>
    <w:p w:rsidR="009A4D15" w:rsidRDefault="00ED2B59">
      <w:pPr>
        <w:jc w:val="left"/>
        <w:rPr>
          <w:rFonts w:ascii="Times New Roman" w:hAnsi="Times New Roman"/>
          <w:b/>
          <w:bCs/>
          <w:lang w:bidi="ar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31" name="图片 31" descr="2-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-3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  <w:rPr>
          <w:bCs/>
          <w:sz w:val="20"/>
          <w:szCs w:val="20"/>
        </w:rPr>
      </w:pPr>
      <w:bookmarkStart w:id="8" w:name="_Toc211341312"/>
      <w:r>
        <w:rPr>
          <w:b/>
          <w:bCs/>
          <w:sz w:val="20"/>
          <w:szCs w:val="20"/>
        </w:rPr>
        <w:lastRenderedPageBreak/>
        <w:t xml:space="preserve">Figure S5. </w:t>
      </w:r>
      <w:r>
        <w:rPr>
          <w:bCs/>
          <w:sz w:val="20"/>
          <w:szCs w:val="20"/>
          <w:vertAlign w:val="superscript"/>
        </w:rPr>
        <w:t>13</w:t>
      </w:r>
      <w:r>
        <w:rPr>
          <w:bCs/>
          <w:sz w:val="20"/>
          <w:szCs w:val="20"/>
        </w:rPr>
        <w:t>C NMR of the 4-(4-methoxyphenyl)-2-(2-(propan-2-</w:t>
      </w:r>
      <w:proofErr w:type="gramStart"/>
      <w:r>
        <w:rPr>
          <w:bCs/>
          <w:sz w:val="20"/>
          <w:szCs w:val="20"/>
        </w:rPr>
        <w:t>ylidene)</w:t>
      </w:r>
      <w:proofErr w:type="spellStart"/>
      <w:r>
        <w:rPr>
          <w:bCs/>
          <w:sz w:val="20"/>
          <w:szCs w:val="20"/>
        </w:rPr>
        <w:t>hydrazineyl</w:t>
      </w:r>
      <w:proofErr w:type="spellEnd"/>
      <w:proofErr w:type="gramEnd"/>
      <w:r>
        <w:rPr>
          <w:bCs/>
          <w:sz w:val="20"/>
          <w:szCs w:val="20"/>
        </w:rPr>
        <w:t>)</w:t>
      </w:r>
      <w:proofErr w:type="spellStart"/>
      <w:r>
        <w:rPr>
          <w:bCs/>
          <w:sz w:val="20"/>
          <w:szCs w:val="20"/>
        </w:rPr>
        <w:t>thiazole</w:t>
      </w:r>
      <w:proofErr w:type="spellEnd"/>
      <w:r>
        <w:rPr>
          <w:bCs/>
          <w:sz w:val="20"/>
          <w:szCs w:val="20"/>
        </w:rPr>
        <w:t xml:space="preserve"> (</w:t>
      </w:r>
      <w:r>
        <w:rPr>
          <w:b/>
          <w:sz w:val="20"/>
          <w:szCs w:val="20"/>
        </w:rPr>
        <w:t>3b</w:t>
      </w:r>
      <w:r>
        <w:rPr>
          <w:bCs/>
          <w:sz w:val="20"/>
          <w:szCs w:val="20"/>
        </w:rPr>
        <w:t>)</w:t>
      </w:r>
      <w:bookmarkEnd w:id="8"/>
    </w:p>
    <w:p w:rsidR="009A4D15" w:rsidRDefault="00ED2B59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33" name="图片 33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 w:rsidP="007F6B13">
      <w:pPr>
        <w:pStyle w:val="1"/>
      </w:pPr>
      <w:bookmarkStart w:id="9" w:name="_Toc211341313"/>
      <w:r>
        <w:rPr>
          <w:b/>
          <w:bCs/>
        </w:rPr>
        <w:t xml:space="preserve">Figure S6. </w:t>
      </w:r>
      <w:r>
        <w:t>HRMS of the 4-(4-methoxyphenyl)-2-(2-(propan-2-</w:t>
      </w:r>
      <w:proofErr w:type="gramStart"/>
      <w:r>
        <w:t>ylidene)</w:t>
      </w:r>
      <w:proofErr w:type="spellStart"/>
      <w:r>
        <w:t>hydrazineyl</w:t>
      </w:r>
      <w:proofErr w:type="spellEnd"/>
      <w:proofErr w:type="gramEnd"/>
      <w:r>
        <w:t>)</w:t>
      </w:r>
      <w:proofErr w:type="spellStart"/>
      <w:r>
        <w:t>thiazole</w:t>
      </w:r>
      <w:proofErr w:type="spellEnd"/>
      <w:r>
        <w:t xml:space="preserve"> (</w:t>
      </w:r>
      <w:r>
        <w:rPr>
          <w:b/>
          <w:bCs/>
        </w:rPr>
        <w:t>3b</w:t>
      </w:r>
      <w:r>
        <w:t>)</w:t>
      </w:r>
      <w:bookmarkEnd w:id="9"/>
    </w:p>
    <w:p w:rsidR="009A4D15" w:rsidRDefault="00ED2B59">
      <w:pPr>
        <w:rPr>
          <w:rFonts w:ascii="Times New Roman" w:hAnsi="Times New Roman"/>
          <w:lang w:bidi="ar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B13" w:rsidRDefault="007F6B13">
      <w:pPr>
        <w:rPr>
          <w:rFonts w:ascii="Times New Roman" w:hAnsi="Times New Roman"/>
          <w:lang w:bidi="ar"/>
        </w:rPr>
      </w:pPr>
    </w:p>
    <w:p w:rsidR="009A4D15" w:rsidRDefault="00ED2B59">
      <w:pPr>
        <w:pStyle w:val="1"/>
        <w:rPr>
          <w:rFonts w:eastAsia="SimSun"/>
          <w:color w:val="000000"/>
          <w:sz w:val="20"/>
          <w:szCs w:val="20"/>
          <w:lang w:bidi="ar"/>
        </w:rPr>
      </w:pPr>
      <w:bookmarkStart w:id="10" w:name="_Toc211341314"/>
      <w:r>
        <w:rPr>
          <w:b/>
          <w:bCs/>
          <w:sz w:val="20"/>
          <w:szCs w:val="20"/>
        </w:rPr>
        <w:lastRenderedPageBreak/>
        <w:t>Figure S7.</w:t>
      </w:r>
      <w:r>
        <w:rPr>
          <w:sz w:val="20"/>
          <w:szCs w:val="20"/>
          <w:vertAlign w:val="superscript"/>
        </w:rPr>
        <w:t xml:space="preserve"> 1</w:t>
      </w:r>
      <w:r>
        <w:rPr>
          <w:sz w:val="20"/>
          <w:szCs w:val="20"/>
        </w:rPr>
        <w:t>H NMR of the 4-(2-(2-(propan-2-</w:t>
      </w:r>
      <w:proofErr w:type="gramStart"/>
      <w:r>
        <w:rPr>
          <w:sz w:val="20"/>
          <w:szCs w:val="20"/>
        </w:rPr>
        <w:t>ylidene)</w:t>
      </w:r>
      <w:proofErr w:type="spellStart"/>
      <w:r>
        <w:rPr>
          <w:sz w:val="20"/>
          <w:szCs w:val="20"/>
        </w:rPr>
        <w:t>hydrazineyl</w:t>
      </w:r>
      <w:proofErr w:type="spellEnd"/>
      <w:proofErr w:type="gramEnd"/>
      <w:r>
        <w:rPr>
          <w:sz w:val="20"/>
          <w:szCs w:val="20"/>
        </w:rPr>
        <w:t>)thiazol-4-yl)phenol (</w:t>
      </w:r>
      <w:r>
        <w:rPr>
          <w:b/>
          <w:bCs/>
          <w:sz w:val="20"/>
          <w:szCs w:val="20"/>
        </w:rPr>
        <w:t>3c</w:t>
      </w:r>
      <w:r>
        <w:rPr>
          <w:sz w:val="20"/>
          <w:szCs w:val="20"/>
        </w:rPr>
        <w:t>)</w:t>
      </w:r>
      <w:bookmarkEnd w:id="10"/>
    </w:p>
    <w:p w:rsidR="009A4D15" w:rsidRDefault="009A4D15">
      <w:pPr>
        <w:rPr>
          <w:rFonts w:ascii="Times New Roman" w:hAnsi="Times New Roman"/>
        </w:rPr>
      </w:pPr>
    </w:p>
    <w:p w:rsidR="009A4D15" w:rsidRDefault="00ED2B59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34" name="图片 34" descr="3-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-3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 w:rsidP="007F6B13">
      <w:pPr>
        <w:pStyle w:val="1"/>
      </w:pPr>
      <w:bookmarkStart w:id="11" w:name="_Toc211341315"/>
      <w:r>
        <w:rPr>
          <w:b/>
          <w:bCs/>
        </w:rPr>
        <w:t xml:space="preserve">Figure S8. </w:t>
      </w:r>
      <w:r>
        <w:rPr>
          <w:vertAlign w:val="superscript"/>
        </w:rPr>
        <w:t>13</w:t>
      </w:r>
      <w:r>
        <w:t>C NMR of the 4-(2-(2-(propan-2-</w:t>
      </w:r>
      <w:proofErr w:type="gramStart"/>
      <w:r>
        <w:t>ylidene)</w:t>
      </w:r>
      <w:proofErr w:type="spellStart"/>
      <w:r>
        <w:t>hydrazineyl</w:t>
      </w:r>
      <w:proofErr w:type="spellEnd"/>
      <w:proofErr w:type="gramEnd"/>
      <w:r>
        <w:t>)thiazol-4-yl)phenol (</w:t>
      </w:r>
      <w:r>
        <w:rPr>
          <w:b/>
          <w:bCs/>
        </w:rPr>
        <w:t>3c</w:t>
      </w:r>
      <w:r>
        <w:t>)</w:t>
      </w:r>
      <w:bookmarkEnd w:id="11"/>
    </w:p>
    <w:p w:rsidR="009A4D15" w:rsidRDefault="00ED2B59">
      <w:pPr>
        <w:rPr>
          <w:rFonts w:ascii="Times New Roman" w:hAnsi="Times New Roman"/>
          <w:lang w:bidi="ar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35" name="图片 35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9A4D15">
      <w:pPr>
        <w:rPr>
          <w:rFonts w:ascii="Times New Roman" w:hAnsi="Times New Roman"/>
          <w:b/>
          <w:bCs/>
        </w:rPr>
      </w:pPr>
    </w:p>
    <w:p w:rsidR="009A4D15" w:rsidRDefault="00ED2B59">
      <w:pPr>
        <w:pStyle w:val="1"/>
        <w:rPr>
          <w:sz w:val="20"/>
          <w:szCs w:val="20"/>
        </w:rPr>
      </w:pPr>
      <w:bookmarkStart w:id="12" w:name="_Toc211341316"/>
      <w:r>
        <w:rPr>
          <w:b/>
          <w:bCs/>
          <w:sz w:val="20"/>
          <w:szCs w:val="20"/>
        </w:rPr>
        <w:lastRenderedPageBreak/>
        <w:t xml:space="preserve">Figure S9. </w:t>
      </w:r>
      <w:r>
        <w:rPr>
          <w:sz w:val="20"/>
          <w:szCs w:val="20"/>
        </w:rPr>
        <w:t>HRMS of the 4-(2-(2-(propan-2-</w:t>
      </w:r>
      <w:proofErr w:type="gramStart"/>
      <w:r>
        <w:rPr>
          <w:sz w:val="20"/>
          <w:szCs w:val="20"/>
        </w:rPr>
        <w:t>ylidene)</w:t>
      </w:r>
      <w:proofErr w:type="spellStart"/>
      <w:r>
        <w:rPr>
          <w:sz w:val="20"/>
          <w:szCs w:val="20"/>
        </w:rPr>
        <w:t>hydrazineyl</w:t>
      </w:r>
      <w:proofErr w:type="spellEnd"/>
      <w:proofErr w:type="gramEnd"/>
      <w:r>
        <w:rPr>
          <w:sz w:val="20"/>
          <w:szCs w:val="20"/>
        </w:rPr>
        <w:t>)thiazol-4-yl)phenol (</w:t>
      </w:r>
      <w:r>
        <w:rPr>
          <w:b/>
          <w:bCs/>
          <w:sz w:val="20"/>
          <w:szCs w:val="20"/>
        </w:rPr>
        <w:t>3c</w:t>
      </w:r>
      <w:r>
        <w:rPr>
          <w:sz w:val="20"/>
          <w:szCs w:val="20"/>
        </w:rPr>
        <w:t>)</w:t>
      </w:r>
      <w:bookmarkEnd w:id="12"/>
    </w:p>
    <w:p w:rsidR="007F6B13" w:rsidRDefault="00ED2B59">
      <w:pPr>
        <w:rPr>
          <w:rStyle w:val="1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B13" w:rsidRDefault="007F6B13">
      <w:pPr>
        <w:rPr>
          <w:rStyle w:val="10"/>
        </w:rPr>
      </w:pPr>
    </w:p>
    <w:p w:rsidR="009A4D15" w:rsidRDefault="00ED2B59" w:rsidP="007F6B13">
      <w:pPr>
        <w:pStyle w:val="1"/>
        <w:rPr>
          <w:b/>
          <w:bCs/>
        </w:rPr>
      </w:pPr>
      <w:bookmarkStart w:id="13" w:name="_Toc211341317"/>
      <w:r w:rsidRPr="007F6B13">
        <w:rPr>
          <w:rStyle w:val="10"/>
          <w:b/>
        </w:rPr>
        <w:t>Figure S10.</w:t>
      </w:r>
      <w:r w:rsidRPr="007F6B13">
        <w:rPr>
          <w:rStyle w:val="10"/>
        </w:rPr>
        <w:t xml:space="preserve"> 1H NMR of the 3-(2-(2-(propan-2-</w:t>
      </w:r>
      <w:proofErr w:type="gramStart"/>
      <w:r w:rsidRPr="007F6B13">
        <w:rPr>
          <w:rStyle w:val="10"/>
        </w:rPr>
        <w:t>ylidene)</w:t>
      </w:r>
      <w:proofErr w:type="spellStart"/>
      <w:r w:rsidRPr="007F6B13">
        <w:rPr>
          <w:rStyle w:val="10"/>
        </w:rPr>
        <w:t>hydrazineyl</w:t>
      </w:r>
      <w:proofErr w:type="spellEnd"/>
      <w:proofErr w:type="gramEnd"/>
      <w:r w:rsidRPr="007F6B13">
        <w:rPr>
          <w:rStyle w:val="10"/>
        </w:rPr>
        <w:t>)thiazol-4-yl)phenol (</w:t>
      </w:r>
      <w:r w:rsidRPr="007F6B13">
        <w:rPr>
          <w:rStyle w:val="10"/>
          <w:b/>
        </w:rPr>
        <w:t>3d</w:t>
      </w:r>
      <w:r w:rsidRPr="007F6B13">
        <w:rPr>
          <w:rStyle w:val="10"/>
        </w:rPr>
        <w:t>)</w:t>
      </w:r>
      <w:bookmarkEnd w:id="13"/>
    </w:p>
    <w:p w:rsidR="009A4D15" w:rsidRDefault="009A4D15">
      <w:pPr>
        <w:spacing w:line="228" w:lineRule="auto"/>
        <w:rPr>
          <w:rFonts w:ascii="Times New Roman" w:hAnsi="Times New Roman"/>
          <w:lang w:bidi="ar"/>
        </w:rPr>
      </w:pPr>
    </w:p>
    <w:p w:rsidR="009A4D15" w:rsidRDefault="00ED2B59">
      <w:pPr>
        <w:spacing w:line="228" w:lineRule="auto"/>
        <w:rPr>
          <w:rFonts w:ascii="Times New Roman" w:hAnsi="Times New Roman"/>
          <w:lang w:bidi="ar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38" name="图片 38" descr="5-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-3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9A4D15">
      <w:pPr>
        <w:spacing w:line="228" w:lineRule="auto"/>
        <w:jc w:val="center"/>
        <w:rPr>
          <w:rFonts w:ascii="Times New Roman" w:hAnsi="Times New Roman"/>
          <w:lang w:bidi="ar"/>
        </w:rPr>
      </w:pPr>
    </w:p>
    <w:p w:rsidR="009A4D15" w:rsidRDefault="00ED2B59">
      <w:pPr>
        <w:pStyle w:val="1"/>
        <w:rPr>
          <w:sz w:val="20"/>
          <w:szCs w:val="20"/>
          <w:lang w:bidi="ar"/>
        </w:rPr>
      </w:pPr>
      <w:bookmarkStart w:id="14" w:name="_Toc211341318"/>
      <w:r>
        <w:rPr>
          <w:b/>
          <w:bCs/>
          <w:sz w:val="20"/>
          <w:szCs w:val="20"/>
        </w:rPr>
        <w:lastRenderedPageBreak/>
        <w:t xml:space="preserve">Figure S11.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 NMR</w:t>
      </w:r>
      <w:r>
        <w:rPr>
          <w:bCs/>
          <w:sz w:val="20"/>
          <w:szCs w:val="20"/>
        </w:rPr>
        <w:t xml:space="preserve"> of the 3-(2-(2-(propan-2-</w:t>
      </w:r>
      <w:proofErr w:type="gramStart"/>
      <w:r>
        <w:rPr>
          <w:bCs/>
          <w:sz w:val="20"/>
          <w:szCs w:val="20"/>
        </w:rPr>
        <w:t>ylidene)</w:t>
      </w:r>
      <w:proofErr w:type="spellStart"/>
      <w:r>
        <w:rPr>
          <w:bCs/>
          <w:sz w:val="20"/>
          <w:szCs w:val="20"/>
        </w:rPr>
        <w:t>hydrazineyl</w:t>
      </w:r>
      <w:proofErr w:type="spellEnd"/>
      <w:proofErr w:type="gramEnd"/>
      <w:r>
        <w:rPr>
          <w:bCs/>
          <w:sz w:val="20"/>
          <w:szCs w:val="20"/>
        </w:rPr>
        <w:t>)thiazol-4-yl)phenol (</w:t>
      </w:r>
      <w:r>
        <w:rPr>
          <w:b/>
          <w:sz w:val="20"/>
          <w:szCs w:val="20"/>
        </w:rPr>
        <w:t>3d</w:t>
      </w:r>
      <w:r>
        <w:rPr>
          <w:bCs/>
          <w:sz w:val="20"/>
          <w:szCs w:val="20"/>
        </w:rPr>
        <w:t>)</w:t>
      </w:r>
      <w:bookmarkEnd w:id="14"/>
    </w:p>
    <w:p w:rsidR="009A4D15" w:rsidRDefault="00ED2B59">
      <w:pPr>
        <w:spacing w:line="22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37" name="图片 37" descr="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 w:rsidP="007F6B13">
      <w:pPr>
        <w:pStyle w:val="1"/>
      </w:pPr>
      <w:bookmarkStart w:id="15" w:name="_Toc211341319"/>
      <w:r>
        <w:rPr>
          <w:b/>
          <w:bCs/>
        </w:rPr>
        <w:t xml:space="preserve">Figure S12. </w:t>
      </w:r>
      <w:r>
        <w:t>HRMS of the 3-(2-(2-(propan-2-</w:t>
      </w:r>
      <w:proofErr w:type="gramStart"/>
      <w:r>
        <w:t>ylidene)</w:t>
      </w:r>
      <w:proofErr w:type="spellStart"/>
      <w:r>
        <w:t>hydrazineyl</w:t>
      </w:r>
      <w:proofErr w:type="spellEnd"/>
      <w:proofErr w:type="gramEnd"/>
      <w:r>
        <w:t>)thiazol-4-yl)phenol (</w:t>
      </w:r>
      <w:r>
        <w:rPr>
          <w:b/>
          <w:bCs/>
        </w:rPr>
        <w:t>3d</w:t>
      </w:r>
      <w:r>
        <w:t>)</w:t>
      </w:r>
      <w:bookmarkEnd w:id="15"/>
    </w:p>
    <w:p w:rsidR="009A4D15" w:rsidRPr="007F6B13" w:rsidRDefault="00ED2B59" w:rsidP="007F6B1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  <w:rPr>
          <w:sz w:val="20"/>
          <w:szCs w:val="20"/>
          <w:lang w:bidi="ar"/>
        </w:rPr>
      </w:pPr>
      <w:bookmarkStart w:id="16" w:name="_Toc211341320"/>
      <w:r>
        <w:rPr>
          <w:b/>
          <w:bCs/>
          <w:sz w:val="20"/>
          <w:szCs w:val="20"/>
        </w:rPr>
        <w:lastRenderedPageBreak/>
        <w:t>Figure S13.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H NMR of the 2-(2-(2-(propan-2-</w:t>
      </w:r>
      <w:proofErr w:type="gramStart"/>
      <w:r>
        <w:rPr>
          <w:bCs/>
          <w:sz w:val="20"/>
          <w:szCs w:val="20"/>
        </w:rPr>
        <w:t>ylidene)</w:t>
      </w:r>
      <w:proofErr w:type="spellStart"/>
      <w:r>
        <w:rPr>
          <w:bCs/>
          <w:sz w:val="20"/>
          <w:szCs w:val="20"/>
        </w:rPr>
        <w:t>hydrazineyl</w:t>
      </w:r>
      <w:proofErr w:type="spellEnd"/>
      <w:proofErr w:type="gramEnd"/>
      <w:r>
        <w:rPr>
          <w:bCs/>
          <w:sz w:val="20"/>
          <w:szCs w:val="20"/>
        </w:rPr>
        <w:t>)thiazol-4-yl)phenol (</w:t>
      </w:r>
      <w:r>
        <w:rPr>
          <w:b/>
          <w:sz w:val="20"/>
          <w:szCs w:val="20"/>
        </w:rPr>
        <w:t>3e</w:t>
      </w:r>
      <w:r>
        <w:rPr>
          <w:bCs/>
          <w:sz w:val="20"/>
          <w:szCs w:val="20"/>
        </w:rPr>
        <w:t>)</w:t>
      </w:r>
      <w:bookmarkEnd w:id="16"/>
    </w:p>
    <w:p w:rsidR="009A4D15" w:rsidRDefault="00ED2B59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39" name="图片 39" descr="4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-3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 w:rsidP="007F6B13">
      <w:pPr>
        <w:pStyle w:val="1"/>
        <w:rPr>
          <w:b/>
        </w:rPr>
      </w:pPr>
      <w:bookmarkStart w:id="17" w:name="_Toc211341321"/>
      <w:r>
        <w:rPr>
          <w:b/>
        </w:rPr>
        <w:t xml:space="preserve">Figure S14. </w:t>
      </w:r>
      <w:r>
        <w:rPr>
          <w:vertAlign w:val="superscript"/>
        </w:rPr>
        <w:t>13</w:t>
      </w:r>
      <w:r>
        <w:t>C NMR of the 2-(2-(2-(propan-2-</w:t>
      </w:r>
      <w:proofErr w:type="gramStart"/>
      <w:r>
        <w:t>ylidene)</w:t>
      </w:r>
      <w:proofErr w:type="spellStart"/>
      <w:r>
        <w:t>hydrazineyl</w:t>
      </w:r>
      <w:proofErr w:type="spellEnd"/>
      <w:proofErr w:type="gramEnd"/>
      <w:r>
        <w:t>)thiazol-4-yl)phenol (</w:t>
      </w:r>
      <w:r>
        <w:rPr>
          <w:b/>
        </w:rPr>
        <w:t>3e</w:t>
      </w:r>
      <w:r>
        <w:t>)</w:t>
      </w:r>
      <w:bookmarkEnd w:id="17"/>
    </w:p>
    <w:p w:rsidR="009A4D15" w:rsidRDefault="00ED2B59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40" name="图片 40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  <w:rPr>
          <w:sz w:val="20"/>
          <w:szCs w:val="20"/>
          <w:lang w:bidi="ar"/>
        </w:rPr>
      </w:pPr>
      <w:bookmarkStart w:id="18" w:name="_Toc211341322"/>
      <w:r>
        <w:rPr>
          <w:b/>
          <w:bCs/>
          <w:sz w:val="20"/>
          <w:szCs w:val="20"/>
        </w:rPr>
        <w:lastRenderedPageBreak/>
        <w:t xml:space="preserve">Figure S15. </w:t>
      </w:r>
      <w:r>
        <w:rPr>
          <w:bCs/>
          <w:sz w:val="20"/>
          <w:szCs w:val="20"/>
        </w:rPr>
        <w:t xml:space="preserve">HRMS of </w:t>
      </w:r>
      <w:proofErr w:type="gramStart"/>
      <w:r>
        <w:rPr>
          <w:bCs/>
          <w:sz w:val="20"/>
          <w:szCs w:val="20"/>
        </w:rPr>
        <w:t>the  2</w:t>
      </w:r>
      <w:proofErr w:type="gramEnd"/>
      <w:r>
        <w:rPr>
          <w:bCs/>
          <w:sz w:val="20"/>
          <w:szCs w:val="20"/>
        </w:rPr>
        <w:t>-(2-(2-(propan-2-ylidene)</w:t>
      </w:r>
      <w:proofErr w:type="spellStart"/>
      <w:r>
        <w:rPr>
          <w:bCs/>
          <w:sz w:val="20"/>
          <w:szCs w:val="20"/>
        </w:rPr>
        <w:t>hydrazineyl</w:t>
      </w:r>
      <w:proofErr w:type="spellEnd"/>
      <w:r>
        <w:rPr>
          <w:bCs/>
          <w:sz w:val="20"/>
          <w:szCs w:val="20"/>
        </w:rPr>
        <w:t>)thiazol-4-yl)phenol (</w:t>
      </w:r>
      <w:r>
        <w:rPr>
          <w:b/>
          <w:sz w:val="20"/>
          <w:szCs w:val="20"/>
        </w:rPr>
        <w:t>3e</w:t>
      </w:r>
      <w:r>
        <w:rPr>
          <w:bCs/>
          <w:sz w:val="20"/>
          <w:szCs w:val="20"/>
        </w:rPr>
        <w:t>)</w:t>
      </w:r>
      <w:bookmarkEnd w:id="18"/>
    </w:p>
    <w:p w:rsidR="007F6B13" w:rsidRDefault="00ED2B59">
      <w:pPr>
        <w:spacing w:line="228" w:lineRule="auto"/>
        <w:jc w:val="left"/>
        <w:rPr>
          <w:rStyle w:val="1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41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그림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Hlk176018208"/>
    </w:p>
    <w:p w:rsidR="007F6B13" w:rsidRDefault="007F6B13">
      <w:pPr>
        <w:spacing w:line="228" w:lineRule="auto"/>
        <w:jc w:val="left"/>
        <w:rPr>
          <w:rStyle w:val="10"/>
        </w:rPr>
      </w:pPr>
    </w:p>
    <w:p w:rsidR="009A4D15" w:rsidRDefault="00ED2B59" w:rsidP="007F6B13">
      <w:pPr>
        <w:pStyle w:val="1"/>
        <w:rPr>
          <w:bCs/>
        </w:rPr>
      </w:pPr>
      <w:bookmarkStart w:id="20" w:name="_Toc211341323"/>
      <w:r w:rsidRPr="007F6B13">
        <w:rPr>
          <w:rStyle w:val="10"/>
          <w:b/>
        </w:rPr>
        <w:t>Figure S16.</w:t>
      </w:r>
      <w:r w:rsidRPr="007F6B13">
        <w:rPr>
          <w:rStyle w:val="10"/>
        </w:rPr>
        <w:t xml:space="preserve"> 1H NMR of the 4-(4-fluorophenyl)-2-(2-(propan-2-</w:t>
      </w:r>
      <w:proofErr w:type="gramStart"/>
      <w:r w:rsidRPr="007F6B13">
        <w:rPr>
          <w:rStyle w:val="10"/>
        </w:rPr>
        <w:t>ylidene)</w:t>
      </w:r>
      <w:proofErr w:type="spellStart"/>
      <w:r w:rsidRPr="007F6B13">
        <w:rPr>
          <w:rStyle w:val="10"/>
        </w:rPr>
        <w:t>hydrazineyl</w:t>
      </w:r>
      <w:proofErr w:type="spellEnd"/>
      <w:proofErr w:type="gramEnd"/>
      <w:r w:rsidRPr="007F6B13">
        <w:rPr>
          <w:rStyle w:val="10"/>
        </w:rPr>
        <w:t>)</w:t>
      </w:r>
      <w:proofErr w:type="spellStart"/>
      <w:r w:rsidRPr="007F6B13">
        <w:rPr>
          <w:rStyle w:val="10"/>
        </w:rPr>
        <w:t>thiazole</w:t>
      </w:r>
      <w:proofErr w:type="spellEnd"/>
      <w:r w:rsidRPr="007F6B13">
        <w:rPr>
          <w:rStyle w:val="10"/>
        </w:rPr>
        <w:t xml:space="preserve"> (</w:t>
      </w:r>
      <w:r w:rsidRPr="007F6B13">
        <w:rPr>
          <w:rStyle w:val="10"/>
          <w:b/>
        </w:rPr>
        <w:t>3f</w:t>
      </w:r>
      <w:r w:rsidRPr="007F6B13">
        <w:rPr>
          <w:rStyle w:val="10"/>
        </w:rPr>
        <w:t>)</w:t>
      </w:r>
      <w:bookmarkEnd w:id="20"/>
    </w:p>
    <w:bookmarkEnd w:id="19"/>
    <w:p w:rsidR="009A4D15" w:rsidRDefault="009A4D15">
      <w:pPr>
        <w:spacing w:line="228" w:lineRule="auto"/>
        <w:rPr>
          <w:rFonts w:ascii="Times New Roman" w:hAnsi="Times New Roman"/>
          <w:lang w:bidi="ar"/>
        </w:rPr>
      </w:pPr>
    </w:p>
    <w:p w:rsidR="009A4D15" w:rsidRDefault="00ED2B59">
      <w:pPr>
        <w:spacing w:line="228" w:lineRule="auto"/>
        <w:jc w:val="left"/>
        <w:rPr>
          <w:rFonts w:ascii="Times New Roman" w:hAnsi="Times New Roman"/>
          <w:lang w:bidi="ar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47945" cy="3591560"/>
            <wp:effectExtent l="0" t="0" r="3175" b="7620"/>
            <wp:docPr id="42" name="图片 42" descr="6-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-6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9A4D15">
      <w:pPr>
        <w:spacing w:line="228" w:lineRule="auto"/>
        <w:rPr>
          <w:rFonts w:ascii="Times New Roman" w:hAnsi="Times New Roman"/>
        </w:rPr>
      </w:pPr>
    </w:p>
    <w:p w:rsidR="009A4D15" w:rsidRDefault="009A4D15">
      <w:pPr>
        <w:rPr>
          <w:rFonts w:ascii="Times New Roman" w:hAnsi="Times New Roman"/>
          <w:b/>
          <w:bCs/>
        </w:rPr>
      </w:pPr>
    </w:p>
    <w:p w:rsidR="009A4D15" w:rsidRDefault="00ED2B59">
      <w:pPr>
        <w:pStyle w:val="1"/>
        <w:rPr>
          <w:sz w:val="20"/>
          <w:szCs w:val="20"/>
        </w:rPr>
      </w:pPr>
      <w:bookmarkStart w:id="21" w:name="_Toc211341324"/>
      <w:r>
        <w:rPr>
          <w:b/>
          <w:bCs/>
          <w:sz w:val="20"/>
          <w:szCs w:val="20"/>
        </w:rPr>
        <w:lastRenderedPageBreak/>
        <w:t xml:space="preserve">Figure S17.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 NMR of the 4-(4-fluorophenyl)-2-(2-(propan-2-</w:t>
      </w:r>
      <w:proofErr w:type="gramStart"/>
      <w:r>
        <w:rPr>
          <w:sz w:val="20"/>
          <w:szCs w:val="20"/>
        </w:rPr>
        <w:t>ylidene)</w:t>
      </w:r>
      <w:proofErr w:type="spellStart"/>
      <w:r>
        <w:rPr>
          <w:sz w:val="20"/>
          <w:szCs w:val="20"/>
        </w:rPr>
        <w:t>hydrazineyl</w:t>
      </w:r>
      <w:proofErr w:type="spellEnd"/>
      <w:proofErr w:type="gramEnd"/>
      <w:r>
        <w:rPr>
          <w:sz w:val="20"/>
          <w:szCs w:val="20"/>
        </w:rPr>
        <w:t>)</w:t>
      </w:r>
      <w:proofErr w:type="spellStart"/>
      <w:r>
        <w:rPr>
          <w:sz w:val="20"/>
          <w:szCs w:val="20"/>
        </w:rPr>
        <w:t>thiazole</w:t>
      </w:r>
      <w:proofErr w:type="spellEnd"/>
      <w:r>
        <w:rPr>
          <w:sz w:val="20"/>
          <w:szCs w:val="20"/>
        </w:rPr>
        <w:t xml:space="preserve"> (</w:t>
      </w:r>
      <w:r>
        <w:rPr>
          <w:b/>
          <w:bCs/>
          <w:sz w:val="20"/>
          <w:szCs w:val="20"/>
        </w:rPr>
        <w:t>3f</w:t>
      </w:r>
      <w:r>
        <w:rPr>
          <w:sz w:val="20"/>
          <w:szCs w:val="20"/>
        </w:rPr>
        <w:t>)</w:t>
      </w:r>
      <w:bookmarkEnd w:id="21"/>
    </w:p>
    <w:p w:rsidR="009A4D15" w:rsidRDefault="00ED2B5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43" name="图片 43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13" w:rsidRDefault="007F6B13">
      <w:pPr>
        <w:rPr>
          <w:rFonts w:ascii="Times New Roman" w:hAnsi="Times New Roman"/>
          <w:b/>
          <w:bCs/>
        </w:rPr>
      </w:pPr>
    </w:p>
    <w:p w:rsidR="009A4D15" w:rsidRDefault="00ED2B59" w:rsidP="007F6B13">
      <w:pPr>
        <w:pStyle w:val="1"/>
      </w:pPr>
      <w:bookmarkStart w:id="22" w:name="_Toc211341325"/>
      <w:r>
        <w:rPr>
          <w:b/>
          <w:bCs/>
        </w:rPr>
        <w:t xml:space="preserve">Figure S18. </w:t>
      </w:r>
      <w:r>
        <w:rPr>
          <w:bCs/>
        </w:rPr>
        <w:t xml:space="preserve">HRMS of the </w:t>
      </w:r>
      <w:r>
        <w:t>4-(4-fluorophenyl)-2-(2-(propan-2-</w:t>
      </w:r>
      <w:proofErr w:type="gramStart"/>
      <w:r>
        <w:t>ylidene)</w:t>
      </w:r>
      <w:proofErr w:type="spellStart"/>
      <w:r>
        <w:t>hydrazineyl</w:t>
      </w:r>
      <w:proofErr w:type="spellEnd"/>
      <w:proofErr w:type="gramEnd"/>
      <w:r>
        <w:t>)</w:t>
      </w:r>
      <w:proofErr w:type="spellStart"/>
      <w:r>
        <w:t>thiazole</w:t>
      </w:r>
      <w:proofErr w:type="spellEnd"/>
      <w:r>
        <w:t xml:space="preserve"> (</w:t>
      </w:r>
      <w:r>
        <w:rPr>
          <w:b/>
          <w:bCs/>
        </w:rPr>
        <w:t>3f</w:t>
      </w:r>
      <w:r>
        <w:t>)</w:t>
      </w:r>
      <w:bookmarkEnd w:id="22"/>
    </w:p>
    <w:p w:rsidR="009A4D15" w:rsidRDefault="009A4D15">
      <w:pPr>
        <w:spacing w:line="228" w:lineRule="auto"/>
        <w:rPr>
          <w:rFonts w:ascii="Times New Roman" w:hAnsi="Times New Roman"/>
        </w:rPr>
      </w:pPr>
    </w:p>
    <w:p w:rsidR="009A4D15" w:rsidRPr="007F6B13" w:rsidRDefault="00ED2B59" w:rsidP="007F6B13">
      <w:pPr>
        <w:spacing w:line="22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4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그림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  <w:rPr>
          <w:sz w:val="20"/>
          <w:szCs w:val="20"/>
        </w:rPr>
      </w:pPr>
      <w:bookmarkStart w:id="23" w:name="_Toc211341326"/>
      <w:r>
        <w:rPr>
          <w:b/>
          <w:bCs/>
          <w:sz w:val="20"/>
          <w:szCs w:val="20"/>
        </w:rPr>
        <w:lastRenderedPageBreak/>
        <w:t>Figure S19.</w:t>
      </w:r>
      <w:r>
        <w:rPr>
          <w:bCs/>
          <w:sz w:val="20"/>
          <w:szCs w:val="20"/>
          <w:vertAlign w:val="superscript"/>
        </w:rPr>
        <w:t xml:space="preserve"> 1</w:t>
      </w:r>
      <w:r>
        <w:rPr>
          <w:bCs/>
          <w:sz w:val="20"/>
          <w:szCs w:val="20"/>
        </w:rPr>
        <w:t>H NMR of the 4-fluoro-2-(2-(2-(propan-2-</w:t>
      </w:r>
      <w:proofErr w:type="gramStart"/>
      <w:r>
        <w:rPr>
          <w:bCs/>
          <w:sz w:val="20"/>
          <w:szCs w:val="20"/>
        </w:rPr>
        <w:t>ylidene)hydrazineyl</w:t>
      </w:r>
      <w:proofErr w:type="gramEnd"/>
      <w:r>
        <w:rPr>
          <w:bCs/>
          <w:sz w:val="20"/>
          <w:szCs w:val="20"/>
        </w:rPr>
        <w:t>)thiazol-4-yl)phenol (</w:t>
      </w:r>
      <w:r>
        <w:rPr>
          <w:b/>
          <w:sz w:val="20"/>
          <w:szCs w:val="20"/>
        </w:rPr>
        <w:t>3g</w:t>
      </w:r>
      <w:r>
        <w:rPr>
          <w:bCs/>
          <w:sz w:val="20"/>
          <w:szCs w:val="20"/>
        </w:rPr>
        <w:t>)</w:t>
      </w:r>
      <w:bookmarkEnd w:id="23"/>
    </w:p>
    <w:p w:rsidR="009A4D15" w:rsidRDefault="00ED2B59">
      <w:pPr>
        <w:spacing w:line="228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4995545" cy="3599815"/>
            <wp:effectExtent l="0" t="0" r="6985" b="7620"/>
            <wp:docPr id="46" name="图片 46" descr="7-3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-3g-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ED2B59" w:rsidP="007F6B13">
      <w:pPr>
        <w:pStyle w:val="1"/>
      </w:pPr>
      <w:bookmarkStart w:id="24" w:name="_Toc211341327"/>
      <w:r>
        <w:rPr>
          <w:b/>
          <w:bCs/>
        </w:rPr>
        <w:t xml:space="preserve">Figure S20. </w:t>
      </w:r>
      <w:r>
        <w:rPr>
          <w:vertAlign w:val="superscript"/>
        </w:rPr>
        <w:t>13</w:t>
      </w:r>
      <w:r>
        <w:t>C NMR of the 4-fluoro-2-(2-(2-(propan-2-</w:t>
      </w:r>
      <w:proofErr w:type="gramStart"/>
      <w:r>
        <w:t>ylidene)hydrazineyl</w:t>
      </w:r>
      <w:proofErr w:type="gramEnd"/>
      <w:r>
        <w:t>)thiazol-4-yl)phenol (</w:t>
      </w:r>
      <w:r>
        <w:rPr>
          <w:b/>
          <w:bCs/>
        </w:rPr>
        <w:t>3g</w:t>
      </w:r>
      <w:r>
        <w:t>)</w:t>
      </w:r>
      <w:bookmarkEnd w:id="24"/>
    </w:p>
    <w:p w:rsidR="009A4D15" w:rsidRDefault="00ED2B5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47" name="图片 47" descr="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B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9A4D15">
      <w:pPr>
        <w:rPr>
          <w:rFonts w:ascii="Times New Roman" w:hAnsi="Times New Roman"/>
          <w:b/>
          <w:bCs/>
        </w:rPr>
      </w:pPr>
    </w:p>
    <w:p w:rsidR="009A4D15" w:rsidRDefault="00ED2B59">
      <w:pPr>
        <w:pStyle w:val="1"/>
        <w:rPr>
          <w:sz w:val="20"/>
          <w:szCs w:val="20"/>
        </w:rPr>
      </w:pPr>
      <w:bookmarkStart w:id="25" w:name="_Toc211341328"/>
      <w:r>
        <w:rPr>
          <w:b/>
          <w:bCs/>
          <w:sz w:val="20"/>
          <w:szCs w:val="20"/>
        </w:rPr>
        <w:lastRenderedPageBreak/>
        <w:t xml:space="preserve">Figure S21. </w:t>
      </w:r>
      <w:r>
        <w:rPr>
          <w:sz w:val="20"/>
          <w:szCs w:val="20"/>
        </w:rPr>
        <w:t>HRMS of the 4-fluoro-2-(2-(2-(propan-2-</w:t>
      </w:r>
      <w:proofErr w:type="gramStart"/>
      <w:r>
        <w:rPr>
          <w:sz w:val="20"/>
          <w:szCs w:val="20"/>
        </w:rPr>
        <w:t>ylidene)hydrazineyl</w:t>
      </w:r>
      <w:proofErr w:type="gramEnd"/>
      <w:r>
        <w:rPr>
          <w:sz w:val="20"/>
          <w:szCs w:val="20"/>
        </w:rPr>
        <w:t>)thiazol-4-yl)phenol (</w:t>
      </w:r>
      <w:r>
        <w:rPr>
          <w:b/>
          <w:bCs/>
          <w:sz w:val="20"/>
          <w:szCs w:val="20"/>
        </w:rPr>
        <w:t>3g</w:t>
      </w:r>
      <w:r>
        <w:rPr>
          <w:sz w:val="20"/>
          <w:szCs w:val="20"/>
        </w:rPr>
        <w:t>)</w:t>
      </w:r>
      <w:bookmarkEnd w:id="25"/>
    </w:p>
    <w:p w:rsidR="007F6B13" w:rsidRDefault="00ED2B5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48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그림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B13" w:rsidRDefault="007F6B13">
      <w:pPr>
        <w:rPr>
          <w:rFonts w:ascii="Times New Roman" w:hAnsi="Times New Roman"/>
          <w:b/>
          <w:bCs/>
        </w:rPr>
      </w:pPr>
    </w:p>
    <w:p w:rsidR="009A4D15" w:rsidRDefault="00ED2B59" w:rsidP="007F6B13">
      <w:pPr>
        <w:pStyle w:val="1"/>
        <w:rPr>
          <w:b/>
        </w:rPr>
      </w:pPr>
      <w:bookmarkStart w:id="26" w:name="_Toc211341329"/>
      <w:r>
        <w:rPr>
          <w:b/>
        </w:rPr>
        <w:t>Figure S22.</w:t>
      </w:r>
      <w:r>
        <w:t xml:space="preserve"> </w:t>
      </w:r>
      <w:r>
        <w:rPr>
          <w:vertAlign w:val="superscript"/>
        </w:rPr>
        <w:t>1</w:t>
      </w:r>
      <w:r>
        <w:t>H NMR of the 4-(3,4-dimethoxyphenyl)-2-(2-(propan-2-</w:t>
      </w:r>
      <w:proofErr w:type="gramStart"/>
      <w:r>
        <w:t>ylidene)hydrazineyl</w:t>
      </w:r>
      <w:proofErr w:type="gramEnd"/>
      <w:r>
        <w:t>)thiazole (</w:t>
      </w:r>
      <w:r>
        <w:rPr>
          <w:b/>
        </w:rPr>
        <w:t>3h</w:t>
      </w:r>
      <w:r>
        <w:t>)</w:t>
      </w:r>
      <w:bookmarkEnd w:id="26"/>
    </w:p>
    <w:p w:rsidR="009A4D15" w:rsidRDefault="009A4D15">
      <w:pPr>
        <w:spacing w:line="228" w:lineRule="auto"/>
        <w:rPr>
          <w:rFonts w:ascii="Times New Roman" w:hAnsi="Times New Roman"/>
          <w:lang w:bidi="ar"/>
        </w:rPr>
      </w:pPr>
    </w:p>
    <w:p w:rsidR="009A4D15" w:rsidRDefault="00ED2B59">
      <w:pPr>
        <w:spacing w:line="22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49" name="图片 49" descr="8-8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-8h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9A4D15">
      <w:pPr>
        <w:spacing w:line="228" w:lineRule="auto"/>
        <w:rPr>
          <w:rFonts w:ascii="Times New Roman" w:hAnsi="Times New Roman"/>
        </w:rPr>
      </w:pPr>
    </w:p>
    <w:p w:rsidR="009A4D15" w:rsidRDefault="009A4D15">
      <w:pPr>
        <w:rPr>
          <w:rFonts w:ascii="Times New Roman" w:hAnsi="Times New Roman"/>
          <w:b/>
          <w:bCs/>
        </w:rPr>
      </w:pPr>
    </w:p>
    <w:p w:rsidR="009A4D15" w:rsidRDefault="00ED2B59">
      <w:pPr>
        <w:pStyle w:val="1"/>
        <w:rPr>
          <w:sz w:val="20"/>
          <w:szCs w:val="20"/>
        </w:rPr>
      </w:pPr>
      <w:bookmarkStart w:id="27" w:name="_Toc211341330"/>
      <w:r>
        <w:rPr>
          <w:b/>
          <w:bCs/>
          <w:sz w:val="20"/>
          <w:szCs w:val="20"/>
        </w:rPr>
        <w:t>Figure S23.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 NMR of the 4-(3,4-dimethoxyphenyl)-2-(2-(propan-2-</w:t>
      </w:r>
      <w:proofErr w:type="gramStart"/>
      <w:r>
        <w:rPr>
          <w:sz w:val="20"/>
          <w:szCs w:val="20"/>
        </w:rPr>
        <w:t>ylidene)hydrazineyl</w:t>
      </w:r>
      <w:proofErr w:type="gramEnd"/>
      <w:r>
        <w:rPr>
          <w:sz w:val="20"/>
          <w:szCs w:val="20"/>
        </w:rPr>
        <w:t>)thiazole (</w:t>
      </w:r>
      <w:r>
        <w:rPr>
          <w:b/>
          <w:bCs/>
          <w:sz w:val="20"/>
          <w:szCs w:val="20"/>
        </w:rPr>
        <w:t>3h</w:t>
      </w:r>
      <w:r>
        <w:rPr>
          <w:sz w:val="20"/>
          <w:szCs w:val="20"/>
        </w:rPr>
        <w:t>)</w:t>
      </w:r>
      <w:bookmarkEnd w:id="27"/>
    </w:p>
    <w:p w:rsidR="009A4D15" w:rsidRDefault="00ED2B5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160010" cy="3599815"/>
            <wp:effectExtent l="0" t="0" r="7620" b="7620"/>
            <wp:docPr id="50" name="图片 50" descr="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13" w:rsidRDefault="007F6B13">
      <w:pPr>
        <w:rPr>
          <w:rFonts w:ascii="Times New Roman" w:hAnsi="Times New Roman"/>
          <w:b/>
          <w:bCs/>
        </w:rPr>
      </w:pPr>
    </w:p>
    <w:p w:rsidR="009A4D15" w:rsidRDefault="00ED2B59" w:rsidP="007F6B13">
      <w:pPr>
        <w:pStyle w:val="1"/>
      </w:pPr>
      <w:bookmarkStart w:id="28" w:name="_Toc211341331"/>
      <w:r>
        <w:rPr>
          <w:b/>
          <w:bCs/>
        </w:rPr>
        <w:t>Figure S24.</w:t>
      </w:r>
      <w:r>
        <w:t xml:space="preserve"> HRMS of the 4-(3,4-dimethoxyphenyl)-2-(2-(propan-2-</w:t>
      </w:r>
      <w:proofErr w:type="gramStart"/>
      <w:r>
        <w:t>ylidene)hydrazineyl</w:t>
      </w:r>
      <w:proofErr w:type="gramEnd"/>
      <w:r>
        <w:t>)thiazole (</w:t>
      </w:r>
      <w:r>
        <w:rPr>
          <w:b/>
          <w:bCs/>
        </w:rPr>
        <w:t>3h</w:t>
      </w:r>
      <w:r>
        <w:t>)</w:t>
      </w:r>
      <w:bookmarkEnd w:id="28"/>
    </w:p>
    <w:p w:rsidR="009A4D15" w:rsidRPr="007F6B13" w:rsidRDefault="00ED2B59" w:rsidP="007F6B13">
      <w:pPr>
        <w:rPr>
          <w:rFonts w:ascii="Times New Roman" w:hAnsi="Times New Roman"/>
          <w:bCs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45810" cy="3239770"/>
            <wp:effectExtent l="0" t="0" r="0" b="0"/>
            <wp:docPr id="51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그림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15" w:rsidRDefault="00ED2B59">
      <w:pPr>
        <w:rPr>
          <w:rFonts w:ascii="Times New Roman" w:hAnsi="Times New Roman"/>
        </w:rPr>
      </w:pPr>
      <w:bookmarkStart w:id="29" w:name="_Toc211341332"/>
      <w:r>
        <w:rPr>
          <w:rStyle w:val="10"/>
          <w:b/>
          <w:bCs/>
        </w:rPr>
        <w:lastRenderedPageBreak/>
        <w:t>Figure S2</w:t>
      </w:r>
      <w:r>
        <w:rPr>
          <w:rStyle w:val="10"/>
          <w:rFonts w:hint="eastAsia"/>
          <w:b/>
          <w:bCs/>
        </w:rPr>
        <w:t>5</w:t>
      </w:r>
      <w:r>
        <w:rPr>
          <w:rStyle w:val="10"/>
          <w:b/>
          <w:bCs/>
        </w:rPr>
        <w:t xml:space="preserve">. </w:t>
      </w:r>
      <w:proofErr w:type="spellStart"/>
      <w:r>
        <w:rPr>
          <w:rStyle w:val="10"/>
        </w:rPr>
        <w:t>Antimelanogenic</w:t>
      </w:r>
      <w:proofErr w:type="spellEnd"/>
      <w:r>
        <w:rPr>
          <w:rStyle w:val="10"/>
        </w:rPr>
        <w:t xml:space="preserve"> effects of compounds in B16F10 melanoma cells.</w:t>
      </w:r>
      <w:bookmarkEnd w:id="29"/>
      <w:r>
        <w:rPr>
          <w:rStyle w:val="10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b/>
          <w:bCs/>
        </w:rPr>
        <w:t>3</w:t>
      </w:r>
      <w:r>
        <w:rPr>
          <w:rFonts w:ascii="Times New Roman" w:hAnsi="Times New Roman" w:hint="eastAsia"/>
          <w:b/>
          <w:bCs/>
        </w:rPr>
        <w:t>a</w:t>
      </w:r>
      <w:r>
        <w:rPr>
          <w:rFonts w:ascii="Times New Roman" w:hAnsi="Times New Roman"/>
        </w:rPr>
        <w:t>; (</w:t>
      </w:r>
      <w:r>
        <w:rPr>
          <w:rFonts w:ascii="Times New Roman" w:hAnsi="Times New Roman"/>
          <w:b/>
          <w:bCs/>
        </w:rPr>
        <w:t>B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b/>
          <w:bCs/>
        </w:rPr>
        <w:t>3</w:t>
      </w:r>
      <w:r>
        <w:rPr>
          <w:rFonts w:ascii="Times New Roman" w:hAnsi="Times New Roman" w:hint="eastAsia"/>
          <w:b/>
          <w:bCs/>
        </w:rPr>
        <w:t>b</w:t>
      </w:r>
      <w:r>
        <w:rPr>
          <w:rFonts w:ascii="Times New Roman" w:hAnsi="Times New Roman"/>
        </w:rPr>
        <w:t>; (</w:t>
      </w:r>
      <w:r>
        <w:rPr>
          <w:rFonts w:ascii="Times New Roman" w:hAnsi="Times New Roman"/>
          <w:b/>
          <w:bCs/>
        </w:rPr>
        <w:t>C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b/>
          <w:bCs/>
        </w:rPr>
        <w:t>3</w:t>
      </w:r>
      <w:r>
        <w:rPr>
          <w:rFonts w:ascii="Times New Roman" w:hAnsi="Times New Roman" w:hint="eastAsia"/>
          <w:b/>
          <w:bCs/>
        </w:rPr>
        <w:t>e</w:t>
      </w:r>
      <w:r>
        <w:rPr>
          <w:rFonts w:ascii="Times New Roman" w:hAnsi="Times New Roman" w:hint="eastAsia"/>
        </w:rPr>
        <w:t>;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 w:hint="eastAsia"/>
          <w:b/>
          <w:bCs/>
        </w:rPr>
        <w:t>D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b/>
          <w:bCs/>
        </w:rPr>
        <w:t>3</w:t>
      </w:r>
      <w:r>
        <w:rPr>
          <w:rFonts w:ascii="Times New Roman" w:hAnsi="Times New Roman" w:hint="eastAsia"/>
          <w:b/>
          <w:bCs/>
        </w:rPr>
        <w:t>g</w:t>
      </w:r>
      <w:r>
        <w:rPr>
          <w:rFonts w:ascii="Times New Roman" w:hAnsi="Times New Roman" w:hint="eastAsia"/>
        </w:rPr>
        <w:t xml:space="preserve">;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  <w:b/>
          <w:bCs/>
        </w:rPr>
        <w:t>E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b/>
          <w:bCs/>
        </w:rPr>
        <w:t>3</w:t>
      </w:r>
      <w:r>
        <w:rPr>
          <w:rFonts w:ascii="Times New Roman" w:hAnsi="Times New Roman" w:hint="eastAsia"/>
          <w:b/>
          <w:bCs/>
        </w:rPr>
        <w:t>h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/>
        </w:rPr>
        <w:t xml:space="preserve">Cells were stimulated with 100 </w:t>
      </w:r>
      <w:proofErr w:type="spellStart"/>
      <w:r>
        <w:rPr>
          <w:rFonts w:ascii="Times New Roman" w:hAnsi="Times New Roman"/>
        </w:rPr>
        <w:t>nM</w:t>
      </w:r>
      <w:proofErr w:type="spellEnd"/>
      <w:r>
        <w:rPr>
          <w:rFonts w:ascii="Times New Roman" w:hAnsi="Times New Roman"/>
        </w:rPr>
        <w:t xml:space="preserve"> α-MSH, and arbutin (100 </w:t>
      </w:r>
      <w:proofErr w:type="spellStart"/>
      <w:r>
        <w:rPr>
          <w:rFonts w:ascii="Times New Roman" w:hAnsi="Times New Roman"/>
        </w:rPr>
        <w:t>μM</w:t>
      </w:r>
      <w:proofErr w:type="spellEnd"/>
      <w:r>
        <w:rPr>
          <w:rFonts w:ascii="Times New Roman" w:hAnsi="Times New Roman"/>
        </w:rPr>
        <w:t>) served as the positive control. Data are presented as mean ± SD from three independent experiments. Values are the mean SEM of triplicate experiments. *</w:t>
      </w:r>
      <w:r w:rsidRPr="00B46B3D">
        <w:rPr>
          <w:rFonts w:ascii="Times New Roman" w:hAnsi="Times New Roman"/>
          <w:i/>
        </w:rPr>
        <w:t xml:space="preserve">p </w:t>
      </w:r>
      <w:r>
        <w:rPr>
          <w:rFonts w:ascii="Times New Roman" w:hAnsi="Times New Roman"/>
        </w:rPr>
        <w:t>&lt; 0.05; **</w:t>
      </w:r>
      <w:r w:rsidRPr="00B46B3D"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 xml:space="preserve"> &lt; 0.01.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5"/>
        <w:gridCol w:w="2720"/>
        <w:gridCol w:w="2681"/>
      </w:tblGrid>
      <w:tr w:rsidR="009A4D15">
        <w:tc>
          <w:tcPr>
            <w:tcW w:w="2840" w:type="dxa"/>
          </w:tcPr>
          <w:p w:rsidR="009A4D15" w:rsidRDefault="00ED2B59">
            <w:r>
              <w:rPr>
                <w:noProof/>
              </w:rPr>
              <w:drawing>
                <wp:inline distT="0" distB="0" distL="114300" distR="114300">
                  <wp:extent cx="1661795" cy="1007745"/>
                  <wp:effectExtent l="0" t="0" r="5715" b="7620"/>
                  <wp:docPr id="8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4534" r="3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9A4D15" w:rsidRDefault="00ED2B59">
            <w:r>
              <w:rPr>
                <w:noProof/>
              </w:rPr>
              <w:drawing>
                <wp:inline distT="0" distB="0" distL="114300" distR="114300">
                  <wp:extent cx="1640840" cy="1007745"/>
                  <wp:effectExtent l="0" t="0" r="0" b="0"/>
                  <wp:docPr id="8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4605" r="5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4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9A4D15" w:rsidRDefault="00ED2B59">
            <w:r>
              <w:rPr>
                <w:noProof/>
              </w:rPr>
              <w:drawing>
                <wp:inline distT="0" distB="0" distL="114300" distR="114300">
                  <wp:extent cx="1615440" cy="1007745"/>
                  <wp:effectExtent l="0" t="0" r="0" b="0"/>
                  <wp:docPr id="8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D15">
        <w:tc>
          <w:tcPr>
            <w:tcW w:w="2840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</w:t>
            </w:r>
          </w:p>
        </w:tc>
        <w:tc>
          <w:tcPr>
            <w:tcW w:w="2841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</w:t>
            </w:r>
          </w:p>
        </w:tc>
        <w:tc>
          <w:tcPr>
            <w:tcW w:w="2841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</w:t>
            </w:r>
          </w:p>
        </w:tc>
      </w:tr>
      <w:tr w:rsidR="009A4D15">
        <w:tc>
          <w:tcPr>
            <w:tcW w:w="2840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>
                  <wp:extent cx="1761490" cy="1043940"/>
                  <wp:effectExtent l="0" t="0" r="0" b="0"/>
                  <wp:docPr id="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3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>
                  <wp:extent cx="1581150" cy="1007745"/>
                  <wp:effectExtent l="0" t="0" r="0" b="0"/>
                  <wp:docPr id="9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9A4D15" w:rsidRDefault="009A4D1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9A4D15">
        <w:tc>
          <w:tcPr>
            <w:tcW w:w="2840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</w:t>
            </w:r>
          </w:p>
        </w:tc>
        <w:tc>
          <w:tcPr>
            <w:tcW w:w="2841" w:type="dxa"/>
          </w:tcPr>
          <w:p w:rsidR="009A4D15" w:rsidRDefault="00ED2B5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</w:t>
            </w:r>
          </w:p>
        </w:tc>
        <w:tc>
          <w:tcPr>
            <w:tcW w:w="2841" w:type="dxa"/>
          </w:tcPr>
          <w:p w:rsidR="009A4D15" w:rsidRDefault="009A4D1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9A4D15" w:rsidRDefault="009A4D15">
      <w:pPr>
        <w:spacing w:line="228" w:lineRule="auto"/>
        <w:rPr>
          <w:rFonts w:ascii="Times New Roman" w:hAnsi="Times New Roman"/>
        </w:rPr>
      </w:pPr>
    </w:p>
    <w:p w:rsidR="009A4D15" w:rsidRDefault="00ED2B59">
      <w:pPr>
        <w:rPr>
          <w:rFonts w:ascii="Times New Roman" w:hAnsi="Times New Roman"/>
        </w:rPr>
      </w:pPr>
      <w:bookmarkStart w:id="30" w:name="_Toc211341333"/>
      <w:r>
        <w:rPr>
          <w:rStyle w:val="10"/>
          <w:b/>
          <w:bCs/>
        </w:rPr>
        <w:t>Figure S2</w:t>
      </w:r>
      <w:r>
        <w:rPr>
          <w:rStyle w:val="10"/>
          <w:rFonts w:hint="eastAsia"/>
          <w:b/>
          <w:bCs/>
        </w:rPr>
        <w:t>6</w:t>
      </w:r>
      <w:r>
        <w:rPr>
          <w:rStyle w:val="10"/>
          <w:b/>
          <w:bCs/>
        </w:rPr>
        <w:t xml:space="preserve">. </w:t>
      </w:r>
      <w:r>
        <w:rPr>
          <w:rStyle w:val="10"/>
        </w:rPr>
        <w:t xml:space="preserve">Synthesis compounds </w:t>
      </w:r>
      <w:r>
        <w:rPr>
          <w:rStyle w:val="10"/>
          <w:b/>
          <w:bCs/>
        </w:rPr>
        <w:t>3a</w:t>
      </w:r>
      <w:r>
        <w:rPr>
          <w:rStyle w:val="10"/>
        </w:rPr>
        <w:t>-</w:t>
      </w:r>
      <w:r>
        <w:rPr>
          <w:rStyle w:val="10"/>
          <w:b/>
          <w:bCs/>
        </w:rPr>
        <w:t>3h</w:t>
      </w:r>
      <w:r>
        <w:rPr>
          <w:rStyle w:val="10"/>
        </w:rPr>
        <w:t xml:space="preserve"> on </w:t>
      </w:r>
      <w:r>
        <w:rPr>
          <w:rStyle w:val="10"/>
          <w:rFonts w:hint="eastAsia"/>
        </w:rPr>
        <w:t>NO</w:t>
      </w:r>
      <w:r>
        <w:rPr>
          <w:rStyle w:val="10"/>
        </w:rPr>
        <w:t xml:space="preserve"> </w:t>
      </w:r>
      <w:proofErr w:type="spellStart"/>
      <w:r>
        <w:rPr>
          <w:rStyle w:val="10"/>
        </w:rPr>
        <w:t>producton</w:t>
      </w:r>
      <w:proofErr w:type="spellEnd"/>
      <w:r>
        <w:rPr>
          <w:rStyle w:val="10"/>
        </w:rPr>
        <w:t xml:space="preserve"> and cell viability in LPS-induced RAW 264.7macrophage cells.</w:t>
      </w:r>
      <w:bookmarkEnd w:id="30"/>
      <w:r>
        <w:rPr>
          <w:rStyle w:val="10"/>
        </w:rPr>
        <w:t xml:space="preserve"> </w:t>
      </w:r>
      <w:r>
        <w:rPr>
          <w:rFonts w:ascii="Times New Roman" w:hAnsi="Times New Roman"/>
        </w:rPr>
        <w:t xml:space="preserve">The cells were stimulated with 1 </w:t>
      </w:r>
      <w:proofErr w:type="spellStart"/>
      <w:r>
        <w:rPr>
          <w:rFonts w:ascii="Times New Roman" w:hAnsi="Times New Roman"/>
        </w:rPr>
        <w:t>μg</w:t>
      </w:r>
      <w:proofErr w:type="spellEnd"/>
      <w:r>
        <w:rPr>
          <w:rFonts w:ascii="Times New Roman" w:hAnsi="Times New Roman"/>
        </w:rPr>
        <w:t xml:space="preserve"> /mL of LPS only, or with LPS plus 3a-3h and L-NIL (positive control, 40 </w:t>
      </w:r>
      <w:proofErr w:type="spellStart"/>
      <w:r>
        <w:rPr>
          <w:rFonts w:ascii="Times New Roman" w:hAnsi="Times New Roman"/>
        </w:rPr>
        <w:t>μM</w:t>
      </w:r>
      <w:proofErr w:type="spellEnd"/>
      <w:r>
        <w:rPr>
          <w:rFonts w:ascii="Times New Roman" w:hAnsi="Times New Roman"/>
        </w:rPr>
        <w:t>) for 24 h. The data represent the mean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±SD of triplicate experiments. Values are the mean SEM of triplicate experiments. *</w:t>
      </w:r>
      <w:r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 xml:space="preserve"> &lt; 0.05; **</w:t>
      </w:r>
      <w:r>
        <w:rPr>
          <w:rFonts w:ascii="Times New Roman" w:hAnsi="Times New Roman"/>
          <w:i/>
          <w:iCs/>
        </w:rPr>
        <w:t xml:space="preserve">p </w:t>
      </w:r>
      <w:r>
        <w:rPr>
          <w:rFonts w:ascii="Times New Roman" w:hAnsi="Times New Roman"/>
        </w:rPr>
        <w:t>&lt; 0.01</w:t>
      </w:r>
    </w:p>
    <w:p w:rsidR="009A4D15" w:rsidRDefault="00ED2B59">
      <w:pPr>
        <w:spacing w:line="228" w:lineRule="auto"/>
        <w:jc w:val="center"/>
      </w:pPr>
      <w:r>
        <w:rPr>
          <w:noProof/>
        </w:rPr>
        <w:drawing>
          <wp:inline distT="0" distB="0" distL="114300" distR="114300">
            <wp:extent cx="3811270" cy="1727835"/>
            <wp:effectExtent l="0" t="0" r="2540" b="5715"/>
            <wp:docPr id="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</w:pPr>
      <w:bookmarkStart w:id="31" w:name="_Toc211341334"/>
      <w:r>
        <w:rPr>
          <w:b/>
          <w:bCs/>
        </w:rPr>
        <w:t>Figure S2</w:t>
      </w:r>
      <w:r>
        <w:rPr>
          <w:rFonts w:hint="eastAsia"/>
          <w:b/>
          <w:bCs/>
        </w:rPr>
        <w:t>7</w:t>
      </w:r>
      <w:r>
        <w:rPr>
          <w:b/>
          <w:bCs/>
        </w:rPr>
        <w:t>.</w:t>
      </w:r>
      <w:r>
        <w:rPr>
          <w:rFonts w:hint="eastAsia"/>
          <w:b/>
          <w:bCs/>
        </w:rPr>
        <w:t xml:space="preserve"> </w:t>
      </w:r>
      <w:r>
        <w:t>The inhibition percentage of DPPH by the synthesized compound</w:t>
      </w:r>
      <w:r w:rsidR="00B46B3D">
        <w:t>s</w:t>
      </w:r>
      <w:bookmarkEnd w:id="31"/>
    </w:p>
    <w:p w:rsidR="009A4D15" w:rsidRDefault="00ED2B59">
      <w:pPr>
        <w:spacing w:line="228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>
            <wp:extent cx="4176395" cy="1800225"/>
            <wp:effectExtent l="0" t="0" r="635" b="7620"/>
            <wp:docPr id="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15" w:rsidRDefault="00ED2B59">
      <w:pPr>
        <w:pStyle w:val="1"/>
        <w:rPr>
          <w:sz w:val="20"/>
          <w:szCs w:val="20"/>
        </w:rPr>
      </w:pPr>
      <w:bookmarkStart w:id="32" w:name="_Toc211341335"/>
      <w:r>
        <w:rPr>
          <w:b/>
          <w:bCs/>
          <w:sz w:val="20"/>
          <w:szCs w:val="20"/>
        </w:rPr>
        <w:lastRenderedPageBreak/>
        <w:t>Figure S2</w:t>
      </w:r>
      <w:r>
        <w:rPr>
          <w:rFonts w:hint="eastAsia"/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.</w:t>
      </w:r>
      <w:r>
        <w:rPr>
          <w:rFonts w:hint="eastAsia"/>
          <w:sz w:val="20"/>
          <w:szCs w:val="20"/>
        </w:rPr>
        <w:t xml:space="preserve"> HPLC chromatograms for stability evaluation of the synthesized compounds</w:t>
      </w:r>
      <w:bookmarkEnd w:id="32"/>
    </w:p>
    <w:p w:rsidR="009A4D15" w:rsidRDefault="00ED2B59">
      <w:pPr>
        <w:spacing w:line="228" w:lineRule="auto"/>
        <w:rPr>
          <w:rFonts w:ascii="Times New Roman" w:hAnsi="Times New Roman"/>
          <w:lang w:bidi="ar"/>
        </w:rPr>
      </w:pPr>
      <w:r>
        <w:rPr>
          <w:rFonts w:ascii="Times New Roman" w:hAnsi="Times New Roman" w:hint="eastAsia"/>
          <w:noProof/>
          <w:lang w:bidi="ar"/>
        </w:rPr>
        <w:drawing>
          <wp:inline distT="0" distB="0" distL="114300" distR="114300">
            <wp:extent cx="5269865" cy="8263255"/>
            <wp:effectExtent l="0" t="0" r="5080" b="0"/>
            <wp:docPr id="82" name="图片 82" descr="to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total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15" w:rsidRDefault="009A4D15">
      <w:pPr>
        <w:rPr>
          <w:rFonts w:ascii="Times New Roman" w:hAnsi="Times New Roman"/>
          <w:b/>
          <w:bCs/>
          <w:lang w:bidi="ar"/>
        </w:rPr>
      </w:pPr>
    </w:p>
    <w:sectPr w:rsidR="009A4D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D15" w:rsidRDefault="00ED2B59">
      <w:pPr>
        <w:spacing w:line="240" w:lineRule="auto"/>
      </w:pPr>
      <w:r>
        <w:separator/>
      </w:r>
    </w:p>
  </w:endnote>
  <w:endnote w:type="continuationSeparator" w:id="0">
    <w:p w:rsidR="009A4D15" w:rsidRDefault="00ED2B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맑은 고딕">
    <w:altName w:val="Malgun Gothic"/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15" w:rsidRDefault="009A4D1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15" w:rsidRDefault="00ED2B59">
    <w:pPr>
      <w:pStyle w:val="a7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4D15" w:rsidRDefault="00ED2B59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A4D15" w:rsidRDefault="00ED2B59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9A4D15" w:rsidRDefault="009A4D15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15" w:rsidRDefault="00ED2B5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4D15" w:rsidRDefault="00ED2B59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A4D15" w:rsidRDefault="00ED2B59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15" w:rsidRDefault="00ED2B59">
    <w:pPr>
      <w:pStyle w:val="a7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351252244"/>
                          </w:sdtPr>
                          <w:sdtEndPr/>
                          <w:sdtContent>
                            <w:p w:rsidR="009A4D15" w:rsidRDefault="00ED2B59">
                              <w:pPr>
                                <w:pStyle w:val="a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9A4D15" w:rsidRDefault="009A4D15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D0ZAIAABEFAAAOAAAAZHJzL2Uyb0RvYy54bWysVE1uEzEU3iNxB8t7Omkqqi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jl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qqUPR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sdt>
                    <w:sdtPr>
                      <w:id w:val="-1351252244"/>
                    </w:sdtPr>
                    <w:sdtEndPr/>
                    <w:sdtContent>
                      <w:p w:rsidR="009A4D15" w:rsidRDefault="00ED2B59">
                        <w:pPr>
                          <w:pStyle w:val="a7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9A4D15" w:rsidRDefault="009A4D15"/>
                </w:txbxContent>
              </v:textbox>
              <w10:wrap anchorx="margin"/>
            </v:shape>
          </w:pict>
        </mc:Fallback>
      </mc:AlternateContent>
    </w:r>
  </w:p>
  <w:p w:rsidR="009A4D15" w:rsidRDefault="009A4D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D15" w:rsidRDefault="00ED2B59">
      <w:pPr>
        <w:spacing w:line="240" w:lineRule="auto"/>
      </w:pPr>
      <w:r>
        <w:separator/>
      </w:r>
    </w:p>
  </w:footnote>
  <w:footnote w:type="continuationSeparator" w:id="0">
    <w:p w:rsidR="009A4D15" w:rsidRDefault="00ED2B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15" w:rsidRDefault="009A4D1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15" w:rsidRDefault="009A4D15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15" w:rsidRDefault="009A4D15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HorizontalSpacing w:val="10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c0NWNkODgxNTY5MGM0OTU4MzIyMDY1ZDU5YmVhMWUifQ=="/>
  </w:docVars>
  <w:rsids>
    <w:rsidRoot w:val="000B3F9C"/>
    <w:rsid w:val="00004BB8"/>
    <w:rsid w:val="00005022"/>
    <w:rsid w:val="00006077"/>
    <w:rsid w:val="00007E8C"/>
    <w:rsid w:val="000153AD"/>
    <w:rsid w:val="00016E48"/>
    <w:rsid w:val="00016FA7"/>
    <w:rsid w:val="00020D7F"/>
    <w:rsid w:val="00022D59"/>
    <w:rsid w:val="00022D8B"/>
    <w:rsid w:val="00027830"/>
    <w:rsid w:val="00036564"/>
    <w:rsid w:val="00045832"/>
    <w:rsid w:val="00053189"/>
    <w:rsid w:val="00057933"/>
    <w:rsid w:val="00066293"/>
    <w:rsid w:val="00080624"/>
    <w:rsid w:val="000933FF"/>
    <w:rsid w:val="000B1BFE"/>
    <w:rsid w:val="000B3F9C"/>
    <w:rsid w:val="000D05FE"/>
    <w:rsid w:val="000D2CCE"/>
    <w:rsid w:val="000F0D91"/>
    <w:rsid w:val="000F0E68"/>
    <w:rsid w:val="000F5728"/>
    <w:rsid w:val="00104692"/>
    <w:rsid w:val="0010668F"/>
    <w:rsid w:val="00106F55"/>
    <w:rsid w:val="00112A04"/>
    <w:rsid w:val="00117D5E"/>
    <w:rsid w:val="00127B57"/>
    <w:rsid w:val="00127D54"/>
    <w:rsid w:val="001537B6"/>
    <w:rsid w:val="001673F9"/>
    <w:rsid w:val="00172AD8"/>
    <w:rsid w:val="00174B25"/>
    <w:rsid w:val="0017523D"/>
    <w:rsid w:val="0017613D"/>
    <w:rsid w:val="00194001"/>
    <w:rsid w:val="001A4314"/>
    <w:rsid w:val="001C21D4"/>
    <w:rsid w:val="001C3600"/>
    <w:rsid w:val="001D2294"/>
    <w:rsid w:val="001E35DD"/>
    <w:rsid w:val="001E421C"/>
    <w:rsid w:val="001E45B1"/>
    <w:rsid w:val="001E796E"/>
    <w:rsid w:val="001E7C9F"/>
    <w:rsid w:val="00211C47"/>
    <w:rsid w:val="00213EA6"/>
    <w:rsid w:val="00221689"/>
    <w:rsid w:val="0022172B"/>
    <w:rsid w:val="00245E54"/>
    <w:rsid w:val="002514D2"/>
    <w:rsid w:val="00261F83"/>
    <w:rsid w:val="002639D7"/>
    <w:rsid w:val="00263B71"/>
    <w:rsid w:val="00265709"/>
    <w:rsid w:val="00291BFD"/>
    <w:rsid w:val="00296FCC"/>
    <w:rsid w:val="00297AC6"/>
    <w:rsid w:val="002A5CF9"/>
    <w:rsid w:val="002B3841"/>
    <w:rsid w:val="002C301B"/>
    <w:rsid w:val="002C3615"/>
    <w:rsid w:val="002C4859"/>
    <w:rsid w:val="002C794F"/>
    <w:rsid w:val="002E2C32"/>
    <w:rsid w:val="002F7B3B"/>
    <w:rsid w:val="00304B4F"/>
    <w:rsid w:val="003068B3"/>
    <w:rsid w:val="00313C53"/>
    <w:rsid w:val="00321085"/>
    <w:rsid w:val="00330E96"/>
    <w:rsid w:val="003313BA"/>
    <w:rsid w:val="003327ED"/>
    <w:rsid w:val="00344771"/>
    <w:rsid w:val="00344E87"/>
    <w:rsid w:val="003627F3"/>
    <w:rsid w:val="00364242"/>
    <w:rsid w:val="003718F9"/>
    <w:rsid w:val="00372F2C"/>
    <w:rsid w:val="00376EDB"/>
    <w:rsid w:val="00382A39"/>
    <w:rsid w:val="00385A59"/>
    <w:rsid w:val="003A0623"/>
    <w:rsid w:val="003A1A27"/>
    <w:rsid w:val="003A41B0"/>
    <w:rsid w:val="003A710D"/>
    <w:rsid w:val="003C265A"/>
    <w:rsid w:val="003C2C94"/>
    <w:rsid w:val="003C739B"/>
    <w:rsid w:val="003D5AA2"/>
    <w:rsid w:val="003D6851"/>
    <w:rsid w:val="003E5280"/>
    <w:rsid w:val="00404883"/>
    <w:rsid w:val="00410D1B"/>
    <w:rsid w:val="0041251A"/>
    <w:rsid w:val="0041592C"/>
    <w:rsid w:val="004212AF"/>
    <w:rsid w:val="0043481F"/>
    <w:rsid w:val="0043715C"/>
    <w:rsid w:val="004429AC"/>
    <w:rsid w:val="004541DA"/>
    <w:rsid w:val="0046478F"/>
    <w:rsid w:val="004832BD"/>
    <w:rsid w:val="00491982"/>
    <w:rsid w:val="004A4E97"/>
    <w:rsid w:val="004B0BDA"/>
    <w:rsid w:val="004C16DE"/>
    <w:rsid w:val="004C1953"/>
    <w:rsid w:val="004D0928"/>
    <w:rsid w:val="004D0DD4"/>
    <w:rsid w:val="004D2EC9"/>
    <w:rsid w:val="004D62E4"/>
    <w:rsid w:val="004D75C2"/>
    <w:rsid w:val="004E23E5"/>
    <w:rsid w:val="004F21E8"/>
    <w:rsid w:val="004F3ED5"/>
    <w:rsid w:val="004F67A3"/>
    <w:rsid w:val="0051592A"/>
    <w:rsid w:val="005313B6"/>
    <w:rsid w:val="00535F39"/>
    <w:rsid w:val="00535FFB"/>
    <w:rsid w:val="00541BE6"/>
    <w:rsid w:val="00542B5B"/>
    <w:rsid w:val="005453EA"/>
    <w:rsid w:val="00554740"/>
    <w:rsid w:val="0056124B"/>
    <w:rsid w:val="00563842"/>
    <w:rsid w:val="0057101A"/>
    <w:rsid w:val="00571136"/>
    <w:rsid w:val="00584803"/>
    <w:rsid w:val="00586F4C"/>
    <w:rsid w:val="00590B22"/>
    <w:rsid w:val="005B13D5"/>
    <w:rsid w:val="005B277A"/>
    <w:rsid w:val="005B4F18"/>
    <w:rsid w:val="005C1068"/>
    <w:rsid w:val="005C416B"/>
    <w:rsid w:val="005C5ADD"/>
    <w:rsid w:val="005C5D8A"/>
    <w:rsid w:val="005E0893"/>
    <w:rsid w:val="005E132A"/>
    <w:rsid w:val="005E3F88"/>
    <w:rsid w:val="005E40A7"/>
    <w:rsid w:val="005E4E02"/>
    <w:rsid w:val="00615B30"/>
    <w:rsid w:val="00621C6F"/>
    <w:rsid w:val="00635F8C"/>
    <w:rsid w:val="006410C1"/>
    <w:rsid w:val="006467C7"/>
    <w:rsid w:val="0065511F"/>
    <w:rsid w:val="006561BC"/>
    <w:rsid w:val="00680588"/>
    <w:rsid w:val="006862C2"/>
    <w:rsid w:val="006A11AB"/>
    <w:rsid w:val="006A21EC"/>
    <w:rsid w:val="006A66BC"/>
    <w:rsid w:val="006C1297"/>
    <w:rsid w:val="006C2EF6"/>
    <w:rsid w:val="006E1A34"/>
    <w:rsid w:val="006E316A"/>
    <w:rsid w:val="006F0533"/>
    <w:rsid w:val="006F527C"/>
    <w:rsid w:val="006F77D9"/>
    <w:rsid w:val="007121E6"/>
    <w:rsid w:val="00712AE1"/>
    <w:rsid w:val="007148BD"/>
    <w:rsid w:val="00717DF8"/>
    <w:rsid w:val="00720502"/>
    <w:rsid w:val="0072287A"/>
    <w:rsid w:val="0073450A"/>
    <w:rsid w:val="0073694C"/>
    <w:rsid w:val="00752F09"/>
    <w:rsid w:val="00754E70"/>
    <w:rsid w:val="00760B27"/>
    <w:rsid w:val="00775B02"/>
    <w:rsid w:val="00783A70"/>
    <w:rsid w:val="007925D4"/>
    <w:rsid w:val="00796BA8"/>
    <w:rsid w:val="007A282B"/>
    <w:rsid w:val="007A71FA"/>
    <w:rsid w:val="007B1F54"/>
    <w:rsid w:val="007B6A68"/>
    <w:rsid w:val="007C0DDD"/>
    <w:rsid w:val="007C5B15"/>
    <w:rsid w:val="007D21D5"/>
    <w:rsid w:val="007D6FC1"/>
    <w:rsid w:val="007E28CB"/>
    <w:rsid w:val="007F3B56"/>
    <w:rsid w:val="007F6B13"/>
    <w:rsid w:val="00803BE5"/>
    <w:rsid w:val="00815916"/>
    <w:rsid w:val="00816626"/>
    <w:rsid w:val="008236D1"/>
    <w:rsid w:val="00832564"/>
    <w:rsid w:val="00840B66"/>
    <w:rsid w:val="00843200"/>
    <w:rsid w:val="00850AE0"/>
    <w:rsid w:val="0085238D"/>
    <w:rsid w:val="008673F3"/>
    <w:rsid w:val="0087461E"/>
    <w:rsid w:val="00891E12"/>
    <w:rsid w:val="00897485"/>
    <w:rsid w:val="008B1FE5"/>
    <w:rsid w:val="008B620D"/>
    <w:rsid w:val="008C1BEB"/>
    <w:rsid w:val="008D690D"/>
    <w:rsid w:val="008E25BD"/>
    <w:rsid w:val="008E6610"/>
    <w:rsid w:val="008F4118"/>
    <w:rsid w:val="008F4A2A"/>
    <w:rsid w:val="008F5E88"/>
    <w:rsid w:val="008F7643"/>
    <w:rsid w:val="00902D8A"/>
    <w:rsid w:val="009069B2"/>
    <w:rsid w:val="009103CB"/>
    <w:rsid w:val="00917465"/>
    <w:rsid w:val="009207AB"/>
    <w:rsid w:val="0093318C"/>
    <w:rsid w:val="00943D21"/>
    <w:rsid w:val="009463A4"/>
    <w:rsid w:val="009469AE"/>
    <w:rsid w:val="00951A3D"/>
    <w:rsid w:val="00953EDE"/>
    <w:rsid w:val="00954116"/>
    <w:rsid w:val="00954C34"/>
    <w:rsid w:val="00956493"/>
    <w:rsid w:val="00964A69"/>
    <w:rsid w:val="0096606C"/>
    <w:rsid w:val="00966C0A"/>
    <w:rsid w:val="00970E9C"/>
    <w:rsid w:val="00976300"/>
    <w:rsid w:val="00976D23"/>
    <w:rsid w:val="009949FE"/>
    <w:rsid w:val="009A4D15"/>
    <w:rsid w:val="009A72B9"/>
    <w:rsid w:val="009B0261"/>
    <w:rsid w:val="009B39A5"/>
    <w:rsid w:val="009C7665"/>
    <w:rsid w:val="009D703A"/>
    <w:rsid w:val="00A11F49"/>
    <w:rsid w:val="00A16146"/>
    <w:rsid w:val="00A204CB"/>
    <w:rsid w:val="00A4481C"/>
    <w:rsid w:val="00A51751"/>
    <w:rsid w:val="00A62383"/>
    <w:rsid w:val="00A67020"/>
    <w:rsid w:val="00A7487B"/>
    <w:rsid w:val="00A75D77"/>
    <w:rsid w:val="00A84AF6"/>
    <w:rsid w:val="00A91969"/>
    <w:rsid w:val="00A934DE"/>
    <w:rsid w:val="00AA5487"/>
    <w:rsid w:val="00AA5DDC"/>
    <w:rsid w:val="00AA6C77"/>
    <w:rsid w:val="00AB515D"/>
    <w:rsid w:val="00AD7CC1"/>
    <w:rsid w:val="00AE7E5B"/>
    <w:rsid w:val="00AF5909"/>
    <w:rsid w:val="00B079A2"/>
    <w:rsid w:val="00B11235"/>
    <w:rsid w:val="00B14024"/>
    <w:rsid w:val="00B17FBE"/>
    <w:rsid w:val="00B3284B"/>
    <w:rsid w:val="00B3445B"/>
    <w:rsid w:val="00B40130"/>
    <w:rsid w:val="00B41140"/>
    <w:rsid w:val="00B454F5"/>
    <w:rsid w:val="00B46B3D"/>
    <w:rsid w:val="00B47C79"/>
    <w:rsid w:val="00B551EC"/>
    <w:rsid w:val="00B64C3A"/>
    <w:rsid w:val="00B70DF0"/>
    <w:rsid w:val="00B72FA0"/>
    <w:rsid w:val="00B74741"/>
    <w:rsid w:val="00B755ED"/>
    <w:rsid w:val="00B80704"/>
    <w:rsid w:val="00B81E5C"/>
    <w:rsid w:val="00B82B7E"/>
    <w:rsid w:val="00B87C30"/>
    <w:rsid w:val="00B91851"/>
    <w:rsid w:val="00B954E5"/>
    <w:rsid w:val="00BA5C57"/>
    <w:rsid w:val="00BA674A"/>
    <w:rsid w:val="00BD08E5"/>
    <w:rsid w:val="00BE4BB4"/>
    <w:rsid w:val="00BF07E7"/>
    <w:rsid w:val="00BF61F2"/>
    <w:rsid w:val="00BF7D29"/>
    <w:rsid w:val="00C16523"/>
    <w:rsid w:val="00C22D51"/>
    <w:rsid w:val="00C40AE6"/>
    <w:rsid w:val="00C41AB9"/>
    <w:rsid w:val="00C45BE5"/>
    <w:rsid w:val="00C51275"/>
    <w:rsid w:val="00C54A65"/>
    <w:rsid w:val="00C57098"/>
    <w:rsid w:val="00C6222A"/>
    <w:rsid w:val="00C63122"/>
    <w:rsid w:val="00C70E71"/>
    <w:rsid w:val="00C74FF0"/>
    <w:rsid w:val="00C83FFA"/>
    <w:rsid w:val="00C90B9E"/>
    <w:rsid w:val="00CB4430"/>
    <w:rsid w:val="00CC1193"/>
    <w:rsid w:val="00CC50C7"/>
    <w:rsid w:val="00CC6D3C"/>
    <w:rsid w:val="00CD1CE3"/>
    <w:rsid w:val="00CD5A4B"/>
    <w:rsid w:val="00CE3352"/>
    <w:rsid w:val="00CF00F1"/>
    <w:rsid w:val="00CF5347"/>
    <w:rsid w:val="00CF6038"/>
    <w:rsid w:val="00D04EC7"/>
    <w:rsid w:val="00D04FDE"/>
    <w:rsid w:val="00D13F9C"/>
    <w:rsid w:val="00D152EF"/>
    <w:rsid w:val="00D262BD"/>
    <w:rsid w:val="00D3602F"/>
    <w:rsid w:val="00D5562B"/>
    <w:rsid w:val="00D62F6B"/>
    <w:rsid w:val="00D6579E"/>
    <w:rsid w:val="00D65A34"/>
    <w:rsid w:val="00D66B05"/>
    <w:rsid w:val="00D82062"/>
    <w:rsid w:val="00D82C22"/>
    <w:rsid w:val="00D94638"/>
    <w:rsid w:val="00D94C16"/>
    <w:rsid w:val="00DB299B"/>
    <w:rsid w:val="00DC0732"/>
    <w:rsid w:val="00DC541A"/>
    <w:rsid w:val="00DC5EEF"/>
    <w:rsid w:val="00DD6C71"/>
    <w:rsid w:val="00DF6946"/>
    <w:rsid w:val="00E0110B"/>
    <w:rsid w:val="00E02D41"/>
    <w:rsid w:val="00E07193"/>
    <w:rsid w:val="00E12E76"/>
    <w:rsid w:val="00E22C8E"/>
    <w:rsid w:val="00E2347E"/>
    <w:rsid w:val="00E25986"/>
    <w:rsid w:val="00E35E9F"/>
    <w:rsid w:val="00E408D4"/>
    <w:rsid w:val="00E43205"/>
    <w:rsid w:val="00E55DB6"/>
    <w:rsid w:val="00E5743B"/>
    <w:rsid w:val="00E657BE"/>
    <w:rsid w:val="00E67F91"/>
    <w:rsid w:val="00E91F69"/>
    <w:rsid w:val="00E92254"/>
    <w:rsid w:val="00EA007D"/>
    <w:rsid w:val="00EA097E"/>
    <w:rsid w:val="00EA4C49"/>
    <w:rsid w:val="00EA4FAD"/>
    <w:rsid w:val="00EC1880"/>
    <w:rsid w:val="00EC7697"/>
    <w:rsid w:val="00ED0763"/>
    <w:rsid w:val="00ED2B59"/>
    <w:rsid w:val="00EE56C3"/>
    <w:rsid w:val="00EF6C05"/>
    <w:rsid w:val="00F00C21"/>
    <w:rsid w:val="00F03851"/>
    <w:rsid w:val="00F06D49"/>
    <w:rsid w:val="00F1292F"/>
    <w:rsid w:val="00F13C11"/>
    <w:rsid w:val="00F158A3"/>
    <w:rsid w:val="00F27542"/>
    <w:rsid w:val="00F31366"/>
    <w:rsid w:val="00F43A17"/>
    <w:rsid w:val="00F54D1C"/>
    <w:rsid w:val="00F60A38"/>
    <w:rsid w:val="00F65147"/>
    <w:rsid w:val="00F90BDA"/>
    <w:rsid w:val="00F929A7"/>
    <w:rsid w:val="00FA6CC0"/>
    <w:rsid w:val="00FB13B5"/>
    <w:rsid w:val="00FC7A57"/>
    <w:rsid w:val="00FD7661"/>
    <w:rsid w:val="00FE0D2B"/>
    <w:rsid w:val="00FE6C9F"/>
    <w:rsid w:val="00FF16D2"/>
    <w:rsid w:val="00FF1FE3"/>
    <w:rsid w:val="00FF59CB"/>
    <w:rsid w:val="03F04AB6"/>
    <w:rsid w:val="061E4834"/>
    <w:rsid w:val="06920F43"/>
    <w:rsid w:val="06E54B89"/>
    <w:rsid w:val="077650D6"/>
    <w:rsid w:val="08602EE2"/>
    <w:rsid w:val="0E594DBE"/>
    <w:rsid w:val="11A01EEC"/>
    <w:rsid w:val="11ED20CF"/>
    <w:rsid w:val="15BB3E4D"/>
    <w:rsid w:val="16C50023"/>
    <w:rsid w:val="189D6D45"/>
    <w:rsid w:val="1C2838BF"/>
    <w:rsid w:val="1FF05635"/>
    <w:rsid w:val="23E235BB"/>
    <w:rsid w:val="24637B8A"/>
    <w:rsid w:val="24DD0688"/>
    <w:rsid w:val="25F80415"/>
    <w:rsid w:val="260239D5"/>
    <w:rsid w:val="26975417"/>
    <w:rsid w:val="290A02E1"/>
    <w:rsid w:val="2AFC4894"/>
    <w:rsid w:val="2C5A7AC4"/>
    <w:rsid w:val="2E2F6002"/>
    <w:rsid w:val="31B719A0"/>
    <w:rsid w:val="32456B21"/>
    <w:rsid w:val="326A08E2"/>
    <w:rsid w:val="32D0704F"/>
    <w:rsid w:val="33506F45"/>
    <w:rsid w:val="34634A1F"/>
    <w:rsid w:val="39331DC9"/>
    <w:rsid w:val="3B3C6809"/>
    <w:rsid w:val="3BD577F6"/>
    <w:rsid w:val="3C793F4B"/>
    <w:rsid w:val="3CAD448D"/>
    <w:rsid w:val="3CDF1053"/>
    <w:rsid w:val="3E4E1191"/>
    <w:rsid w:val="437D28A4"/>
    <w:rsid w:val="43AF4742"/>
    <w:rsid w:val="45534FF4"/>
    <w:rsid w:val="46193A8D"/>
    <w:rsid w:val="47AF6F36"/>
    <w:rsid w:val="48575789"/>
    <w:rsid w:val="49A97EF3"/>
    <w:rsid w:val="4B0610EB"/>
    <w:rsid w:val="4D663D23"/>
    <w:rsid w:val="4DCB7EC9"/>
    <w:rsid w:val="4ED57735"/>
    <w:rsid w:val="52A67438"/>
    <w:rsid w:val="52B551A5"/>
    <w:rsid w:val="564B02FA"/>
    <w:rsid w:val="566C587B"/>
    <w:rsid w:val="576D2D41"/>
    <w:rsid w:val="57E90877"/>
    <w:rsid w:val="5A184997"/>
    <w:rsid w:val="5D277022"/>
    <w:rsid w:val="5DDF75D7"/>
    <w:rsid w:val="640D0958"/>
    <w:rsid w:val="658C3789"/>
    <w:rsid w:val="6803673C"/>
    <w:rsid w:val="68617509"/>
    <w:rsid w:val="6A214E2F"/>
    <w:rsid w:val="6CA96FE6"/>
    <w:rsid w:val="6F040805"/>
    <w:rsid w:val="71397275"/>
    <w:rsid w:val="71490A89"/>
    <w:rsid w:val="72462B16"/>
    <w:rsid w:val="74187A03"/>
    <w:rsid w:val="757F3A75"/>
    <w:rsid w:val="759A22AD"/>
    <w:rsid w:val="761A27A2"/>
    <w:rsid w:val="77D93D86"/>
    <w:rsid w:val="77F72276"/>
    <w:rsid w:val="78297502"/>
    <w:rsid w:val="7B93675D"/>
    <w:rsid w:val="7D68663A"/>
    <w:rsid w:val="7F3F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58352"/>
  <w15:docId w15:val="{3FB9AEE0-215A-4B02-BEDD-80CF43C6F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spacing w:line="260" w:lineRule="atLeast"/>
      <w:jc w:val="both"/>
    </w:pPr>
    <w:rPr>
      <w:rFonts w:ascii="Palatino Linotype" w:hAnsi="Palatino Linotype"/>
      <w:color w:val="000000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480" w:after="80"/>
      <w:outlineLvl w:val="0"/>
    </w:pPr>
    <w:rPr>
      <w:rFonts w:ascii="Times New Roman" w:eastAsiaTheme="majorEastAsia" w:hAnsi="Times New Roman"/>
      <w:color w:val="auto"/>
      <w:sz w:val="21"/>
      <w:szCs w:val="21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autoRedefine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autoRedefine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spacing w:after="100" w:line="259" w:lineRule="auto"/>
      <w:jc w:val="left"/>
    </w:pPr>
    <w:rPr>
      <w:rFonts w:asciiTheme="minorHAnsi" w:eastAsiaTheme="minorEastAsia" w:hAnsiTheme="minorHAnsi"/>
      <w:color w:val="auto"/>
      <w:sz w:val="22"/>
      <w:szCs w:val="22"/>
    </w:rPr>
  </w:style>
  <w:style w:type="paragraph" w:styleId="ab">
    <w:name w:val="Subtitle"/>
    <w:basedOn w:val="a"/>
    <w:next w:val="a"/>
    <w:link w:val="ac"/>
    <w:autoRedefine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Normal (Web)"/>
    <w:basedOn w:val="a"/>
    <w:uiPriority w:val="99"/>
    <w:unhideWhenUsed/>
    <w:qFormat/>
    <w:rPr>
      <w:sz w:val="24"/>
    </w:rPr>
  </w:style>
  <w:style w:type="paragraph" w:styleId="ae">
    <w:name w:val="Title"/>
    <w:basedOn w:val="a"/>
    <w:next w:val="a"/>
    <w:link w:val="af"/>
    <w:autoRedefine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pPr>
      <w:jc w:val="left"/>
    </w:pPr>
    <w:rPr>
      <w:b/>
      <w:bCs/>
    </w:rPr>
  </w:style>
  <w:style w:type="table" w:styleId="af2">
    <w:name w:val="Table Grid"/>
    <w:basedOn w:val="a1"/>
    <w:autoRedefine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="Times New Roman" w:eastAsiaTheme="majorEastAsia" w:hAnsi="Times New Roman" w:cs="Times New Roman"/>
      <w:sz w:val="21"/>
      <w:szCs w:val="21"/>
    </w:rPr>
  </w:style>
  <w:style w:type="character" w:customStyle="1" w:styleId="20">
    <w:name w:val="标题 2 字符"/>
    <w:basedOn w:val="a0"/>
    <w:link w:val="2"/>
    <w:autoRedefine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autoRedefine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autoRedefine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autoRedefine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autoRedefine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autoRedefine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autoRedefine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f">
    <w:name w:val="标题 字符"/>
    <w:basedOn w:val="a0"/>
    <w:link w:val="ae"/>
    <w:autoRedefine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副标题 字符"/>
    <w:basedOn w:val="a0"/>
    <w:link w:val="ab"/>
    <w:autoRedefine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5">
    <w:name w:val="Quote"/>
    <w:basedOn w:val="a"/>
    <w:next w:val="a"/>
    <w:link w:val="af6"/>
    <w:autoRedefine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6">
    <w:name w:val="引用 字符"/>
    <w:basedOn w:val="a0"/>
    <w:link w:val="af5"/>
    <w:autoRedefine/>
    <w:uiPriority w:val="29"/>
    <w:qFormat/>
    <w:rPr>
      <w:i/>
      <w:iCs/>
      <w:color w:val="404040" w:themeColor="text1" w:themeTint="BF"/>
    </w:rPr>
  </w:style>
  <w:style w:type="paragraph" w:styleId="af7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autoRedefine/>
    <w:uiPriority w:val="21"/>
    <w:qFormat/>
    <w:rPr>
      <w:i/>
      <w:iCs/>
      <w:color w:val="0F4761" w:themeColor="accent1" w:themeShade="BF"/>
    </w:rPr>
  </w:style>
  <w:style w:type="paragraph" w:styleId="af8">
    <w:name w:val="Intense Quote"/>
    <w:basedOn w:val="a"/>
    <w:next w:val="a"/>
    <w:link w:val="af9"/>
    <w:autoRedefine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9">
    <w:name w:val="明显引用 字符"/>
    <w:basedOn w:val="a0"/>
    <w:link w:val="af8"/>
    <w:autoRedefine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autoRedefine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MDPI12title">
    <w:name w:val="MDPI_1.2_title"/>
    <w:next w:val="a"/>
    <w:autoRedefine/>
    <w:qFormat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a"/>
    <w:autoRedefine/>
    <w:qFormat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6affiliation">
    <w:name w:val="MDPI_1.6_affiliation"/>
    <w:autoRedefine/>
    <w:qFormat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character" w:customStyle="1" w:styleId="aa">
    <w:name w:val="页眉 字符"/>
    <w:basedOn w:val="a0"/>
    <w:link w:val="a9"/>
    <w:autoRedefine/>
    <w:uiPriority w:val="99"/>
    <w:qFormat/>
    <w:rPr>
      <w:rFonts w:ascii="Palatino Linotype" w:eastAsia="SimSun" w:hAnsi="Palatino Linotype" w:cs="Times New Roman"/>
      <w:color w:val="000000"/>
      <w:kern w:val="0"/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rFonts w:ascii="Palatino Linotype" w:eastAsia="SimSun" w:hAnsi="Palatino Linotype" w:cs="Times New Roman"/>
      <w:color w:val="000000"/>
      <w:kern w:val="0"/>
      <w:sz w:val="18"/>
      <w:szCs w:val="18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spacing w:before="240" w:after="0" w:line="259" w:lineRule="auto"/>
      <w:jc w:val="left"/>
      <w:outlineLvl w:val="9"/>
    </w:pPr>
    <w:rPr>
      <w:sz w:val="32"/>
      <w:szCs w:val="32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MDPI51figurecaption">
    <w:name w:val="MDPI_5.1_figure_caption"/>
    <w:basedOn w:val="a"/>
    <w:qFormat/>
    <w:pPr>
      <w:adjustRightInd w:val="0"/>
      <w:snapToGrid w:val="0"/>
      <w:spacing w:before="120" w:after="240" w:line="228" w:lineRule="auto"/>
      <w:ind w:left="2608"/>
    </w:pPr>
    <w:rPr>
      <w:rFonts w:eastAsia="Times New Roman"/>
      <w:sz w:val="18"/>
    </w:rPr>
  </w:style>
  <w:style w:type="character" w:customStyle="1" w:styleId="apple-converted-space">
    <w:name w:val="apple-converted-space"/>
    <w:basedOn w:val="a0"/>
    <w:qFormat/>
  </w:style>
  <w:style w:type="table" w:customStyle="1" w:styleId="13">
    <w:name w:val="网格型1"/>
    <w:basedOn w:val="a1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MDPI31text">
    <w:name w:val="MDPI_3.1_text"/>
    <w:basedOn w:val="a"/>
    <w:qFormat/>
    <w:pPr>
      <w:adjustRightInd w:val="0"/>
      <w:snapToGrid w:val="0"/>
      <w:spacing w:line="228" w:lineRule="auto"/>
      <w:ind w:left="2608" w:firstLine="425"/>
    </w:pPr>
    <w:rPr>
      <w:rFonts w:eastAsia="Times New Roman"/>
      <w:szCs w:val="22"/>
    </w:rPr>
  </w:style>
  <w:style w:type="character" w:customStyle="1" w:styleId="a4">
    <w:name w:val="批注文字 字符"/>
    <w:basedOn w:val="a0"/>
    <w:link w:val="a3"/>
    <w:qFormat/>
    <w:rPr>
      <w:rFonts w:ascii="Palatino Linotype" w:eastAsia="Palatino Linotype" w:hAnsi="Palatino Linotype" w:cs="Palatino Linotype" w:hint="default"/>
      <w:color w:val="00000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Palatino Linotype" w:hAnsi="Palatino Linotype" w:cs="Times New Roman"/>
      <w:color w:val="000000"/>
      <w:sz w:val="18"/>
      <w:szCs w:val="18"/>
    </w:rPr>
  </w:style>
  <w:style w:type="table" w:customStyle="1" w:styleId="21">
    <w:name w:val="网格型2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修订1"/>
    <w:hidden/>
    <w:uiPriority w:val="99"/>
    <w:semiHidden/>
    <w:qFormat/>
    <w:rPr>
      <w:rFonts w:ascii="Palatino Linotype" w:hAnsi="Palatino Linotype"/>
      <w:color w:val="000000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Palatino Linotype" w:eastAsia="Palatino Linotype" w:hAnsi="Palatino Linotype" w:cs="Times New Roman" w:hint="default"/>
      <w:b/>
      <w:bCs/>
      <w:color w:val="000000"/>
    </w:rPr>
  </w:style>
  <w:style w:type="paragraph" w:customStyle="1" w:styleId="15">
    <w:name w:val="正文1"/>
    <w:qFormat/>
    <w:pPr>
      <w:jc w:val="both"/>
    </w:pPr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0.emf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9" Type="http://schemas.openxmlformats.org/officeDocument/2006/relationships/image" Target="media/image13.emf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emf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tiff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emf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emf"/><Relationship Id="rId46" Type="http://schemas.openxmlformats.org/officeDocument/2006/relationships/image" Target="media/image30.png"/><Relationship Id="rId20" Type="http://schemas.openxmlformats.org/officeDocument/2006/relationships/package" Target="embeddings/Microsoft_Excel_Worksheet1.xlsx"/><Relationship Id="rId41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83519B-68E1-49AA-9235-7C4C95D1F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1421</Words>
  <Characters>8103</Characters>
  <Application>Microsoft Office Word</Application>
  <DocSecurity>0</DocSecurity>
  <Lines>67</Lines>
  <Paragraphs>19</Paragraphs>
  <ScaleCrop>false</ScaleCrop>
  <Company/>
  <LinksUpToDate>false</LinksUpToDate>
  <CharactersWithSpaces>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阳 颉</dc:creator>
  <cp:lastModifiedBy>user</cp:lastModifiedBy>
  <cp:revision>61</cp:revision>
  <dcterms:created xsi:type="dcterms:W3CDTF">2024-04-15T04:28:00Z</dcterms:created>
  <dcterms:modified xsi:type="dcterms:W3CDTF">2025-10-14T04:35:00Z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F5BF7519E196473088E37306FD43CD78_13</vt:lpwstr>
  </property>
  <property fmtid="{D5CDD505-2E9C-101B-9397-08002B2CF9AE}" pid="4" name="KSOTemplateDocerSaveRecord">
    <vt:lpwstr>eyJoZGlkIjoiOTc0NWNkODgxNTY5MGM0OTU4MzIyMDY1ZDU5YmVhMWUiLCJ1c2VySWQiOiIyNDQxMDM5MzgifQ==</vt:lpwstr>
  </property>
</Properties>
</file>