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0A7F4" w14:textId="45EE6AE5" w:rsidR="0018252F" w:rsidRDefault="0018252F" w:rsidP="00F00678">
      <w:pPr>
        <w:spacing w:line="360" w:lineRule="auto"/>
        <w:jc w:val="center"/>
        <w:rPr>
          <w:b/>
          <w:bCs/>
          <w:i/>
          <w:iCs/>
        </w:rPr>
      </w:pPr>
      <w:r w:rsidRPr="007A7508">
        <w:rPr>
          <w:b/>
          <w:bCs/>
          <w:i/>
          <w:iCs/>
        </w:rPr>
        <w:t xml:space="preserve">Supplementary </w:t>
      </w:r>
      <w:r>
        <w:rPr>
          <w:b/>
          <w:bCs/>
          <w:i/>
          <w:iCs/>
        </w:rPr>
        <w:t>Material</w:t>
      </w:r>
    </w:p>
    <w:p w14:paraId="554B92A0" w14:textId="73094F7B" w:rsidR="0062437C" w:rsidRDefault="0062437C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</w:p>
    <w:p w14:paraId="32149678" w14:textId="6687B904" w:rsidR="0062437C" w:rsidRDefault="00F00678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3F814C3" wp14:editId="7FD1C8E2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5246106" cy="2812930"/>
            <wp:effectExtent l="0" t="0" r="0" b="6985"/>
            <wp:wrapSquare wrapText="bothSides"/>
            <wp:docPr id="1386107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06" cy="281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B5528B" w14:textId="77777777" w:rsidR="0062437C" w:rsidRDefault="0062437C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</w:p>
    <w:p w14:paraId="61E9E846" w14:textId="77777777" w:rsidR="0062437C" w:rsidRDefault="0062437C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</w:p>
    <w:p w14:paraId="634BFD46" w14:textId="77777777" w:rsidR="00F00678" w:rsidRDefault="00F00678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</w:p>
    <w:p w14:paraId="1FA22A52" w14:textId="2E147EAA" w:rsidR="0062437C" w:rsidRPr="0062437C" w:rsidRDefault="0062437C" w:rsidP="0062437C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62437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Figure S1. Comparison between the complexome profile of mitochondria isolated from </w:t>
      </w:r>
      <w:r w:rsidRPr="0062437C">
        <w:rPr>
          <w:rFonts w:eastAsia="Arial Unicode MS" w:cstheme="minorBid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P. parva</w:t>
      </w:r>
      <w:r w:rsidRPr="0062437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with three different detergents.</w:t>
      </w:r>
    </w:p>
    <w:p w14:paraId="2B3E5D63" w14:textId="103A5555" w:rsidR="0062437C" w:rsidRPr="0062437C" w:rsidRDefault="0062437C" w:rsidP="0062437C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Mitochondria isolated from </w:t>
      </w:r>
      <w:r w:rsidRPr="0062437C">
        <w:rPr>
          <w:rFonts w:eastAsia="Arial Unicode MS" w:cstheme="minorBidi"/>
          <w:i/>
          <w:iCs/>
          <w:color w:val="000000" w:themeColor="text1"/>
          <w:kern w:val="24"/>
          <w:sz w:val="22"/>
          <w:szCs w:val="22"/>
          <w:lang w:val="en-US"/>
        </w:rPr>
        <w:t>P. parva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were solubilized with detergents at a ratio of 2:1 mg of detergent per mg of protein. The samples were separated by BN-PAGE followed by quantitative mass spectrometry analysis. The amount (iBAQ) of each of the subunits that form the different complexes was represented by a heat map. For complex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es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V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and II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, all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its known constituent 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subunits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were 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identified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, 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18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and 4, respectively.</w:t>
      </w:r>
    </w:p>
    <w:p w14:paraId="1EF7DC03" w14:textId="16A074FF" w:rsidR="0018252F" w:rsidRDefault="0018252F" w:rsidP="0018252F">
      <w:pPr>
        <w:spacing w:line="360" w:lineRule="auto"/>
        <w:jc w:val="both"/>
        <w:rPr>
          <w:b/>
          <w:bCs/>
        </w:rPr>
      </w:pPr>
    </w:p>
    <w:p w14:paraId="01AAE9F0" w14:textId="016767F6" w:rsidR="0018252F" w:rsidRDefault="0018252F" w:rsidP="0018252F">
      <w:pPr>
        <w:spacing w:line="360" w:lineRule="auto"/>
        <w:jc w:val="both"/>
        <w:rPr>
          <w:b/>
          <w:bCs/>
        </w:rPr>
      </w:pPr>
    </w:p>
    <w:p w14:paraId="4BBE646F" w14:textId="5EA8C6F1" w:rsidR="0062437C" w:rsidRDefault="0062437C" w:rsidP="0018252F">
      <w:pPr>
        <w:spacing w:line="360" w:lineRule="auto"/>
        <w:jc w:val="both"/>
        <w:rPr>
          <w:b/>
          <w:bCs/>
        </w:rPr>
      </w:pPr>
    </w:p>
    <w:p w14:paraId="784B3AE5" w14:textId="4532481E" w:rsidR="0062437C" w:rsidRDefault="0062437C" w:rsidP="0018252F">
      <w:pPr>
        <w:spacing w:line="360" w:lineRule="auto"/>
        <w:jc w:val="both"/>
        <w:rPr>
          <w:b/>
          <w:bCs/>
        </w:rPr>
      </w:pPr>
    </w:p>
    <w:p w14:paraId="41D94699" w14:textId="212A9BE1" w:rsidR="0062437C" w:rsidRDefault="0062437C" w:rsidP="0018252F">
      <w:pPr>
        <w:spacing w:line="360" w:lineRule="auto"/>
        <w:jc w:val="both"/>
        <w:rPr>
          <w:b/>
          <w:bCs/>
        </w:rPr>
      </w:pPr>
    </w:p>
    <w:p w14:paraId="1B5F93C1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66196ABA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094EA8E7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3CABABE1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56B650CD" w14:textId="2B9D156B" w:rsidR="0062437C" w:rsidRDefault="0062437C" w:rsidP="0018252F">
      <w:pPr>
        <w:spacing w:line="360" w:lineRule="auto"/>
        <w:jc w:val="both"/>
        <w:rPr>
          <w:b/>
          <w:b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45C71851" wp14:editId="351B104E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534660" cy="4111625"/>
            <wp:effectExtent l="0" t="0" r="8890" b="3175"/>
            <wp:wrapSquare wrapText="bothSides"/>
            <wp:docPr id="3" name="Imagen 2" descr="Interfaz de usuario gráfica, Text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7962732F-76AB-B120-3514-7C9840D19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Text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7962732F-76AB-B120-3514-7C9840D190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87A2D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3DA94055" w14:textId="77777777" w:rsidR="00F00678" w:rsidRDefault="00F00678" w:rsidP="0062437C">
      <w:pPr>
        <w:pStyle w:val="NormalWeb"/>
        <w:spacing w:before="0" w:beforeAutospacing="0" w:after="0" w:afterAutospacing="0"/>
        <w:jc w:val="both"/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</w:pPr>
    </w:p>
    <w:p w14:paraId="2F94DD05" w14:textId="75404523" w:rsidR="0062437C" w:rsidRPr="0062437C" w:rsidRDefault="0062437C" w:rsidP="0062437C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62437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Figure S2. Isoforms of some subunits of the OXPHOS complexes.</w:t>
      </w:r>
      <w:r>
        <w:rPr>
          <w:sz w:val="22"/>
          <w:szCs w:val="22"/>
          <w:lang w:val="en-US"/>
        </w:rPr>
        <w:t xml:space="preserve"> </w:t>
      </w:r>
      <w:r w:rsidRPr="0062437C">
        <w:rPr>
          <w:lang w:val="en-US"/>
        </w:rPr>
        <w:t xml:space="preserve">Sequence alignment </w:t>
      </w:r>
      <w:r w:rsidRPr="0062437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of the isoforms found in complex I (NUPO4, ND4 and CA3), complex II (subunit D), complex IV (Cox6b), and complex V (Asa9).</w:t>
      </w:r>
    </w:p>
    <w:p w14:paraId="089DB02A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1F1964E0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22B1A883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01C2FD69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47AC33BC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07C62637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4ACE8C70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068A68F6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43B4091A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37B7E87C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3B508E85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50313CAB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4426A83E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21276EB7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27CE7889" w14:textId="5084B3DD" w:rsidR="0062437C" w:rsidRDefault="00030C6C" w:rsidP="0018252F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EB1904" wp14:editId="35F574DC">
            <wp:extent cx="5281251" cy="2402840"/>
            <wp:effectExtent l="0" t="0" r="0" b="0"/>
            <wp:docPr id="1174986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06" cy="240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629F1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69BB938C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2D433F53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618E2037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46508376" w14:textId="2906AB3E" w:rsidR="00030C6C" w:rsidRPr="00030C6C" w:rsidRDefault="00030C6C" w:rsidP="00F00678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Table S1. 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S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ubunit 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i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soforms 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present in the algal 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OXPHOS complexes.</w:t>
      </w:r>
      <w:r>
        <w:rPr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Analysis of the clusters where the subunits belonging to the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OXPHOS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complexes were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found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allowed us to identify the presence of six subunits with small variations in amino acid composition that are also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present in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the mature complex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es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.</w:t>
      </w:r>
    </w:p>
    <w:p w14:paraId="7C1486D3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26A5E219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529E1366" w14:textId="77777777" w:rsidR="0062437C" w:rsidRDefault="0062437C" w:rsidP="0018252F">
      <w:pPr>
        <w:spacing w:line="360" w:lineRule="auto"/>
        <w:jc w:val="both"/>
        <w:rPr>
          <w:b/>
          <w:bCs/>
        </w:rPr>
      </w:pPr>
    </w:p>
    <w:p w14:paraId="70DCB0C5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FE50E1D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52285FE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53DDC6A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41B61B7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A4D4DC4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868AD0D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37D3BF9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3C65D6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63ED2174" w14:textId="7E89F4E8" w:rsidR="0062437C" w:rsidRDefault="0062437C" w:rsidP="0018252F">
      <w:pPr>
        <w:spacing w:line="360" w:lineRule="auto"/>
        <w:jc w:val="both"/>
        <w:rPr>
          <w:b/>
          <w:bCs/>
        </w:rPr>
      </w:pPr>
    </w:p>
    <w:p w14:paraId="5BED0799" w14:textId="1D99BB47" w:rsidR="00030C6C" w:rsidRDefault="00030C6C" w:rsidP="0018252F">
      <w:pPr>
        <w:spacing w:line="360" w:lineRule="auto"/>
        <w:jc w:val="both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2DB2491E" wp14:editId="1F353ED4">
            <wp:extent cx="6099175" cy="3350475"/>
            <wp:effectExtent l="0" t="0" r="0" b="2540"/>
            <wp:docPr id="6" name="Imagen 5" descr="Tabl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63ED6E49-77A0-97D7-2BDD-3B28C13DC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Tabl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63ED6E49-77A0-97D7-2BDD-3B28C13DC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936" cy="33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9B42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4A7D31A4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997C102" w14:textId="02DD08BA" w:rsidR="00030C6C" w:rsidRPr="00030C6C" w:rsidRDefault="00030C6C" w:rsidP="00030C6C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Table S2.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Subunits of mitochondrial complexes I, III, and IV identified by MS.</w:t>
      </w:r>
      <w:r>
        <w:rPr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Compar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ison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of subunits belonging to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the green alga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i/>
          <w:iCs/>
          <w:color w:val="000000" w:themeColor="text1"/>
          <w:kern w:val="24"/>
          <w:sz w:val="22"/>
          <w:szCs w:val="22"/>
          <w:lang w:val="en-US"/>
        </w:rPr>
        <w:t>C. reinhardtii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complexes, with its </w:t>
      </w:r>
      <w:r w:rsid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corresponding </w:t>
      </w:r>
      <w:r w:rsidR="00F00678"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counterparts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in the colorless </w:t>
      </w:r>
      <w:r w:rsidRPr="00030C6C">
        <w:rPr>
          <w:rFonts w:eastAsia="Arial Unicode MS" w:cstheme="minorBidi"/>
          <w:i/>
          <w:iCs/>
          <w:color w:val="000000" w:themeColor="text1"/>
          <w:kern w:val="24"/>
          <w:sz w:val="22"/>
          <w:szCs w:val="22"/>
          <w:lang w:val="en-US"/>
        </w:rPr>
        <w:t>P. parva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complexes.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a)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complex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I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.</w:t>
      </w:r>
    </w:p>
    <w:p w14:paraId="1916203F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268232A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5E66F8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999CB73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39C1C6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8AF6AF2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5D23999D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7113FB70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2A6B68B8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2AEC8FE5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32A49E1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9D540B1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6217F5E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6CCDA4E0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006718D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47A026F5" w14:textId="7C5A8D3C" w:rsidR="00030C6C" w:rsidRDefault="00030C6C" w:rsidP="0018252F">
      <w:pPr>
        <w:spacing w:line="360" w:lineRule="auto"/>
        <w:jc w:val="both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38E93F04" wp14:editId="790E09D3">
            <wp:extent cx="5612130" cy="4675505"/>
            <wp:effectExtent l="0" t="0" r="7620" b="0"/>
            <wp:docPr id="7" name="Imagen 6" descr="Tabl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AE685E07-E1C7-99FD-F2F7-3785B5A37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Tabl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AE685E07-E1C7-99FD-F2F7-3785B5A37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4BCC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4A37E60A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6E64B7D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51D7354F" w14:textId="294900F5" w:rsidR="00030C6C" w:rsidRPr="00030C6C" w:rsidRDefault="00030C6C" w:rsidP="00030C6C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Table S2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(continued)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.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Subunits of mitochondrial complexes I, III, and IV identified by MS.</w:t>
      </w:r>
      <w:r>
        <w:rPr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Compar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ison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of subunits belonging to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the green alga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30C6C">
        <w:rPr>
          <w:rFonts w:eastAsia="Arial Unicode MS" w:cstheme="minorBidi"/>
          <w:i/>
          <w:iCs/>
          <w:color w:val="000000" w:themeColor="text1"/>
          <w:kern w:val="24"/>
          <w:sz w:val="22"/>
          <w:szCs w:val="22"/>
          <w:lang w:val="en-US"/>
        </w:rPr>
        <w:t>C. reinhardtii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complexes, with its </w:t>
      </w:r>
      <w:r w:rsid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corresponding </w:t>
      </w:r>
      <w:r w:rsidR="00F00678"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counterparts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in the colorless </w:t>
      </w:r>
      <w:r w:rsidRPr="00030C6C">
        <w:rPr>
          <w:rFonts w:eastAsia="Arial Unicode MS" w:cstheme="minorBidi"/>
          <w:i/>
          <w:iCs/>
          <w:color w:val="000000" w:themeColor="text1"/>
          <w:kern w:val="24"/>
          <w:sz w:val="22"/>
          <w:szCs w:val="22"/>
          <w:lang w:val="en-US"/>
        </w:rPr>
        <w:t>P. parva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complexes.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b) complexes </w:t>
      </w:r>
      <w:r w:rsidRPr="00030C6C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III, and IV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.</w:t>
      </w:r>
    </w:p>
    <w:p w14:paraId="3B61A6F9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000BCA2E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4F8179F4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1A8F9195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364DBAB3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25EBEE2B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5422A9F4" w14:textId="77777777" w:rsidR="00030C6C" w:rsidRDefault="00030C6C" w:rsidP="0018252F">
      <w:pPr>
        <w:spacing w:line="360" w:lineRule="auto"/>
        <w:jc w:val="both"/>
        <w:rPr>
          <w:b/>
          <w:bCs/>
        </w:rPr>
      </w:pPr>
    </w:p>
    <w:p w14:paraId="658FC757" w14:textId="34B04BB2" w:rsidR="00F00678" w:rsidRPr="00F00678" w:rsidRDefault="00F00678" w:rsidP="0018252F">
      <w:pPr>
        <w:spacing w:after="16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975EC0A" wp14:editId="140BAF35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377180" cy="6699885"/>
            <wp:effectExtent l="0" t="0" r="0" b="5715"/>
            <wp:wrapSquare wrapText="bothSides"/>
            <wp:docPr id="5709586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3D62E2" w14:textId="07A97E7E" w:rsidR="00F00678" w:rsidRPr="00F00678" w:rsidRDefault="00F00678" w:rsidP="00F00678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Table S3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(continued)</w:t>
      </w: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. List of subunits of complexes I, III, and IV from </w:t>
      </w:r>
      <w:r w:rsidRPr="00F00678">
        <w:rPr>
          <w:rFonts w:eastAsia="Arial Unicode MS" w:cstheme="minorBid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C. reinhardtii</w:t>
      </w: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and their putative orthologs in </w:t>
      </w:r>
      <w:r w:rsidRPr="00F00678">
        <w:rPr>
          <w:rFonts w:eastAsia="Arial Unicode MS" w:cstheme="minorBid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P. parva.</w:t>
      </w:r>
      <w:r>
        <w:rPr>
          <w:sz w:val="22"/>
          <w:szCs w:val="22"/>
          <w:lang w:val="en-US"/>
        </w:rPr>
        <w:t xml:space="preserve">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The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name,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length of the amino acid chain and the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percentage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identity for each sequence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is listed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.</w:t>
      </w:r>
    </w:p>
    <w:p w14:paraId="2CFC23ED" w14:textId="2BF55F67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3B8AAD73" w14:textId="0257E33D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21213131" w14:textId="23699392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02A4BAC6" w14:textId="604B4490" w:rsidR="00F00678" w:rsidRDefault="00F00678" w:rsidP="0018252F">
      <w:pPr>
        <w:spacing w:after="160"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D585F3" wp14:editId="3A4E1368">
            <wp:extent cx="5633085" cy="3816350"/>
            <wp:effectExtent l="0" t="0" r="5715" b="0"/>
            <wp:docPr id="1291746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0BC79" w14:textId="77777777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0F83A5DC" w14:textId="7A88C71C" w:rsidR="00F00678" w:rsidRPr="00F00678" w:rsidRDefault="00F00678" w:rsidP="00F00678">
      <w:pPr>
        <w:pStyle w:val="NormalWeb"/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>Table S3</w:t>
      </w:r>
      <w:r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(continued)</w:t>
      </w: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. List of subunits of complexes I, III, and IV from </w:t>
      </w:r>
      <w:r w:rsidRPr="00F00678">
        <w:rPr>
          <w:rFonts w:eastAsia="Arial Unicode MS" w:cstheme="minorBid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C. reinhardtii</w:t>
      </w:r>
      <w:r w:rsidRPr="00F00678">
        <w:rPr>
          <w:rFonts w:eastAsia="Arial Unicode MS" w:cstheme="minorBidi"/>
          <w:b/>
          <w:bCs/>
          <w:color w:val="000000" w:themeColor="text1"/>
          <w:kern w:val="24"/>
          <w:sz w:val="22"/>
          <w:szCs w:val="22"/>
          <w:lang w:val="en-US"/>
        </w:rPr>
        <w:t xml:space="preserve"> and their putative orthologs in </w:t>
      </w:r>
      <w:r w:rsidRPr="00F00678">
        <w:rPr>
          <w:rFonts w:eastAsia="Arial Unicode MS" w:cstheme="minorBid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P. parva.</w:t>
      </w:r>
      <w:r>
        <w:rPr>
          <w:sz w:val="22"/>
          <w:szCs w:val="22"/>
          <w:lang w:val="en-US"/>
        </w:rPr>
        <w:t xml:space="preserve">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The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name,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length of the amino acid chain and the 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percentage 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identity for each sequence</w:t>
      </w:r>
      <w:r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 xml:space="preserve"> is listed</w:t>
      </w:r>
      <w:r w:rsidRPr="00F00678">
        <w:rPr>
          <w:rFonts w:eastAsia="Arial Unicode MS" w:cstheme="minorBidi"/>
          <w:color w:val="000000" w:themeColor="text1"/>
          <w:kern w:val="24"/>
          <w:sz w:val="22"/>
          <w:szCs w:val="22"/>
          <w:lang w:val="en-US"/>
        </w:rPr>
        <w:t>.</w:t>
      </w:r>
    </w:p>
    <w:p w14:paraId="7F6B9201" w14:textId="77777777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340ADC04" w14:textId="4893483E" w:rsidR="00F00678" w:rsidRDefault="00F00678" w:rsidP="0018252F">
      <w:pPr>
        <w:spacing w:after="160" w:line="360" w:lineRule="auto"/>
        <w:jc w:val="both"/>
        <w:rPr>
          <w:b/>
          <w:bCs/>
        </w:rPr>
      </w:pPr>
    </w:p>
    <w:p w14:paraId="2D081B74" w14:textId="77777777" w:rsidR="0018252F" w:rsidRDefault="0018252F" w:rsidP="0018252F">
      <w:pPr>
        <w:spacing w:line="360" w:lineRule="auto"/>
      </w:pPr>
    </w:p>
    <w:p w14:paraId="2BEC49D7" w14:textId="77777777" w:rsidR="00F76241" w:rsidRDefault="00F76241"/>
    <w:sectPr w:rsidR="00F762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2F"/>
    <w:rsid w:val="00030C6C"/>
    <w:rsid w:val="0018252F"/>
    <w:rsid w:val="0022650F"/>
    <w:rsid w:val="0062437C"/>
    <w:rsid w:val="00700EC7"/>
    <w:rsid w:val="00E508E9"/>
    <w:rsid w:val="00F00678"/>
    <w:rsid w:val="00F7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1473B"/>
  <w15:chartTrackingRefBased/>
  <w15:docId w15:val="{9F3FAF85-66CC-42F6-B1DD-7834FD8A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8252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bdr w:val="none" w:sz="0" w:space="0" w:color="auto"/>
      <w:lang w:val="es-MX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bdr w:val="none" w:sz="0" w:space="0" w:color="auto"/>
      <w:lang w:val="es-MX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bdr w:val="none" w:sz="0" w:space="0" w:color="auto"/>
      <w:lang w:val="es-MX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bdr w:val="none" w:sz="0" w:space="0" w:color="auto"/>
      <w:lang w:val="es-MX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bdr w:val="none" w:sz="0" w:space="0" w:color="auto"/>
      <w:lang w:val="es-MX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es-MX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es-MX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es-MX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25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es-MX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25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25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5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25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25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25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25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25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25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25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es-MX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82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252F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es-MX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82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25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es-MX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825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25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es-MX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825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252F"/>
    <w:pPr>
      <w:pBdr>
        <w:top w:val="single" w:sz="4" w:space="10" w:color="0F4761" w:themeColor="accent1" w:themeShade="BF"/>
        <w:left w:val="none" w:sz="0" w:space="0" w:color="auto"/>
        <w:bottom w:val="single" w:sz="4" w:space="10" w:color="0F4761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bdr w:val="none" w:sz="0" w:space="0" w:color="auto"/>
      <w:lang w:val="es-MX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5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25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243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GONZALEZ HALPHEN</dc:creator>
  <cp:keywords/>
  <dc:description/>
  <cp:lastModifiedBy>DIEGO GONZALEZ HALPHEN</cp:lastModifiedBy>
  <cp:revision>2</cp:revision>
  <dcterms:created xsi:type="dcterms:W3CDTF">2025-10-15T17:05:00Z</dcterms:created>
  <dcterms:modified xsi:type="dcterms:W3CDTF">2025-10-15T17:37:00Z</dcterms:modified>
</cp:coreProperties>
</file>