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B7BC7"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01194BE9"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0929D5AA"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23A6EF5B"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6D8A7571"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3B208E6F" w14:textId="22F6D272" w:rsidR="00123C91" w:rsidRPr="003B3477" w:rsidRDefault="00602BE8" w:rsidP="003B3477">
      <w:pPr>
        <w:spacing w:line="360" w:lineRule="auto"/>
        <w:jc w:val="both"/>
        <w:rPr>
          <w:rFonts w:ascii="Times New Roman" w:eastAsia="Times New Roman" w:hAnsi="Times New Roman" w:cs="Times New Roman"/>
          <w:sz w:val="22"/>
          <w:szCs w:val="22"/>
        </w:rPr>
      </w:pPr>
      <w:r w:rsidRPr="003B3477">
        <w:rPr>
          <w:rFonts w:ascii="Times New Roman" w:hAnsi="Times New Roman" w:cs="Times New Roman"/>
          <w:noProof/>
          <w:sz w:val="22"/>
          <w:szCs w:val="22"/>
        </w:rPr>
        <mc:AlternateContent>
          <mc:Choice Requires="wps">
            <w:drawing>
              <wp:anchor distT="0" distB="0" distL="114300" distR="114300" simplePos="0" relativeHeight="251658240" behindDoc="0" locked="0" layoutInCell="1" hidden="0" allowOverlap="1" wp14:anchorId="1FFB727B" wp14:editId="676E212D">
                <wp:simplePos x="0" y="0"/>
                <wp:positionH relativeFrom="margin">
                  <wp:align>left</wp:align>
                </wp:positionH>
                <wp:positionV relativeFrom="paragraph">
                  <wp:posOffset>-1270</wp:posOffset>
                </wp:positionV>
                <wp:extent cx="6127750" cy="3409950"/>
                <wp:effectExtent l="0" t="0" r="25400" b="19050"/>
                <wp:wrapNone/>
                <wp:docPr id="1" name="Rectangle 1"/>
                <wp:cNvGraphicFramePr/>
                <a:graphic xmlns:a="http://schemas.openxmlformats.org/drawingml/2006/main">
                  <a:graphicData uri="http://schemas.microsoft.com/office/word/2010/wordprocessingShape">
                    <wps:wsp>
                      <wps:cNvSpPr/>
                      <wps:spPr>
                        <a:xfrm>
                          <a:off x="0" y="0"/>
                          <a:ext cx="6127750" cy="3409950"/>
                        </a:xfrm>
                        <a:prstGeom prst="rect">
                          <a:avLst/>
                        </a:prstGeom>
                        <a:solidFill>
                          <a:schemeClr val="lt1"/>
                        </a:solidFill>
                        <a:ln w="9525" cap="flat" cmpd="sng">
                          <a:solidFill>
                            <a:srgbClr val="000000"/>
                          </a:solidFill>
                          <a:prstDash val="solid"/>
                          <a:round/>
                          <a:headEnd type="none" w="sm" len="sm"/>
                          <a:tailEnd type="none" w="sm" len="sm"/>
                        </a:ln>
                      </wps:spPr>
                      <wps:txbx>
                        <w:txbxContent>
                          <w:p w14:paraId="12431709"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Box 1: JERO Farm - An Urban Agroecology Landscape</w:t>
                            </w:r>
                          </w:p>
                          <w:p w14:paraId="32D7742F"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Figure 1 provides a comprehensive view of a vibrant urban agroecology farm. The image shows a diverse mixture of plants, including flowered and un-flowered herbs and spices. The farm's design incorporates various container gardening methods, such as raised beds supported by wooden frames and vertical gardens made from repurposed tires painted in vibrant purple and yellow hues for aesthetic appeal. Bamboo structures are used to create enclosures for some sections of the garden. The photograph also highlights innovative soil and water management techniques. The farm is situated on a noticeable slope, and timber off-cuts have been strategically used to create terraced beds, effectively trapping rainwater runoff and preventing soil erosion. Additionally, the pathways are covered with stones, a method used to protect the soil from direct exposure and erosion.</w:t>
                            </w:r>
                          </w:p>
                          <w:p w14:paraId="0E910698"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This photograph was taken in 2025 by Richard, the Executive Director at JERO Farm, at the specific request of the researcher. The researcher's objective was to obtain an image that showcased urban agroecology innovations without depicting any human subjects. This intentional framing ensures the focus remains on the agricultural technologies and practices themselves but also consider ethical issues regarding showing human faces. Richard's role in capturing the image according to these specifications makes him a collaborator in the research process, ensuring the photo's content aligns directly with the study's purpose. The image serves as a visual document of the innovative, resource-efficient practices employed at JERO Farm.</w:t>
                            </w:r>
                          </w:p>
                          <w:p w14:paraId="6CB6AEB0" w14:textId="77777777" w:rsidR="00123C91" w:rsidRPr="00602BE8" w:rsidRDefault="00000000" w:rsidP="00602BE8">
                            <w:pPr>
                              <w:spacing w:line="240" w:lineRule="auto"/>
                              <w:textDirection w:val="btLr"/>
                              <w:rPr>
                                <w:rFonts w:ascii="Times New Roman" w:hAnsi="Times New Roman" w:cs="Times New Roman"/>
                                <w:sz w:val="18"/>
                                <w:szCs w:val="18"/>
                              </w:rPr>
                            </w:pPr>
                            <w:r w:rsidRPr="00602BE8">
                              <w:rPr>
                                <w:rFonts w:ascii="Times New Roman" w:hAnsi="Times New Roman" w:cs="Times New Roman"/>
                                <w:color w:val="000000"/>
                                <w:sz w:val="18"/>
                                <w:szCs w:val="18"/>
                              </w:rPr>
                              <w:t>This shot was commissioned to highlight best-practice zones of urban agroecology technologies at JERO Farm and excludes people. Read iconographically, the image documents a small-space, low-input, ecology-first toolkit typical of urban agroecology: container and vertical gardening to multiply growing surfaces; circular use of materials (tyres, bamboo, timber off-cuts) to lower costs and embody reuse; and soil-and-water design (terracing, gravel) to manage a challenging slope. The floral diversity and labelled beds suggest integrated ecological functions (pollinator attraction, companion planting) and training/ demonstration purpose. As iconology, the image performs a persuasive narrative of “doing more with less”, it aestheticises resilience and order, showing how permaculture design converts marginal, sloped urban land into a productive micro-landscape that is attractive to learners and visitors.</w:t>
                            </w:r>
                          </w:p>
                          <w:p w14:paraId="37587BFE" w14:textId="77777777" w:rsidR="00123C91" w:rsidRPr="00602BE8" w:rsidRDefault="00123C91" w:rsidP="00602BE8">
                            <w:pPr>
                              <w:spacing w:line="240" w:lineRule="auto"/>
                              <w:jc w:val="both"/>
                              <w:textDirection w:val="btLr"/>
                              <w:rPr>
                                <w:rFonts w:ascii="Times New Roman" w:hAnsi="Times New Roman" w:cs="Times New Roman"/>
                                <w:sz w:val="18"/>
                                <w:szCs w:val="18"/>
                              </w:rPr>
                            </w:pPr>
                          </w:p>
                          <w:p w14:paraId="58998209" w14:textId="77777777" w:rsidR="00123C91" w:rsidRPr="00602BE8" w:rsidRDefault="00123C91" w:rsidP="00602BE8">
                            <w:pPr>
                              <w:spacing w:line="240" w:lineRule="auto"/>
                              <w:textDirection w:val="btLr"/>
                              <w:rPr>
                                <w:rFonts w:ascii="Times New Roman" w:hAnsi="Times New Roman" w:cs="Times New Roman"/>
                                <w:sz w:val="18"/>
                                <w:szCs w:val="18"/>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FFB727B" id="Rectangle 1" o:spid="_x0000_s1026" style="position:absolute;left:0;text-align:left;margin-left:0;margin-top:-.1pt;width:482.5pt;height:268.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B6CDQIAADIEAAAOAAAAZHJzL2Uyb0RvYy54bWysU1GP2jAMfp+0/xDlfbRlcIyKcpqOMU06&#10;bUi3/QCTpjRSmmRxoOXfzwkMuG3SSaf1IbUb9/Pnz/bifug0O0iPypqKF6OcM2mErZXZVfzH9/W7&#10;D5xhAFODtkZW/CiR3y/fvln0rpRj21pdS88IxGDZu4q3Ibgyy1C0sgMcWScNXTbWdxDI9bus9tAT&#10;eqezcZ7fZb31tfNWSET6ujpd8mXCbxopwremQRmYrjhxC+n06dzGM1suoNx5cK0SZxrwChYdKENJ&#10;L1ArCMD2Xv0F1SnhLdomjITtMts0SshUA1VT5H9U89SCk6kWEgfdRSb8f7Di6+HJbTzJ0DsskcxY&#10;xdD4Lr6JHxuSWMeLWHIITNDHu2I8m01JU0F37yf5fE4O4WTX353H8FnajkWj4p66kUSCwyOGU+jv&#10;kJgNrVb1WmmdnDgB8kF7dgDqnQ7FGfxZlDasr/h8Op4SD6D5aTQEMjtXVxzNLqV79gf63faCmqfn&#10;X8CR1wqwPWVPCDEMSm/3pk5WK6H+ZGoWjo4G29B480gGO860pGUgI8UFUPrlOJJNG1Lv2oZohWE7&#10;EEg0t7Y+bjxDJ9aKyD0Chg14GtaC0tIAU8Kfe/BEQn8xNCHzYhJVCcmZTGc5tcrf3mxvb8CI1tJe&#10;kHgn8yGkLYklG/txH2yjUsuuVM5kaTBT089LFCf/1k9R11Vf/gIAAP//AwBQSwMEFAAGAAgAAAAh&#10;APTmdC/bAAAABgEAAA8AAABkcnMvZG93bnJldi54bWxMj8FOwzAQRO9I/IO1SNxah6JGJWRTARJX&#10;pJZKtDcnXpKo8Tqyndb5e8wJjqMZzbwpt9EM4kLO95YRHpYZCOLG6p5bhMPn+2IDwgfFWg2WCWEm&#10;D9vq9qZUhbZX3tFlH1qRStgXCqELYSyk9E1HRvmlHYmT922dUSFJ10rt1DWVm0GusiyXRvWcFjo1&#10;0ltHzXk/GYTTV+xf58wd464+m8N8/Di184R4fxdfnkEEiuEvDL/4CR2qxFTbibUXA0I6EhAWKxDJ&#10;fMrXSdcI68d8A7Iq5X/86gcAAP//AwBQSwECLQAUAAYACAAAACEAtoM4kv4AAADhAQAAEwAAAAAA&#10;AAAAAAAAAAAAAAAAW0NvbnRlbnRfVHlwZXNdLnhtbFBLAQItABQABgAIAAAAIQA4/SH/1gAAAJQB&#10;AAALAAAAAAAAAAAAAAAAAC8BAABfcmVscy8ucmVsc1BLAQItABQABgAIAAAAIQCHTB6CDQIAADIE&#10;AAAOAAAAAAAAAAAAAAAAAC4CAABkcnMvZTJvRG9jLnhtbFBLAQItABQABgAIAAAAIQD05nQv2wAA&#10;AAYBAAAPAAAAAAAAAAAAAAAAAGcEAABkcnMvZG93bnJldi54bWxQSwUGAAAAAAQABADzAAAAbwUA&#10;AAAA&#10;" fillcolor="white [3201]">
                <v:stroke startarrowwidth="narrow" startarrowlength="short" endarrowwidth="narrow" endarrowlength="short" joinstyle="round"/>
                <v:textbox inset="2.53958mm,1.2694mm,2.53958mm,1.2694mm">
                  <w:txbxContent>
                    <w:p w14:paraId="12431709"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Box 1: JERO Farm - An Urban Agroecology Landscape</w:t>
                      </w:r>
                    </w:p>
                    <w:p w14:paraId="32D7742F"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 xml:space="preserve">Figure 1 provides a comprehensive view of a vibrant urban agroecology farm. The image shows a diverse mixture of plants, including flowered and un-flowered herbs and spices. The farm's design incorporates various container gardening methods, such as raised beds supported by wooden frames and vertical gardens made from repurposed tires painted in vibrant purple and yellow hues for aesthetic appeal. Bamboo structures are used to create enclosures for some sections of the garden. The photograph also highlights innovative soil and water management techniques. The farm is situated on a noticeable slope, and timber </w:t>
                      </w:r>
                      <w:proofErr w:type="gramStart"/>
                      <w:r w:rsidRPr="00602BE8">
                        <w:rPr>
                          <w:rFonts w:ascii="Times New Roman" w:eastAsia="Times New Roman" w:hAnsi="Times New Roman" w:cs="Times New Roman"/>
                          <w:color w:val="000000"/>
                          <w:sz w:val="18"/>
                          <w:szCs w:val="18"/>
                        </w:rPr>
                        <w:t>off-cuts</w:t>
                      </w:r>
                      <w:proofErr w:type="gramEnd"/>
                      <w:r w:rsidRPr="00602BE8">
                        <w:rPr>
                          <w:rFonts w:ascii="Times New Roman" w:eastAsia="Times New Roman" w:hAnsi="Times New Roman" w:cs="Times New Roman"/>
                          <w:color w:val="000000"/>
                          <w:sz w:val="18"/>
                          <w:szCs w:val="18"/>
                        </w:rPr>
                        <w:t xml:space="preserve"> have been strategically used to create terraced beds, effectively trapping rainwater runoff and preventing soil erosion. Additionally, the pathways are covered with stones, a method used to protect the soil from direct exposure and erosion.</w:t>
                      </w:r>
                    </w:p>
                    <w:p w14:paraId="0E910698" w14:textId="77777777" w:rsidR="00123C91" w:rsidRPr="00602BE8" w:rsidRDefault="00000000" w:rsidP="00602BE8">
                      <w:pPr>
                        <w:spacing w:line="240" w:lineRule="auto"/>
                        <w:jc w:val="both"/>
                        <w:textDirection w:val="btLr"/>
                        <w:rPr>
                          <w:rFonts w:ascii="Times New Roman" w:hAnsi="Times New Roman" w:cs="Times New Roman"/>
                          <w:sz w:val="18"/>
                          <w:szCs w:val="18"/>
                        </w:rPr>
                      </w:pPr>
                      <w:r w:rsidRPr="00602BE8">
                        <w:rPr>
                          <w:rFonts w:ascii="Times New Roman" w:eastAsia="Times New Roman" w:hAnsi="Times New Roman" w:cs="Times New Roman"/>
                          <w:color w:val="000000"/>
                          <w:sz w:val="18"/>
                          <w:szCs w:val="18"/>
                        </w:rPr>
                        <w:t>This photograph was taken in 2025 by Richard, the Executive Director at JERO Farm, at the specific request of the researcher. The researcher's objective was to obtain an image that showcased urban agroecology innovations without depicting any human subjects. This intentional framing ensures the focus remains on the agricultural technologies and practices themselves but also consider ethical issues regarding showing human faces. Richard's role in capturing the image according to these specifications makes him a collaborator in the research process, ensuring the photo's content aligns directly with the study's purpose. The image serves as a visual document of the innovative, resource-efficient practices employed at JERO Farm.</w:t>
                      </w:r>
                    </w:p>
                    <w:p w14:paraId="6CB6AEB0" w14:textId="77777777" w:rsidR="00123C91" w:rsidRPr="00602BE8" w:rsidRDefault="00000000" w:rsidP="00602BE8">
                      <w:pPr>
                        <w:spacing w:line="240" w:lineRule="auto"/>
                        <w:textDirection w:val="btLr"/>
                        <w:rPr>
                          <w:rFonts w:ascii="Times New Roman" w:hAnsi="Times New Roman" w:cs="Times New Roman"/>
                          <w:sz w:val="18"/>
                          <w:szCs w:val="18"/>
                        </w:rPr>
                      </w:pPr>
                      <w:r w:rsidRPr="00602BE8">
                        <w:rPr>
                          <w:rFonts w:ascii="Times New Roman" w:hAnsi="Times New Roman" w:cs="Times New Roman"/>
                          <w:color w:val="000000"/>
                          <w:sz w:val="18"/>
                          <w:szCs w:val="18"/>
                        </w:rPr>
                        <w:t xml:space="preserve">This shot was commissioned to highlight best-practice zones of urban agroecology technologies at JERO Farm and excludes people. Read iconographically, the image documents a small-space, low-input, ecology-first toolkit typical of urban agroecology: container and vertical gardening to multiply growing surfaces; circular use of materials (tyres, bamboo, timber off-cuts) to lower costs and embody reuse; and soil-and-water design (terracing, gravel) to manage a challenging slope. The floral diversity and labelled beds suggest integrated ecological functions (pollinator attraction, companion planting) and training/ demonstration purpose. As iconology, the image performs a persuasive narrative of “doing more with less”, it </w:t>
                      </w:r>
                      <w:proofErr w:type="spellStart"/>
                      <w:r w:rsidRPr="00602BE8">
                        <w:rPr>
                          <w:rFonts w:ascii="Times New Roman" w:hAnsi="Times New Roman" w:cs="Times New Roman"/>
                          <w:color w:val="000000"/>
                          <w:sz w:val="18"/>
                          <w:szCs w:val="18"/>
                        </w:rPr>
                        <w:t>aestheticises</w:t>
                      </w:r>
                      <w:proofErr w:type="spellEnd"/>
                      <w:r w:rsidRPr="00602BE8">
                        <w:rPr>
                          <w:rFonts w:ascii="Times New Roman" w:hAnsi="Times New Roman" w:cs="Times New Roman"/>
                          <w:color w:val="000000"/>
                          <w:sz w:val="18"/>
                          <w:szCs w:val="18"/>
                        </w:rPr>
                        <w:t xml:space="preserve"> resilience and order, showing how permaculture design converts marginal, sloped urban land into a productive micro-landscape that is attractive to learners and visitors.</w:t>
                      </w:r>
                    </w:p>
                    <w:p w14:paraId="37587BFE" w14:textId="77777777" w:rsidR="00123C91" w:rsidRPr="00602BE8" w:rsidRDefault="00123C91" w:rsidP="00602BE8">
                      <w:pPr>
                        <w:spacing w:line="240" w:lineRule="auto"/>
                        <w:jc w:val="both"/>
                        <w:textDirection w:val="btLr"/>
                        <w:rPr>
                          <w:rFonts w:ascii="Times New Roman" w:hAnsi="Times New Roman" w:cs="Times New Roman"/>
                          <w:sz w:val="18"/>
                          <w:szCs w:val="18"/>
                        </w:rPr>
                      </w:pPr>
                    </w:p>
                    <w:p w14:paraId="58998209" w14:textId="77777777" w:rsidR="00123C91" w:rsidRPr="00602BE8" w:rsidRDefault="00123C91" w:rsidP="00602BE8">
                      <w:pPr>
                        <w:spacing w:line="240" w:lineRule="auto"/>
                        <w:textDirection w:val="btLr"/>
                        <w:rPr>
                          <w:rFonts w:ascii="Times New Roman" w:hAnsi="Times New Roman" w:cs="Times New Roman"/>
                          <w:sz w:val="18"/>
                          <w:szCs w:val="18"/>
                        </w:rPr>
                      </w:pPr>
                    </w:p>
                  </w:txbxContent>
                </v:textbox>
                <w10:wrap anchorx="margin"/>
              </v:rect>
            </w:pict>
          </mc:Fallback>
        </mc:AlternateContent>
      </w:r>
    </w:p>
    <w:p w14:paraId="6B051635"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3D31DFF2"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3D6927F2"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062E5160"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44939419"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1C8656F5"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0E0890E5"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5E58F26E"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3D042AE5"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3D4EF09F" w14:textId="77777777" w:rsidR="00602BE8" w:rsidRPr="003B3477" w:rsidRDefault="00602BE8" w:rsidP="003B3477">
      <w:pPr>
        <w:spacing w:line="360" w:lineRule="auto"/>
        <w:jc w:val="both"/>
        <w:rPr>
          <w:rFonts w:ascii="Times New Roman" w:eastAsia="Times New Roman" w:hAnsi="Times New Roman" w:cs="Times New Roman"/>
          <w:sz w:val="22"/>
          <w:szCs w:val="22"/>
        </w:rPr>
      </w:pPr>
    </w:p>
    <w:p w14:paraId="00FE6FED" w14:textId="77777777" w:rsidR="00123C91" w:rsidRPr="003B3477" w:rsidRDefault="00000000" w:rsidP="003B3477">
      <w:pPr>
        <w:spacing w:line="360" w:lineRule="auto"/>
        <w:jc w:val="both"/>
        <w:rPr>
          <w:rFonts w:ascii="Times New Roman" w:eastAsia="Times New Roman" w:hAnsi="Times New Roman" w:cs="Times New Roman"/>
          <w:sz w:val="22"/>
          <w:szCs w:val="22"/>
        </w:rPr>
      </w:pPr>
      <w:r w:rsidRPr="003B3477">
        <w:rPr>
          <w:rFonts w:ascii="Times New Roman" w:hAnsi="Times New Roman" w:cs="Times New Roman"/>
          <w:noProof/>
          <w:sz w:val="22"/>
          <w:szCs w:val="22"/>
        </w:rPr>
        <mc:AlternateContent>
          <mc:Choice Requires="wps">
            <w:drawing>
              <wp:anchor distT="0" distB="0" distL="114300" distR="114300" simplePos="0" relativeHeight="251659264" behindDoc="0" locked="0" layoutInCell="1" hidden="0" allowOverlap="1" wp14:anchorId="5D28013B" wp14:editId="6FF06B07">
                <wp:simplePos x="0" y="0"/>
                <wp:positionH relativeFrom="column">
                  <wp:posOffset>50800</wp:posOffset>
                </wp:positionH>
                <wp:positionV relativeFrom="paragraph">
                  <wp:posOffset>97790</wp:posOffset>
                </wp:positionV>
                <wp:extent cx="6184900" cy="1511300"/>
                <wp:effectExtent l="0" t="0" r="25400" b="12700"/>
                <wp:wrapNone/>
                <wp:docPr id="2" name="Rectangle 2"/>
                <wp:cNvGraphicFramePr/>
                <a:graphic xmlns:a="http://schemas.openxmlformats.org/drawingml/2006/main">
                  <a:graphicData uri="http://schemas.microsoft.com/office/word/2010/wordprocessingShape">
                    <wps:wsp>
                      <wps:cNvSpPr/>
                      <wps:spPr>
                        <a:xfrm>
                          <a:off x="0" y="0"/>
                          <a:ext cx="6184900" cy="1511300"/>
                        </a:xfrm>
                        <a:prstGeom prst="rect">
                          <a:avLst/>
                        </a:prstGeom>
                        <a:solidFill>
                          <a:schemeClr val="lt1"/>
                        </a:solidFill>
                        <a:ln w="9525" cap="flat" cmpd="sng">
                          <a:solidFill>
                            <a:srgbClr val="000000"/>
                          </a:solidFill>
                          <a:prstDash val="solid"/>
                          <a:round/>
                          <a:headEnd type="none" w="sm" len="sm"/>
                          <a:tailEnd type="none" w="sm" len="sm"/>
                        </a:ln>
                      </wps:spPr>
                      <wps:txbx>
                        <w:txbxContent>
                          <w:p w14:paraId="6D63C751" w14:textId="77777777" w:rsidR="00123C91" w:rsidRPr="00602BE8" w:rsidRDefault="00000000">
                            <w:pPr>
                              <w:spacing w:line="277" w:lineRule="auto"/>
                              <w:jc w:val="both"/>
                              <w:textDirection w:val="btLr"/>
                              <w:rPr>
                                <w:rFonts w:ascii="Times New Roman" w:hAnsi="Times New Roman" w:cs="Times New Roman"/>
                                <w:sz w:val="18"/>
                                <w:szCs w:val="18"/>
                              </w:rPr>
                            </w:pPr>
                            <w:r w:rsidRPr="00602BE8">
                              <w:rPr>
                                <w:rFonts w:ascii="Times New Roman" w:hAnsi="Times New Roman" w:cs="Times New Roman"/>
                                <w:color w:val="000000"/>
                                <w:sz w:val="18"/>
                                <w:szCs w:val="18"/>
                              </w:rPr>
                              <w:t>Box 2: Fig. 2 depicts a vertical hydroponic system engineered for small-space intensification. A rigid white-and-green steel rack supports multiple parallel channels populated with net-pot vegetable seedlings, creating a clear grid that communicates repeatability and throughput. The house wall acts as a structural spine, underscoring household integration and minimal land take; reservoir tanks visible under the rack imply recirculating nutrient delivery (exact plumbing unseen). A light canopy above suggests rain/sun management, while the lawn and paved edge indicate a tidy, accessible service corridor. The person in the distance supplies scale and gestures to routine hands-on care, and the thatched shelter situates the installation within a local farmyard. Fig 2 effectively evidences an adoptable, urban/peri-urban hydroponic innovation that brings production to the home edge: compact footprint, orderly modularity, and visually clean operation suited to training and outreach. Fig 1 shows JERO Farm’s diverse permaculture design for space utilization, while this Fig 2 highlights its structured hydroponic system for space-efficient production.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D28013B" id="Rectangle 2" o:spid="_x0000_s1027" style="position:absolute;left:0;text-align:left;margin-left:4pt;margin-top:7.7pt;width:487pt;height:1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3gDwIAADkEAAAOAAAAZHJzL2Uyb0RvYy54bWysU1GP0zAMfkfiP0R5Z23HdtyqdSd0Ywjp&#10;BJMOfoCbpmukNAlxtnb/Hicb2w6QkBB7yOzE/fz5s718GHvNDtKjsqbixSTnTBphG2V2Ff/2dfPm&#10;njMMYBrQ1siKHyXyh9XrV8vBlXJqO6sb6RmBGCwHV/EuBFdmGYpO9oAT66Shx9b6HgK5fpc1HgZC&#10;73U2zfO7bLC+cd4KiUi369MjXyX8tpUifGlblIHpihO3kE6fzjqe2WoJ5c6D65Q404B/YNGDMpT0&#10;ArWGAGzv1W9QvRLeom3DRNg+s22rhEw1UDVF/ks1zx04mWohcdBdZML/Bys+H57d1pMMg8MSyYxV&#10;jK3v4z/xY2MS63gRS46BCbq8K+5ni5w0FfRWzIviLTmEk10/dx7DR2l7Fo2Ke+pGEgkOTxhOoT9D&#10;Yja0WjUbpXVy4gTIR+3ZAah3OhRn8BdR2rCh4ov5dE48gOan1RDI7F1TcTS7lO7FF+h39QU1T78/&#10;AUdea8DulD0hxDAovd2bJlmdhOaDaVg4OhpsQ+PNIxnsOdOSloGMFBdA6b/HkWzakHrXNkQrjPXI&#10;FNWSqo83tW2OW8/QiY0ijk+AYQueZrag7DTHlPf7Hjxx0Z8MDcqimEVxQnJm83exY/72pb59ASM6&#10;S+tBGp7Mx5CWJVZu7Pt9sK1KnbtSOXOm+Uy9P+9SXIBbP0VdN371AwAA//8DAFBLAwQUAAYACAAA&#10;ACEA+uNLhd0AAAAIAQAADwAAAGRycy9kb3ducmV2LnhtbEyPwU7DMBBE70j8g7VI3KhDaFFI41SA&#10;xBWppRLtzYm3SdR4HcVO6/w9ywmOOzOafVNsou3FBUffOVLwuEhAINXOdNQo2H99PGQgfNBkdO8I&#10;FczoYVPe3hQ6N+5KW7zsQiO4hHyuFbQhDLmUvm7Rar9wAxJ7JzdaHfgcG2lGfeVy28s0SZ6l1R3x&#10;h1YP+N5ifd5NVsHxO3ZvczIe4rY62/18+Dw286TU/V18XYMIGMNfGH7xGR1KZqrcRMaLXkHGSwLL&#10;qyUItl+ylIVKQbp6WoIsC/l/QPkDAAD//wMAUEsBAi0AFAAGAAgAAAAhALaDOJL+AAAA4QEAABMA&#10;AAAAAAAAAAAAAAAAAAAAAFtDb250ZW50X1R5cGVzXS54bWxQSwECLQAUAAYACAAAACEAOP0h/9YA&#10;AACUAQAACwAAAAAAAAAAAAAAAAAvAQAAX3JlbHMvLnJlbHNQSwECLQAUAAYACAAAACEA0X694A8C&#10;AAA5BAAADgAAAAAAAAAAAAAAAAAuAgAAZHJzL2Uyb0RvYy54bWxQSwECLQAUAAYACAAAACEA+uNL&#10;hd0AAAAIAQAADwAAAAAAAAAAAAAAAABpBAAAZHJzL2Rvd25yZXYueG1sUEsFBgAAAAAEAAQA8wAA&#10;AHMFAAAAAA==&#10;" fillcolor="white [3201]">
                <v:stroke startarrowwidth="narrow" startarrowlength="short" endarrowwidth="narrow" endarrowlength="short" joinstyle="round"/>
                <v:textbox inset="2.53958mm,1.2694mm,2.53958mm,1.2694mm">
                  <w:txbxContent>
                    <w:p w14:paraId="6D63C751" w14:textId="77777777" w:rsidR="00123C91" w:rsidRPr="00602BE8" w:rsidRDefault="00000000">
                      <w:pPr>
                        <w:spacing w:line="277" w:lineRule="auto"/>
                        <w:jc w:val="both"/>
                        <w:textDirection w:val="btLr"/>
                        <w:rPr>
                          <w:rFonts w:ascii="Times New Roman" w:hAnsi="Times New Roman" w:cs="Times New Roman"/>
                          <w:sz w:val="18"/>
                          <w:szCs w:val="18"/>
                        </w:rPr>
                      </w:pPr>
                      <w:r w:rsidRPr="00602BE8">
                        <w:rPr>
                          <w:rFonts w:ascii="Times New Roman" w:hAnsi="Times New Roman" w:cs="Times New Roman"/>
                          <w:color w:val="000000"/>
                          <w:sz w:val="18"/>
                          <w:szCs w:val="18"/>
                        </w:rPr>
                        <w:t>Box 2: Fig. 2 depicts a vertical hydroponic system engineered for small-space intensification. A rigid white-and-green steel rack supports multiple parallel channels populated with net-pot vegetable seedlings, creating a clear grid that communicates repeatability and throughput. The house wall acts as a structural spine, underscoring household integration and minimal land take; reservoir tanks visible under the rack imply recirculating nutrient delivery (exact plumbing unseen). A light canopy above suggests rain/sun management, while the lawn and paved edge indicate a tidy, accessible service corridor. The person in the distance supplies scale and gestures to routine hands-on care, and the thatched shelter situates the installation within a local farmyard. Fig 2 effectively evidences an adoptable, urban/peri-urban hydroponic innovation that brings production to the home edge: compact footprint, orderly modularity, and visually clean operation suited to training and outreach. Fig 1 shows JERO Farm’s diverse permaculture design for space utilization, while this Fig 2 highlights its structured hydroponic system for space-efficient production.</w:t>
                      </w:r>
                    </w:p>
                  </w:txbxContent>
                </v:textbox>
              </v:rect>
            </w:pict>
          </mc:Fallback>
        </mc:AlternateContent>
      </w:r>
    </w:p>
    <w:p w14:paraId="3C18907E"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156C10DD"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6DCF9A1E"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505854B4"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67B65521"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58ECC7BA"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0EB70443"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36E8E579" w14:textId="08202520" w:rsidR="00123C91" w:rsidRPr="003B3477" w:rsidRDefault="00123C91" w:rsidP="003B3477">
      <w:pPr>
        <w:spacing w:line="360" w:lineRule="auto"/>
        <w:jc w:val="both"/>
        <w:rPr>
          <w:rFonts w:ascii="Times New Roman" w:eastAsia="Times New Roman" w:hAnsi="Times New Roman" w:cs="Times New Roman"/>
          <w:sz w:val="22"/>
          <w:szCs w:val="22"/>
        </w:rPr>
      </w:pPr>
    </w:p>
    <w:p w14:paraId="1FB82AB3" w14:textId="11072AFC" w:rsidR="00123C91" w:rsidRPr="003B3477" w:rsidRDefault="00123C91" w:rsidP="003B3477">
      <w:pPr>
        <w:spacing w:line="360" w:lineRule="auto"/>
        <w:jc w:val="both"/>
        <w:rPr>
          <w:rFonts w:ascii="Times New Roman" w:eastAsia="Times New Roman" w:hAnsi="Times New Roman" w:cs="Times New Roman"/>
          <w:sz w:val="22"/>
          <w:szCs w:val="22"/>
        </w:rPr>
      </w:pPr>
    </w:p>
    <w:p w14:paraId="7E474D6A" w14:textId="5B08C96E" w:rsidR="00602BE8" w:rsidRPr="003B3477" w:rsidRDefault="00746157" w:rsidP="003B3477">
      <w:pPr>
        <w:spacing w:line="360" w:lineRule="auto"/>
        <w:jc w:val="both"/>
        <w:rPr>
          <w:rFonts w:ascii="Times New Roman" w:eastAsia="Times New Roman" w:hAnsi="Times New Roman" w:cs="Times New Roman"/>
          <w:sz w:val="22"/>
          <w:szCs w:val="22"/>
        </w:rPr>
      </w:pPr>
      <w:r w:rsidRPr="003B3477">
        <w:rPr>
          <w:rFonts w:ascii="Times New Roman" w:hAnsi="Times New Roman" w:cs="Times New Roman"/>
          <w:noProof/>
          <w:sz w:val="22"/>
          <w:szCs w:val="22"/>
        </w:rPr>
        <mc:AlternateContent>
          <mc:Choice Requires="wps">
            <w:drawing>
              <wp:anchor distT="0" distB="0" distL="114300" distR="114300" simplePos="0" relativeHeight="251660288" behindDoc="0" locked="0" layoutInCell="1" hidden="0" allowOverlap="1" wp14:anchorId="11F06464" wp14:editId="0B008ACB">
                <wp:simplePos x="0" y="0"/>
                <wp:positionH relativeFrom="column">
                  <wp:posOffset>-133350</wp:posOffset>
                </wp:positionH>
                <wp:positionV relativeFrom="paragraph">
                  <wp:posOffset>313055</wp:posOffset>
                </wp:positionV>
                <wp:extent cx="6679565" cy="3092450"/>
                <wp:effectExtent l="0" t="0" r="26035" b="12700"/>
                <wp:wrapNone/>
                <wp:docPr id="3" name="Rectangle 3"/>
                <wp:cNvGraphicFramePr/>
                <a:graphic xmlns:a="http://schemas.openxmlformats.org/drawingml/2006/main">
                  <a:graphicData uri="http://schemas.microsoft.com/office/word/2010/wordprocessingShape">
                    <wps:wsp>
                      <wps:cNvSpPr/>
                      <wps:spPr>
                        <a:xfrm>
                          <a:off x="0" y="0"/>
                          <a:ext cx="6679565" cy="3092450"/>
                        </a:xfrm>
                        <a:prstGeom prst="rect">
                          <a:avLst/>
                        </a:prstGeom>
                        <a:solidFill>
                          <a:schemeClr val="lt1"/>
                        </a:solidFill>
                        <a:ln w="9525" cap="flat" cmpd="sng">
                          <a:solidFill>
                            <a:srgbClr val="000000"/>
                          </a:solidFill>
                          <a:prstDash val="solid"/>
                          <a:round/>
                          <a:headEnd type="none" w="sm" len="sm"/>
                          <a:tailEnd type="none" w="sm" len="sm"/>
                        </a:ln>
                      </wps:spPr>
                      <wps:txbx>
                        <w:txbxContent>
                          <w:p w14:paraId="32F1DCB9" w14:textId="77777777" w:rsidR="00123C91" w:rsidRPr="00746157" w:rsidRDefault="00000000">
                            <w:pPr>
                              <w:spacing w:line="277" w:lineRule="auto"/>
                              <w:jc w:val="both"/>
                              <w:textDirection w:val="btLr"/>
                            </w:pPr>
                            <w:r w:rsidRPr="00746157">
                              <w:rPr>
                                <w:color w:val="000000"/>
                                <w:sz w:val="16"/>
                              </w:rPr>
                              <w:t xml:space="preserve">Box 3: Fig 3. Shows a small space design at AFIRD centre. There are reused car tires elevated on bricks and wood. They operate as sturdy, container beds that define micro-plots to raise soil above compaction. Adjacent to them are wood-supported soil boxes that provide more planting area. There are diverse plants ranging from herbs, spices to ornamentals, and trees. A compact solar dryer (poly-sheet box) on the right evidences post-harvest handling/value addition, linking production to preservation. The wooden house behind functions as a training/meeting facility, while a stone-laid lane provides all-weather access and runoff control; wall/hanging gardens increase vertical growing surfaces and demonstrate greening of built structures. Fig 3 effectively documents AFIRD’s hands-on demonstration of circular materials, diversified planting, and integrated training infrastructure that together model “doing more with less” in a constrained urban setting.  </w:t>
                            </w:r>
                          </w:p>
                          <w:p w14:paraId="03AD81AC" w14:textId="77777777" w:rsidR="00123C91" w:rsidRPr="00746157" w:rsidRDefault="00000000">
                            <w:pPr>
                              <w:spacing w:line="277" w:lineRule="auto"/>
                              <w:jc w:val="both"/>
                              <w:textDirection w:val="btLr"/>
                            </w:pPr>
                            <w:r w:rsidRPr="00746157">
                              <w:rPr>
                                <w:color w:val="000000"/>
                                <w:sz w:val="16"/>
                              </w:rPr>
                              <w:t xml:space="preserve">Read iconographically, the image documents a small-space, low-input, ecology-first toolkit typical of urban agroecology: container and vertical gardening (hanging pots, wall gardens) to multiply growing surfaces; circular use of materials, reused car tyres on brick/wood bases and timber off-cuts in box planters, to lower costs and embody reuse; and soil-and-water design where raised containers and a stone lane help manage drainage, reduce compaction, and organise movement. The plant diversity (herbs, spices, ornamentals) and species labels signal integrated ecological functions (pollinator attraction, companion planting) and a clear training/demonstration purpose. As iconology, the scene performs a persuasive narrative of “doing more with less”, aestheticising resilience and order, showing how permaculture design converts a constrained urban plot into a productive, teachable micro-landscape that’s inviting to learners and visitors. </w:t>
                            </w:r>
                            <w:r w:rsidRPr="00746157">
                              <w:rPr>
                                <w:rFonts w:ascii="Times New Roman" w:eastAsia="Times New Roman" w:hAnsi="Times New Roman" w:cs="Times New Roman"/>
                                <w:color w:val="000000"/>
                                <w:sz w:val="16"/>
                              </w:rPr>
                              <w:t>This image captures a vibrant and functional agroecosystem that thoughtfully integrates botanical diversity with sustainable practices, showcasing a practical application of agroecological principles for productive and environmentally conscious cultivation. In the above image, a snapshot of the landscape permaculture design at the AFIRD centre is shown. This is an example of a peri-urban agroecologically-oriented system designed with a blend of cultivated plants and surrounding natural vegetation. In the foreground, Aloe vera thrives in repurposed tire planters. There are leafy green plants, herbs, vegetables, and young fruit trees in repurposed containers, vertically arranged tires, maximizing growing space. Unlike JERO Farm’s holistic permaculture and hydroponic models shown in Fig 1&amp;2, this photo demonstrates a hands-on, small-space design that reuses materials, integrates diverse plants, and adds value through solar drying in constrained peri-urban settings.</w:t>
                            </w:r>
                          </w:p>
                          <w:p w14:paraId="32545C82" w14:textId="77777777" w:rsidR="00123C91" w:rsidRPr="00746157" w:rsidRDefault="00123C91">
                            <w:pPr>
                              <w:spacing w:line="275" w:lineRule="auto"/>
                              <w:jc w:val="both"/>
                              <w:textDirection w:val="btLr"/>
                            </w:pPr>
                          </w:p>
                          <w:p w14:paraId="696DA377" w14:textId="77777777" w:rsidR="00123C91" w:rsidRPr="00746157" w:rsidRDefault="00123C91">
                            <w:pPr>
                              <w:spacing w:line="275" w:lineRule="auto"/>
                              <w:jc w:val="both"/>
                              <w:textDirection w:val="btLr"/>
                            </w:pPr>
                          </w:p>
                          <w:p w14:paraId="2E250DEF" w14:textId="77777777" w:rsidR="00123C91" w:rsidRPr="00746157" w:rsidRDefault="00123C91">
                            <w:pPr>
                              <w:spacing w:line="277" w:lineRule="auto"/>
                              <w:jc w:val="both"/>
                              <w:textDirection w:val="btLr"/>
                            </w:pPr>
                          </w:p>
                          <w:p w14:paraId="5E944D68" w14:textId="77777777" w:rsidR="00123C91" w:rsidRPr="00746157" w:rsidRDefault="00123C91">
                            <w:pPr>
                              <w:spacing w:line="277"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1F06464" id="Rectangle 3" o:spid="_x0000_s1028" style="position:absolute;left:0;text-align:left;margin-left:-10.5pt;margin-top:24.65pt;width:525.95pt;height:24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CCEFAIAADkEAAAOAAAAZHJzL2Uyb0RvYy54bWysU1GP2jAMfp+0/xDlfbQw4AainKZjTJNO&#10;G9JtP8CkCY2UJlkcaPn3cwIDbpt00ml9SJ3E+fzZ/ry471vDDjKgdrbiw0HJmbTC1druKv7j+/rd&#10;B84wgq3BOCsrfpTI75dv3yw6P5cj1zhTy8AIxOK88xVvYvTzokDRyBZw4Ly0dKlcaCHSNuyKOkBH&#10;6K0pRmU5LToXah+ckIh0ujpd8mXGV0qK+E0plJGZihO3mNeQ121ai+UC5rsAvtHiTANewaIFbSno&#10;BWoFEdg+6L+gWi2CQ6fiQLi2cEppIXMOlM2w/CObpwa8zLlQcdBfyoT/D1Z8PTz5TaAydB7nSGbK&#10;olehTX/ix/pcrOOlWLKPTNDhdHo3m0wnnAm6e1/ORuNJLmdxfe4Dxs/StSwZFQ/UjVwkODxipJDk&#10;+tslRUNndL3WxuRNUoB8MIEdgHpn4jD1il488zKWdRWfTUaJB5B+lIFIZuvriqPd5XDPXmDYbS+o&#10;Zf7+BZx4rQCbU/SMcNJKcHtbZ9U0EupPtmbx6EnYluTNExlsOTOShoGM7BdBm5f9KDNjKcFrG5IV&#10;+23PNOUySljpZOvq4yYw9GKtieMjYNxAIM0OKTrpmOL+3EMgLuaLJaHMhuNUnJg348ldSVMQbm+2&#10;tzdgReNoPKiGJ/Mh5mFJHbHu4z46pXPnrlTOnEmfuT3nWUoDcLvPXteJX/4CAAD//wMAUEsDBBQA&#10;BgAIAAAAIQDr6cZ54AAAAAsBAAAPAAAAZHJzL2Rvd25yZXYueG1sTI/BTsMwEETvSPyDtUjcWrsN&#10;VDTEqQCJK1JLJdqbEy9J1Hgd2U7r/D3uiR5HM5p5U2yi6dkZne8sSVjMBTCk2uqOGgn778/ZCzAf&#10;FGnVW0IJE3rYlPd3hcq1vdAWz7vQsFRCPlcS2hCGnHNft2iUn9sBKXm/1hkVknQN105dUrnp+VKI&#10;FTeqo7TQqgE/WqxPu9FIOP7E7n0S7hC31cnsp8PXsZlGKR8f4tsrsIAx/Ifhip/QoUxMlR1Je9ZL&#10;mC0X6UuQ8LTOgF0DIhNrYJWE52yVAS8Lfvuh/AMAAP//AwBQSwECLQAUAAYACAAAACEAtoM4kv4A&#10;AADhAQAAEwAAAAAAAAAAAAAAAAAAAAAAW0NvbnRlbnRfVHlwZXNdLnhtbFBLAQItABQABgAIAAAA&#10;IQA4/SH/1gAAAJQBAAALAAAAAAAAAAAAAAAAAC8BAABfcmVscy8ucmVsc1BLAQItABQABgAIAAAA&#10;IQDZ0CCEFAIAADkEAAAOAAAAAAAAAAAAAAAAAC4CAABkcnMvZTJvRG9jLnhtbFBLAQItABQABgAI&#10;AAAAIQDr6cZ54AAAAAsBAAAPAAAAAAAAAAAAAAAAAG4EAABkcnMvZG93bnJldi54bWxQSwUGAAAA&#10;AAQABADzAAAAewUAAAAA&#10;" fillcolor="white [3201]">
                <v:stroke startarrowwidth="narrow" startarrowlength="short" endarrowwidth="narrow" endarrowlength="short" joinstyle="round"/>
                <v:textbox inset="2.53958mm,1.2694mm,2.53958mm,1.2694mm">
                  <w:txbxContent>
                    <w:p w14:paraId="32F1DCB9" w14:textId="77777777" w:rsidR="00123C91" w:rsidRPr="00746157" w:rsidRDefault="00000000">
                      <w:pPr>
                        <w:spacing w:line="277" w:lineRule="auto"/>
                        <w:jc w:val="both"/>
                        <w:textDirection w:val="btLr"/>
                      </w:pPr>
                      <w:r w:rsidRPr="00746157">
                        <w:rPr>
                          <w:color w:val="000000"/>
                          <w:sz w:val="16"/>
                        </w:rPr>
                        <w:t xml:space="preserve">Box 3: Fig 3. Shows a small space design at AFIRD centre. There are reused car tires elevated on bricks and wood. They operate as sturdy, container beds that define micro-plots to raise soil above compaction. Adjacent to them are wood-supported soil boxes that provide more planting area. There are diverse plants ranging from herbs, spices to ornamentals, and trees. A compact solar dryer (poly-sheet box) on the right </w:t>
                      </w:r>
                      <w:proofErr w:type="gramStart"/>
                      <w:r w:rsidRPr="00746157">
                        <w:rPr>
                          <w:color w:val="000000"/>
                          <w:sz w:val="16"/>
                        </w:rPr>
                        <w:t>evidences</w:t>
                      </w:r>
                      <w:proofErr w:type="gramEnd"/>
                      <w:r w:rsidRPr="00746157">
                        <w:rPr>
                          <w:color w:val="000000"/>
                          <w:sz w:val="16"/>
                        </w:rPr>
                        <w:t xml:space="preserve"> post-harvest handling/value addition, linking production to preservation. The wooden house behind functions as a training/meeting facility, while a stone-laid lane provides all-weather access and runoff control; wall/hanging gardens increase vertical growing surfaces and demonstrate greening of built structures. Fig 3 effectively documents AFIRD’s hands-on demonstration of circular materials, diversified planting, and integrated training infrastructure that together model “doing more with less” in a constrained urban setting.  </w:t>
                      </w:r>
                    </w:p>
                    <w:p w14:paraId="03AD81AC" w14:textId="77777777" w:rsidR="00123C91" w:rsidRPr="00746157" w:rsidRDefault="00000000">
                      <w:pPr>
                        <w:spacing w:line="277" w:lineRule="auto"/>
                        <w:jc w:val="both"/>
                        <w:textDirection w:val="btLr"/>
                      </w:pPr>
                      <w:r w:rsidRPr="00746157">
                        <w:rPr>
                          <w:color w:val="000000"/>
                          <w:sz w:val="16"/>
                        </w:rPr>
                        <w:t xml:space="preserve">Read iconographically, the image documents a small-space, low-input, ecology-first toolkit typical of urban agroecology: container and vertical gardening (hanging pots, wall gardens) to multiply growing surfaces; circular use of materials, reused car tyres on brick/wood bases and timber off-cuts in box planters, to lower costs and embody reuse; and soil-and-water design where raised containers and a stone lane help manage drainage, reduce compaction, and organise movement. The plant diversity (herbs, spices, ornamentals) and species labels signal integrated ecological functions (pollinator attraction, companion planting) and a clear training/demonstration purpose. As iconology, the scene performs a persuasive narrative of “doing more with less”, </w:t>
                      </w:r>
                      <w:proofErr w:type="spellStart"/>
                      <w:r w:rsidRPr="00746157">
                        <w:rPr>
                          <w:color w:val="000000"/>
                          <w:sz w:val="16"/>
                        </w:rPr>
                        <w:t>aestheticising</w:t>
                      </w:r>
                      <w:proofErr w:type="spellEnd"/>
                      <w:r w:rsidRPr="00746157">
                        <w:rPr>
                          <w:color w:val="000000"/>
                          <w:sz w:val="16"/>
                        </w:rPr>
                        <w:t xml:space="preserve"> resilience and order, showing how permaculture design converts a constrained urban plot into a productive, teachable micro-landscape that’s inviting to learners and visitors. </w:t>
                      </w:r>
                      <w:r w:rsidRPr="00746157">
                        <w:rPr>
                          <w:rFonts w:ascii="Times New Roman" w:eastAsia="Times New Roman" w:hAnsi="Times New Roman" w:cs="Times New Roman"/>
                          <w:color w:val="000000"/>
                          <w:sz w:val="16"/>
                        </w:rPr>
                        <w:t>This image captures a vibrant and functional agroecosystem that thoughtfully integrates botanical diversity with sustainable practices, showcasing a practical application of agroecological principles for productive and environmentally conscious cultivation. In the above image, a snapshot of the landscape permaculture design at the AFIRD centre is shown. This is an example of a peri-urban agroecologically-oriented system designed with a blend of cultivated plants and surrounding natural vegetation. In the foreground, Aloe vera thrives in repurposed tire planters. There are leafy green plants, herbs, vegetables, and young fruit trees in repurposed containers, vertically arranged tires, maximizing growing space. Unlike JERO Farm’s holistic permaculture and hydroponic models shown in Fig 1&amp;2, this photo demonstrates a hands-on, small-space design that reuses materials, integrates diverse plants, and adds value through solar drying in constrained peri-urban settings.</w:t>
                      </w:r>
                    </w:p>
                    <w:p w14:paraId="32545C82" w14:textId="77777777" w:rsidR="00123C91" w:rsidRPr="00746157" w:rsidRDefault="00123C91">
                      <w:pPr>
                        <w:spacing w:line="275" w:lineRule="auto"/>
                        <w:jc w:val="both"/>
                        <w:textDirection w:val="btLr"/>
                      </w:pPr>
                    </w:p>
                    <w:p w14:paraId="696DA377" w14:textId="77777777" w:rsidR="00123C91" w:rsidRPr="00746157" w:rsidRDefault="00123C91">
                      <w:pPr>
                        <w:spacing w:line="275" w:lineRule="auto"/>
                        <w:jc w:val="both"/>
                        <w:textDirection w:val="btLr"/>
                      </w:pPr>
                    </w:p>
                    <w:p w14:paraId="2E250DEF" w14:textId="77777777" w:rsidR="00123C91" w:rsidRPr="00746157" w:rsidRDefault="00123C91">
                      <w:pPr>
                        <w:spacing w:line="277" w:lineRule="auto"/>
                        <w:jc w:val="both"/>
                        <w:textDirection w:val="btLr"/>
                      </w:pPr>
                    </w:p>
                    <w:p w14:paraId="5E944D68" w14:textId="77777777" w:rsidR="00123C91" w:rsidRPr="00746157" w:rsidRDefault="00123C91">
                      <w:pPr>
                        <w:spacing w:line="277" w:lineRule="auto"/>
                        <w:textDirection w:val="btLr"/>
                      </w:pPr>
                    </w:p>
                  </w:txbxContent>
                </v:textbox>
              </v:rect>
            </w:pict>
          </mc:Fallback>
        </mc:AlternateContent>
      </w:r>
      <w:r w:rsidR="00602BE8" w:rsidRPr="003B3477">
        <w:rPr>
          <w:rFonts w:ascii="Times New Roman" w:eastAsia="Times New Roman" w:hAnsi="Times New Roman" w:cs="Times New Roman"/>
          <w:sz w:val="22"/>
          <w:szCs w:val="22"/>
        </w:rPr>
        <w:t xml:space="preserve"> </w:t>
      </w:r>
    </w:p>
    <w:p w14:paraId="20453F43" w14:textId="5894FBDD" w:rsidR="00123C91" w:rsidRPr="003B3477" w:rsidRDefault="00123C91" w:rsidP="003B3477">
      <w:pPr>
        <w:spacing w:line="360" w:lineRule="auto"/>
        <w:jc w:val="both"/>
        <w:rPr>
          <w:rFonts w:ascii="Times New Roman" w:eastAsia="Times New Roman" w:hAnsi="Times New Roman" w:cs="Times New Roman"/>
          <w:sz w:val="22"/>
          <w:szCs w:val="22"/>
        </w:rPr>
      </w:pPr>
    </w:p>
    <w:p w14:paraId="1B98B1C0" w14:textId="0EEA599E" w:rsidR="00123C91" w:rsidRPr="003B3477" w:rsidRDefault="00123C91" w:rsidP="003B3477">
      <w:pPr>
        <w:spacing w:line="360" w:lineRule="auto"/>
        <w:jc w:val="both"/>
        <w:rPr>
          <w:rFonts w:ascii="Times New Roman" w:eastAsia="Times New Roman" w:hAnsi="Times New Roman" w:cs="Times New Roman"/>
          <w:sz w:val="22"/>
          <w:szCs w:val="22"/>
        </w:rPr>
      </w:pPr>
    </w:p>
    <w:p w14:paraId="4BE7E65F" w14:textId="3711F5C4" w:rsidR="00123C91" w:rsidRPr="003B3477" w:rsidRDefault="00123C91" w:rsidP="003B3477">
      <w:pPr>
        <w:spacing w:line="360" w:lineRule="auto"/>
        <w:jc w:val="both"/>
        <w:rPr>
          <w:rFonts w:ascii="Times New Roman" w:eastAsia="Times New Roman" w:hAnsi="Times New Roman" w:cs="Times New Roman"/>
          <w:sz w:val="22"/>
          <w:szCs w:val="22"/>
        </w:rPr>
      </w:pPr>
    </w:p>
    <w:p w14:paraId="1A7D9944"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5F6D7581"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0541D1B9"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49176359"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214B2F91"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5C6C862C"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4A641E2D"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7DE6762A" w14:textId="77777777" w:rsidR="00123C91" w:rsidRPr="003B3477" w:rsidRDefault="00123C91" w:rsidP="003B3477">
      <w:pPr>
        <w:spacing w:line="360" w:lineRule="auto"/>
        <w:jc w:val="both"/>
        <w:rPr>
          <w:rFonts w:ascii="Times New Roman" w:eastAsia="Times New Roman" w:hAnsi="Times New Roman" w:cs="Times New Roman"/>
          <w:sz w:val="22"/>
          <w:szCs w:val="22"/>
        </w:rPr>
      </w:pPr>
    </w:p>
    <w:p w14:paraId="58B9541D" w14:textId="77777777" w:rsidR="00602BE8" w:rsidRPr="003B3477" w:rsidRDefault="00602BE8" w:rsidP="003B3477">
      <w:pPr>
        <w:spacing w:before="240" w:after="240" w:line="360" w:lineRule="auto"/>
        <w:jc w:val="both"/>
        <w:rPr>
          <w:rFonts w:ascii="Times New Roman" w:eastAsia="Times New Roman" w:hAnsi="Times New Roman" w:cs="Times New Roman"/>
          <w:sz w:val="22"/>
          <w:szCs w:val="22"/>
        </w:rPr>
      </w:pPr>
    </w:p>
    <w:p w14:paraId="6C5AEB52" w14:textId="77777777" w:rsidR="00123C91" w:rsidRPr="003B3477" w:rsidRDefault="00123C91" w:rsidP="003B3477">
      <w:pPr>
        <w:spacing w:before="240" w:after="240" w:line="360" w:lineRule="auto"/>
        <w:jc w:val="both"/>
        <w:rPr>
          <w:rFonts w:ascii="Times New Roman" w:eastAsia="Times New Roman" w:hAnsi="Times New Roman" w:cs="Times New Roman"/>
          <w:sz w:val="22"/>
          <w:szCs w:val="22"/>
        </w:rPr>
      </w:pPr>
    </w:p>
    <w:sectPr w:rsidR="00123C91" w:rsidRPr="003B347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8AB6550F-81A9-442E-B995-6AF7DE549664}"/>
    <w:embedItalic r:id="rId2" w:fontKey="{36EEFE1C-2E98-41DB-BDE0-E5A4437165C9}"/>
  </w:font>
  <w:font w:name="Play">
    <w:charset w:val="00"/>
    <w:family w:val="auto"/>
    <w:pitch w:val="default"/>
    <w:embedRegular r:id="rId3" w:fontKey="{650F1E72-2447-49C3-86D0-3759B771C13B}"/>
  </w:font>
  <w:font w:name="Calibri">
    <w:panose1 w:val="020F0502020204030204"/>
    <w:charset w:val="00"/>
    <w:family w:val="swiss"/>
    <w:pitch w:val="variable"/>
    <w:sig w:usb0="E4002EFF" w:usb1="C200247B" w:usb2="00000009" w:usb3="00000000" w:csb0="000001FF" w:csb1="00000000"/>
    <w:embedRegular r:id="rId4" w:fontKey="{98A89067-446F-4FE3-87D8-36417A31096E}"/>
  </w:font>
  <w:font w:name="Cambria">
    <w:panose1 w:val="02040503050406030204"/>
    <w:charset w:val="00"/>
    <w:family w:val="roman"/>
    <w:pitch w:val="variable"/>
    <w:sig w:usb0="E00006FF" w:usb1="420024FF" w:usb2="02000000" w:usb3="00000000" w:csb0="0000019F" w:csb1="00000000"/>
    <w:embedRegular r:id="rId5" w:fontKey="{C4FCC23B-B4D1-467A-8716-66D749A1B39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278F8"/>
    <w:multiLevelType w:val="multilevel"/>
    <w:tmpl w:val="0A9A0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483D6F"/>
    <w:multiLevelType w:val="multilevel"/>
    <w:tmpl w:val="1F487E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55A30DBE"/>
    <w:multiLevelType w:val="multilevel"/>
    <w:tmpl w:val="C90661A6"/>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3" w15:restartNumberingAfterBreak="0">
    <w:nsid w:val="6F2701D3"/>
    <w:multiLevelType w:val="multilevel"/>
    <w:tmpl w:val="7526A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8932750">
    <w:abstractNumId w:val="1"/>
  </w:num>
  <w:num w:numId="2" w16cid:durableId="556815432">
    <w:abstractNumId w:val="3"/>
  </w:num>
  <w:num w:numId="3" w16cid:durableId="1897469826">
    <w:abstractNumId w:val="0"/>
  </w:num>
  <w:num w:numId="4" w16cid:durableId="16741416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C91"/>
    <w:rsid w:val="00020638"/>
    <w:rsid w:val="0003253E"/>
    <w:rsid w:val="000E10D7"/>
    <w:rsid w:val="00123C91"/>
    <w:rsid w:val="00176570"/>
    <w:rsid w:val="003B3477"/>
    <w:rsid w:val="003B4F31"/>
    <w:rsid w:val="003B58FA"/>
    <w:rsid w:val="004920CE"/>
    <w:rsid w:val="005D15A6"/>
    <w:rsid w:val="006005A5"/>
    <w:rsid w:val="00602BE8"/>
    <w:rsid w:val="00746157"/>
    <w:rsid w:val="00794A1E"/>
    <w:rsid w:val="00920B11"/>
    <w:rsid w:val="009B0942"/>
    <w:rsid w:val="00AD6E72"/>
    <w:rsid w:val="00B84105"/>
    <w:rsid w:val="00BB1550"/>
    <w:rsid w:val="00C92B46"/>
    <w:rsid w:val="00D33B67"/>
    <w:rsid w:val="00EB4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935E6"/>
  <w15:docId w15:val="{EFFF912A-2A89-4024-87BC-745B0DE40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2B46"/>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 w:type="table" w:customStyle="1" w:styleId="a">
    <w:basedOn w:val="TableNormal0"/>
    <w:tblPr>
      <w:tblStyleRowBandSize w:val="1"/>
      <w:tblStyleColBandSize w:val="1"/>
    </w:tblPr>
    <w:tcPr>
      <w:shd w:val="clear" w:color="auto" w:fill="FFFFFF"/>
    </w:tcPr>
  </w:style>
  <w:style w:type="table" w:customStyle="1" w:styleId="a0">
    <w:basedOn w:val="TableNormal0"/>
    <w:tblPr>
      <w:tblStyleRowBandSize w:val="1"/>
      <w:tblStyleColBandSize w:val="1"/>
      <w:tblCellMar>
        <w:top w:w="0" w:type="dxa"/>
        <w:left w:w="108" w:type="dxa"/>
        <w:bottom w:w="0" w:type="dxa"/>
        <w:right w:w="108" w:type="dxa"/>
      </w:tblCellMar>
    </w:tblPr>
  </w:style>
  <w:style w:type="table" w:customStyle="1" w:styleId="a1">
    <w:basedOn w:val="TableNormal0"/>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9B0942"/>
    <w:rPr>
      <w:color w:val="0000FF" w:themeColor="hyperlink"/>
      <w:u w:val="single"/>
    </w:rPr>
  </w:style>
  <w:style w:type="character" w:styleId="UnresolvedMention">
    <w:name w:val="Unresolved Mention"/>
    <w:basedOn w:val="DefaultParagraphFont"/>
    <w:uiPriority w:val="99"/>
    <w:semiHidden/>
    <w:unhideWhenUsed/>
    <w:rsid w:val="009B09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7BD0B1-02B7-4AEC-A1B8-5D1C81A6F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6</Words>
  <Characters>38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Nilesh Nawale</dc:creator>
  <cp:lastModifiedBy>Nilesh Nawale</cp:lastModifiedBy>
  <cp:revision>2</cp:revision>
  <cp:lastPrinted>2025-10-28T14:14:00Z</cp:lastPrinted>
  <dcterms:created xsi:type="dcterms:W3CDTF">2025-12-08T10:18:00Z</dcterms:created>
  <dcterms:modified xsi:type="dcterms:W3CDTF">2025-12-08T10:18:00Z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45cb7bed-8104-47ed-a79d-e09427c8461d</vt:lpwstr>
  </property>
  <property fmtid="{D5CDD505-2E9C-101B-9397-08002B2CF9AE}" pid="3" name="KSOProductBuildVer">
    <vt:lpwstr>1033-12.2.0.22549</vt:lpwstr>
  </property>
  <property fmtid="{D5CDD505-2E9C-101B-9397-08002B2CF9AE}" pid="4" name="ICV">
    <vt:lpwstr>E74C18F6540C4D6F8E23AA4646376F29_12</vt:lpwstr>
  </property>
  <property fmtid="{D5CDD505-2E9C-101B-9397-08002B2CF9AE}" pid="5" name="Mendeley Document_1">
    <vt:lpwstr>True</vt:lpwstr>
  </property>
  <property fmtid="{D5CDD505-2E9C-101B-9397-08002B2CF9AE}" pid="6" name="Mendeley Unique User Id_1">
    <vt:lpwstr>ab789f96-f85a-3971-a94e-9d7f63284e8f</vt:lpwstr>
  </property>
  <property fmtid="{D5CDD505-2E9C-101B-9397-08002B2CF9AE}" pid="7" name="Mendeley Citation Style_1">
    <vt:lpwstr>http://www.zotero.org/styles/apa</vt:lpwstr>
  </property>
  <property fmtid="{D5CDD505-2E9C-101B-9397-08002B2CF9AE}" pid="8" name="Mendeley Recent Style Id 0_1">
    <vt:lpwstr>http://www.zotero.org/styles/american-medical-association</vt:lpwstr>
  </property>
  <property fmtid="{D5CDD505-2E9C-101B-9397-08002B2CF9AE}" pid="9" name="Mendeley Recent Style Name 0_1">
    <vt:lpwstr>American Medical Association 11th edition</vt:lpwstr>
  </property>
  <property fmtid="{D5CDD505-2E9C-101B-9397-08002B2CF9AE}" pid="10" name="Mendeley Recent Style Id 1_1">
    <vt:lpwstr>http://www.zotero.org/styles/american-political-science-association</vt:lpwstr>
  </property>
  <property fmtid="{D5CDD505-2E9C-101B-9397-08002B2CF9AE}" pid="11" name="Mendeley Recent Style Name 1_1">
    <vt:lpwstr>American Political Science Association</vt:lpwstr>
  </property>
  <property fmtid="{D5CDD505-2E9C-101B-9397-08002B2CF9AE}" pid="12" name="Mendeley Recent Style Id 2_1">
    <vt:lpwstr>http://www.zotero.org/styles/apa</vt:lpwstr>
  </property>
  <property fmtid="{D5CDD505-2E9C-101B-9397-08002B2CF9AE}" pid="13" name="Mendeley Recent Style Name 2_1">
    <vt:lpwstr>American Psychological Association 7th edition</vt:lpwstr>
  </property>
  <property fmtid="{D5CDD505-2E9C-101B-9397-08002B2CF9AE}" pid="14" name="Mendeley Recent Style Id 3_1">
    <vt:lpwstr>http://www.zotero.org/styles/american-sociological-association</vt:lpwstr>
  </property>
  <property fmtid="{D5CDD505-2E9C-101B-9397-08002B2CF9AE}" pid="15" name="Mendeley Recent Style Name 3_1">
    <vt:lpwstr>American Sociological Association 6th/7th edition</vt:lpwstr>
  </property>
  <property fmtid="{D5CDD505-2E9C-101B-9397-08002B2CF9AE}" pid="16" name="Mendeley Recent Style Id 4_1">
    <vt:lpwstr>http://www.zotero.org/styles/harvard-cite-them-right</vt:lpwstr>
  </property>
  <property fmtid="{D5CDD505-2E9C-101B-9397-08002B2CF9AE}" pid="17" name="Mendeley Recent Style Name 4_1">
    <vt:lpwstr>Cite Them Right 12th edition - Harvard</vt:lpwstr>
  </property>
  <property fmtid="{D5CDD505-2E9C-101B-9397-08002B2CF9AE}" pid="18" name="Mendeley Recent Style Id 5_1">
    <vt:lpwstr>http://www.zotero.org/styles/harvard1</vt:lpwstr>
  </property>
  <property fmtid="{D5CDD505-2E9C-101B-9397-08002B2CF9AE}" pid="19" name="Mendeley Recent Style Name 5_1">
    <vt:lpwstr>Harvard reference format 1 (deprecated)</vt:lpwstr>
  </property>
  <property fmtid="{D5CDD505-2E9C-101B-9397-08002B2CF9AE}" pid="20" name="Mendeley Recent Style Id 6_1">
    <vt:lpwstr>http://www.zotero.org/styles/ieee</vt:lpwstr>
  </property>
  <property fmtid="{D5CDD505-2E9C-101B-9397-08002B2CF9AE}" pid="21" name="Mendeley Recent Style Name 6_1">
    <vt:lpwstr>IEEE</vt:lpwstr>
  </property>
  <property fmtid="{D5CDD505-2E9C-101B-9397-08002B2CF9AE}" pid="22" name="Mendeley Recent Style Id 7_1">
    <vt:lpwstr>http://www.zotero.org/styles/modern-humanities-research-association</vt:lpwstr>
  </property>
  <property fmtid="{D5CDD505-2E9C-101B-9397-08002B2CF9AE}" pid="23" name="Mendeley Recent Style Name 7_1">
    <vt:lpwstr>Modern Humanities Research Association, 4th edition (note with bibliography)</vt:lpwstr>
  </property>
  <property fmtid="{D5CDD505-2E9C-101B-9397-08002B2CF9AE}" pid="24" name="Mendeley Recent Style Id 8_1">
    <vt:lpwstr>http://www.zotero.org/styles/modern-language-association</vt:lpwstr>
  </property>
  <property fmtid="{D5CDD505-2E9C-101B-9397-08002B2CF9AE}" pid="25" name="Mendeley Recent Style Name 8_1">
    <vt:lpwstr>Modern Language Association 9th edition</vt:lpwstr>
  </property>
  <property fmtid="{D5CDD505-2E9C-101B-9397-08002B2CF9AE}" pid="26" name="Mendeley Recent Style Id 9_1">
    <vt:lpwstr>http://www.zotero.org/styles/vancouver</vt:lpwstr>
  </property>
  <property fmtid="{D5CDD505-2E9C-101B-9397-08002B2CF9AE}" pid="27" name="Mendeley Recent Style Name 9_1">
    <vt:lpwstr>Vancouver</vt:lpwstr>
  </property>
</Properties>
</file>