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71E1D6" w14:textId="31552EB3" w:rsidR="00C24574" w:rsidRDefault="00CB23FB">
      <w:pPr>
        <w:rPr>
          <w:rFonts w:ascii="Arial" w:hAnsi="Arial" w:cs="Arial"/>
          <w:b/>
          <w:bCs/>
          <w:sz w:val="28"/>
          <w:szCs w:val="28"/>
        </w:rPr>
      </w:pPr>
      <w:proofErr w:type="spellStart"/>
      <w:r w:rsidRPr="00CB23FB">
        <w:rPr>
          <w:rFonts w:ascii="Arial" w:hAnsi="Arial" w:cs="Arial"/>
          <w:b/>
          <w:bCs/>
          <w:sz w:val="28"/>
          <w:szCs w:val="28"/>
        </w:rPr>
        <w:t>Supplementary</w:t>
      </w:r>
      <w:proofErr w:type="spellEnd"/>
      <w:r w:rsidRPr="00CB23FB">
        <w:rPr>
          <w:rFonts w:ascii="Arial" w:hAnsi="Arial" w:cs="Arial"/>
          <w:b/>
          <w:bCs/>
          <w:sz w:val="28"/>
          <w:szCs w:val="28"/>
        </w:rPr>
        <w:t xml:space="preserve"> </w:t>
      </w:r>
      <w:proofErr w:type="spellStart"/>
      <w:r w:rsidRPr="00CB23FB">
        <w:rPr>
          <w:rFonts w:ascii="Arial" w:hAnsi="Arial" w:cs="Arial"/>
          <w:b/>
          <w:bCs/>
          <w:sz w:val="28"/>
          <w:szCs w:val="28"/>
        </w:rPr>
        <w:t>Figures</w:t>
      </w:r>
      <w:proofErr w:type="spellEnd"/>
    </w:p>
    <w:p w14:paraId="000114FB" w14:textId="77777777" w:rsidR="00CB23FB" w:rsidRPr="00CB23FB" w:rsidRDefault="00CB23FB">
      <w:pPr>
        <w:rPr>
          <w:rFonts w:ascii="Arial" w:hAnsi="Arial" w:cs="Arial"/>
          <w:b/>
          <w:bCs/>
          <w:sz w:val="28"/>
          <w:szCs w:val="28"/>
        </w:rPr>
      </w:pPr>
    </w:p>
    <w:p w14:paraId="4C8F34FA" w14:textId="13993B76" w:rsidR="00CB23FB" w:rsidRDefault="00CB23FB">
      <w:pPr>
        <w:rPr>
          <w:b/>
          <w:bCs/>
          <w:sz w:val="28"/>
          <w:szCs w:val="28"/>
        </w:rPr>
      </w:pPr>
      <w:r>
        <w:rPr>
          <w:b/>
          <w:bCs/>
          <w:noProof/>
          <w:sz w:val="28"/>
          <w:szCs w:val="28"/>
        </w:rPr>
        <w:drawing>
          <wp:inline distT="0" distB="0" distL="0" distR="0" wp14:anchorId="5CDCA9F5" wp14:editId="1439B60D">
            <wp:extent cx="5762625" cy="6858000"/>
            <wp:effectExtent l="0" t="0" r="9525" b="0"/>
            <wp:docPr id="15516187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17620"/>
                    <a:stretch>
                      <a:fillRect/>
                    </a:stretch>
                  </pic:blipFill>
                  <pic:spPr bwMode="auto">
                    <a:xfrm>
                      <a:off x="0" y="0"/>
                      <a:ext cx="5762625" cy="6858000"/>
                    </a:xfrm>
                    <a:prstGeom prst="rect">
                      <a:avLst/>
                    </a:prstGeom>
                    <a:noFill/>
                    <a:ln>
                      <a:noFill/>
                    </a:ln>
                    <a:extLst>
                      <a:ext uri="{53640926-AAD7-44D8-BBD7-CCE9431645EC}">
                        <a14:shadowObscured xmlns:a14="http://schemas.microsoft.com/office/drawing/2010/main"/>
                      </a:ext>
                    </a:extLst>
                  </pic:spPr>
                </pic:pic>
              </a:graphicData>
            </a:graphic>
          </wp:inline>
        </w:drawing>
      </w:r>
    </w:p>
    <w:p w14:paraId="1C9FB231" w14:textId="65C95A6A" w:rsidR="00CB23FB" w:rsidRDefault="00CB23FB" w:rsidP="00CB23FB">
      <w:pPr>
        <w:jc w:val="both"/>
        <w:rPr>
          <w:rFonts w:ascii="Arial" w:hAnsi="Arial" w:cs="Arial"/>
          <w:sz w:val="20"/>
          <w:szCs w:val="20"/>
        </w:rPr>
      </w:pPr>
      <w:r w:rsidRPr="00CB23FB">
        <w:rPr>
          <w:rFonts w:ascii="Arial" w:hAnsi="Arial" w:cs="Arial"/>
          <w:b/>
          <w:bCs/>
          <w:sz w:val="20"/>
          <w:szCs w:val="20"/>
          <w:lang w:val="en-GB"/>
        </w:rPr>
        <w:t xml:space="preserve">Supplementary Figure 1. IAV-TCPs display effector functions in vitro and eliminate target-specific cells (flow cytometry gating strategies). A) </w:t>
      </w:r>
      <w:r w:rsidRPr="00CB23FB">
        <w:rPr>
          <w:rFonts w:ascii="Arial" w:hAnsi="Arial" w:cs="Arial"/>
          <w:sz w:val="20"/>
          <w:szCs w:val="20"/>
          <w:lang w:val="en-GB"/>
        </w:rPr>
        <w:t>Representative flow cytometry plots showing gating strategy of unstimulated and peptide-stimulated H1N1- and H3N2-TCPs at d7 of expansion. CD4+ and CD8+ T cell populations were gated out of CD3+ live cells. Production of effector cytokines TNF</w:t>
      </w:r>
      <w:r w:rsidRPr="00CB23FB">
        <w:rPr>
          <w:rFonts w:ascii="Arial" w:hAnsi="Arial" w:cs="Arial"/>
          <w:sz w:val="20"/>
          <w:szCs w:val="20"/>
        </w:rPr>
        <w:t></w:t>
      </w:r>
      <w:r w:rsidRPr="00CB23FB">
        <w:rPr>
          <w:rFonts w:ascii="Arial" w:hAnsi="Arial" w:cs="Arial"/>
          <w:sz w:val="20"/>
          <w:szCs w:val="20"/>
          <w:lang w:val="en-GB"/>
        </w:rPr>
        <w:t xml:space="preserve"> , IFN-</w:t>
      </w:r>
      <w:r w:rsidRPr="00CB23FB">
        <w:rPr>
          <w:rFonts w:ascii="Arial" w:hAnsi="Arial" w:cs="Arial"/>
          <w:sz w:val="20"/>
          <w:szCs w:val="20"/>
        </w:rPr>
        <w:t></w:t>
      </w:r>
      <w:r w:rsidRPr="00CB23FB">
        <w:rPr>
          <w:rFonts w:ascii="Arial" w:hAnsi="Arial" w:cs="Arial"/>
          <w:sz w:val="20"/>
          <w:szCs w:val="20"/>
          <w:lang w:val="en-GB"/>
        </w:rPr>
        <w:t>, IL-2, and molecule granzyme B (</w:t>
      </w:r>
      <w:proofErr w:type="spellStart"/>
      <w:r w:rsidRPr="00CB23FB">
        <w:rPr>
          <w:rFonts w:ascii="Arial" w:hAnsi="Arial" w:cs="Arial"/>
          <w:sz w:val="20"/>
          <w:szCs w:val="20"/>
          <w:lang w:val="en-GB"/>
        </w:rPr>
        <w:t>GrzB</w:t>
      </w:r>
      <w:proofErr w:type="spellEnd"/>
      <w:r w:rsidRPr="00CB23FB">
        <w:rPr>
          <w:rFonts w:ascii="Arial" w:hAnsi="Arial" w:cs="Arial"/>
          <w:sz w:val="20"/>
          <w:szCs w:val="20"/>
          <w:lang w:val="en-GB"/>
        </w:rPr>
        <w:t xml:space="preserve">) and expression of activation markers CD154 and CD137 for each sub-population CD4+ and CD8+ are shown in Figure 2 A and B. </w:t>
      </w:r>
      <w:r w:rsidRPr="00CB23FB">
        <w:rPr>
          <w:rFonts w:ascii="Arial" w:hAnsi="Arial" w:cs="Arial"/>
          <w:b/>
          <w:bCs/>
          <w:sz w:val="20"/>
          <w:szCs w:val="20"/>
          <w:lang w:val="en-GB"/>
        </w:rPr>
        <w:t>B)</w:t>
      </w:r>
      <w:r w:rsidRPr="00CB23FB">
        <w:rPr>
          <w:rFonts w:ascii="Arial" w:hAnsi="Arial" w:cs="Arial"/>
          <w:sz w:val="20"/>
          <w:szCs w:val="20"/>
          <w:lang w:val="en-GB"/>
        </w:rPr>
        <w:t xml:space="preserve"> </w:t>
      </w:r>
      <w:r>
        <w:rPr>
          <w:rFonts w:ascii="Arial" w:hAnsi="Arial" w:cs="Arial"/>
          <w:sz w:val="20"/>
          <w:szCs w:val="20"/>
          <w:lang w:val="en-GB"/>
        </w:rPr>
        <w:t>R</w:t>
      </w:r>
      <w:r w:rsidRPr="00CB23FB">
        <w:rPr>
          <w:rFonts w:ascii="Arial" w:hAnsi="Arial" w:cs="Arial"/>
          <w:sz w:val="20"/>
          <w:szCs w:val="20"/>
          <w:lang w:val="en-GB"/>
        </w:rPr>
        <w:t xml:space="preserve">epresentative flow cytometry plots showing gating strategy of peptide-loaded target lymphoblastoid cell lines (LCLs) and </w:t>
      </w:r>
      <w:proofErr w:type="spellStart"/>
      <w:r w:rsidRPr="00CB23FB">
        <w:rPr>
          <w:rFonts w:ascii="Arial" w:hAnsi="Arial" w:cs="Arial"/>
          <w:sz w:val="20"/>
          <w:szCs w:val="20"/>
          <w:lang w:val="en-GB"/>
        </w:rPr>
        <w:t>non target</w:t>
      </w:r>
      <w:proofErr w:type="spellEnd"/>
      <w:r w:rsidRPr="00CB23FB">
        <w:rPr>
          <w:rFonts w:ascii="Arial" w:hAnsi="Arial" w:cs="Arial"/>
          <w:sz w:val="20"/>
          <w:szCs w:val="20"/>
          <w:lang w:val="en-GB"/>
        </w:rPr>
        <w:t xml:space="preserve">-LCLs for killing assays. LCLs were gated out of live lymphocytes and T cell products were excluded from analysis to distinguish LCL populations. </w:t>
      </w:r>
      <w:r w:rsidRPr="00CB23FB">
        <w:rPr>
          <w:rFonts w:ascii="Arial" w:hAnsi="Arial" w:cs="Arial"/>
          <w:sz w:val="20"/>
          <w:szCs w:val="20"/>
        </w:rPr>
        <w:t xml:space="preserve">Killing </w:t>
      </w:r>
      <w:proofErr w:type="spellStart"/>
      <w:r w:rsidRPr="00CB23FB">
        <w:rPr>
          <w:rFonts w:ascii="Arial" w:hAnsi="Arial" w:cs="Arial"/>
          <w:sz w:val="20"/>
          <w:szCs w:val="20"/>
        </w:rPr>
        <w:t>assay</w:t>
      </w:r>
      <w:proofErr w:type="spellEnd"/>
      <w:r w:rsidRPr="00CB23FB">
        <w:rPr>
          <w:rFonts w:ascii="Arial" w:hAnsi="Arial" w:cs="Arial"/>
          <w:sz w:val="20"/>
          <w:szCs w:val="20"/>
        </w:rPr>
        <w:t xml:space="preserve"> </w:t>
      </w:r>
      <w:proofErr w:type="spellStart"/>
      <w:r w:rsidRPr="00CB23FB">
        <w:rPr>
          <w:rFonts w:ascii="Arial" w:hAnsi="Arial" w:cs="Arial"/>
          <w:sz w:val="20"/>
          <w:szCs w:val="20"/>
        </w:rPr>
        <w:t>results</w:t>
      </w:r>
      <w:proofErr w:type="spellEnd"/>
      <w:r w:rsidRPr="00CB23FB">
        <w:rPr>
          <w:rFonts w:ascii="Arial" w:hAnsi="Arial" w:cs="Arial"/>
          <w:sz w:val="20"/>
          <w:szCs w:val="20"/>
        </w:rPr>
        <w:t xml:space="preserve"> </w:t>
      </w:r>
      <w:proofErr w:type="spellStart"/>
      <w:r w:rsidRPr="00CB23FB">
        <w:rPr>
          <w:rFonts w:ascii="Arial" w:hAnsi="Arial" w:cs="Arial"/>
          <w:sz w:val="20"/>
          <w:szCs w:val="20"/>
        </w:rPr>
        <w:t>are</w:t>
      </w:r>
      <w:proofErr w:type="spellEnd"/>
      <w:r w:rsidRPr="00CB23FB">
        <w:rPr>
          <w:rFonts w:ascii="Arial" w:hAnsi="Arial" w:cs="Arial"/>
          <w:sz w:val="20"/>
          <w:szCs w:val="20"/>
        </w:rPr>
        <w:t xml:space="preserve"> </w:t>
      </w:r>
      <w:proofErr w:type="spellStart"/>
      <w:r w:rsidRPr="00CB23FB">
        <w:rPr>
          <w:rFonts w:ascii="Arial" w:hAnsi="Arial" w:cs="Arial"/>
          <w:sz w:val="20"/>
          <w:szCs w:val="20"/>
        </w:rPr>
        <w:t>shown</w:t>
      </w:r>
      <w:proofErr w:type="spellEnd"/>
      <w:r w:rsidRPr="00CB23FB">
        <w:rPr>
          <w:rFonts w:ascii="Arial" w:hAnsi="Arial" w:cs="Arial"/>
          <w:sz w:val="20"/>
          <w:szCs w:val="20"/>
        </w:rPr>
        <w:t xml:space="preserve"> in </w:t>
      </w:r>
      <w:proofErr w:type="spellStart"/>
      <w:r w:rsidRPr="00CB23FB">
        <w:rPr>
          <w:rFonts w:ascii="Arial" w:hAnsi="Arial" w:cs="Arial"/>
          <w:sz w:val="20"/>
          <w:szCs w:val="20"/>
        </w:rPr>
        <w:t>figure</w:t>
      </w:r>
      <w:proofErr w:type="spellEnd"/>
      <w:r w:rsidRPr="00CB23FB">
        <w:rPr>
          <w:rFonts w:ascii="Arial" w:hAnsi="Arial" w:cs="Arial"/>
          <w:sz w:val="20"/>
          <w:szCs w:val="20"/>
        </w:rPr>
        <w:t xml:space="preserve"> 2D.</w:t>
      </w:r>
    </w:p>
    <w:p w14:paraId="750CAF2F" w14:textId="77777777" w:rsidR="00CB23FB" w:rsidRDefault="00CB23FB" w:rsidP="00CB23FB">
      <w:pPr>
        <w:jc w:val="both"/>
        <w:rPr>
          <w:rFonts w:ascii="Arial" w:hAnsi="Arial" w:cs="Arial"/>
          <w:sz w:val="20"/>
          <w:szCs w:val="20"/>
        </w:rPr>
      </w:pPr>
    </w:p>
    <w:p w14:paraId="2E5F9842" w14:textId="08E307B6" w:rsidR="00CB23FB" w:rsidRDefault="00CB23FB">
      <w:pPr>
        <w:rPr>
          <w:b/>
          <w:bCs/>
          <w:sz w:val="28"/>
          <w:szCs w:val="28"/>
        </w:rPr>
      </w:pPr>
      <w:r>
        <w:rPr>
          <w:b/>
          <w:bCs/>
          <w:noProof/>
          <w:sz w:val="28"/>
          <w:szCs w:val="28"/>
        </w:rPr>
        <w:lastRenderedPageBreak/>
        <w:drawing>
          <wp:inline distT="0" distB="0" distL="0" distR="0" wp14:anchorId="2D3C9832" wp14:editId="14622532">
            <wp:extent cx="5760720" cy="8322098"/>
            <wp:effectExtent l="0" t="0" r="0" b="3175"/>
            <wp:docPr id="1805520195" name="Grafik 2" descr="Ein Bild, das Text,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520195" name="Grafik 2" descr="Ein Bild, das Text, Screenshot enthält.&#10;&#10;KI-generierte Inhalte können fehlerhaft sei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8322098"/>
                    </a:xfrm>
                    <a:prstGeom prst="rect">
                      <a:avLst/>
                    </a:prstGeom>
                    <a:noFill/>
                    <a:ln>
                      <a:noFill/>
                    </a:ln>
                  </pic:spPr>
                </pic:pic>
              </a:graphicData>
            </a:graphic>
          </wp:inline>
        </w:drawing>
      </w:r>
    </w:p>
    <w:p w14:paraId="5FA33CD0" w14:textId="7D0FD14F" w:rsidR="00CB23FB" w:rsidRDefault="00CB23FB" w:rsidP="00CB23FB">
      <w:pPr>
        <w:pStyle w:val="StandardWeb"/>
        <w:spacing w:before="0" w:beforeAutospacing="0" w:after="160" w:afterAutospacing="0" w:line="278" w:lineRule="auto"/>
        <w:jc w:val="both"/>
        <w:rPr>
          <w:rFonts w:ascii="Arial" w:eastAsia="Calibri" w:hAnsi="Arial"/>
          <w:i/>
          <w:iCs/>
          <w:color w:val="000000" w:themeColor="text1"/>
          <w:kern w:val="2"/>
          <w:sz w:val="20"/>
          <w:szCs w:val="20"/>
          <w:lang w:val="en-US"/>
        </w:rPr>
      </w:pPr>
      <w:r>
        <w:rPr>
          <w:rFonts w:ascii="Arial" w:eastAsia="Calibri" w:hAnsi="Arial" w:cstheme="minorBidi"/>
          <w:b/>
          <w:bCs/>
          <w:color w:val="000000" w:themeColor="text1"/>
          <w:kern w:val="24"/>
          <w:sz w:val="20"/>
          <w:szCs w:val="20"/>
          <w:lang w:val="en-US"/>
        </w:rPr>
        <w:t>Supplementary Figure 2. iPSC-</w:t>
      </w:r>
      <w:proofErr w:type="spellStart"/>
      <w:r>
        <w:rPr>
          <w:rFonts w:ascii="Arial" w:eastAsia="Calibri" w:hAnsi="Arial" w:cstheme="minorBidi"/>
          <w:b/>
          <w:bCs/>
          <w:color w:val="000000" w:themeColor="text1"/>
          <w:kern w:val="24"/>
          <w:sz w:val="20"/>
          <w:szCs w:val="20"/>
          <w:lang w:val="en-US"/>
        </w:rPr>
        <w:t>aLOs</w:t>
      </w:r>
      <w:proofErr w:type="spellEnd"/>
      <w:r>
        <w:rPr>
          <w:rFonts w:ascii="Arial" w:eastAsia="Calibri" w:hAnsi="Arial" w:cstheme="minorBidi"/>
          <w:b/>
          <w:bCs/>
          <w:color w:val="000000" w:themeColor="text1"/>
          <w:kern w:val="24"/>
          <w:sz w:val="20"/>
          <w:szCs w:val="20"/>
          <w:lang w:val="en-US"/>
        </w:rPr>
        <w:t xml:space="preserve"> differentiation is robust across </w:t>
      </w:r>
      <w:proofErr w:type="spellStart"/>
      <w:r>
        <w:rPr>
          <w:rFonts w:ascii="Arial" w:eastAsia="Calibri" w:hAnsi="Arial" w:cstheme="minorBidi"/>
          <w:b/>
          <w:bCs/>
          <w:color w:val="000000" w:themeColor="text1"/>
          <w:kern w:val="24"/>
          <w:sz w:val="20"/>
          <w:szCs w:val="20"/>
          <w:lang w:val="en-US"/>
        </w:rPr>
        <w:t>hiPSC</w:t>
      </w:r>
      <w:proofErr w:type="spellEnd"/>
      <w:r>
        <w:rPr>
          <w:rFonts w:ascii="Arial" w:eastAsia="Calibri" w:hAnsi="Arial" w:cstheme="minorBidi"/>
          <w:b/>
          <w:bCs/>
          <w:color w:val="000000" w:themeColor="text1"/>
          <w:kern w:val="24"/>
          <w:sz w:val="20"/>
          <w:szCs w:val="20"/>
          <w:lang w:val="en-US"/>
        </w:rPr>
        <w:t xml:space="preserve"> lines</w:t>
      </w:r>
      <w:r>
        <w:rPr>
          <w:rFonts w:ascii="Arial" w:eastAsia="Calibri" w:hAnsi="Arial"/>
          <w:b/>
          <w:bCs/>
          <w:color w:val="000000" w:themeColor="text1"/>
          <w:kern w:val="2"/>
          <w:sz w:val="20"/>
          <w:szCs w:val="20"/>
          <w:lang w:val="en-US"/>
        </w:rPr>
        <w:t>. A)</w:t>
      </w:r>
      <w:r>
        <w:rPr>
          <w:rFonts w:ascii="Arial" w:eastAsia="Calibri" w:hAnsi="Arial"/>
          <w:color w:val="000000" w:themeColor="text1"/>
          <w:kern w:val="2"/>
          <w:sz w:val="20"/>
          <w:szCs w:val="20"/>
          <w:lang w:val="en-US"/>
        </w:rPr>
        <w:t xml:space="preserve"> Timeline with representative images of iPSC differentiation to LP with representative images at each stage (upper panel). Representative flow plots showing gating strategy for quality assessment of DE differentiation at d3 and sorting efficiency of carboxypeptidase M (CPM) for LPs. </w:t>
      </w:r>
      <w:r>
        <w:rPr>
          <w:rFonts w:ascii="Arial" w:eastAsia="Calibri" w:hAnsi="Arial"/>
          <w:b/>
          <w:bCs/>
          <w:color w:val="000000" w:themeColor="text1"/>
          <w:kern w:val="2"/>
          <w:sz w:val="20"/>
          <w:szCs w:val="20"/>
          <w:lang w:val="en-US"/>
        </w:rPr>
        <w:t xml:space="preserve">B) </w:t>
      </w:r>
      <w:r>
        <w:rPr>
          <w:rFonts w:ascii="Arial" w:eastAsia="Calibri" w:hAnsi="Arial"/>
          <w:color w:val="000000" w:themeColor="text1"/>
          <w:kern w:val="2"/>
          <w:sz w:val="20"/>
          <w:szCs w:val="20"/>
          <w:lang w:val="en-US"/>
        </w:rPr>
        <w:t>DE (left) and LP (right) differentiation efficiencies quantified by the frequency of CXCR4</w:t>
      </w:r>
      <w:r>
        <w:rPr>
          <w:rFonts w:ascii="Arial" w:eastAsia="Calibri" w:hAnsi="Arial"/>
          <w:color w:val="000000" w:themeColor="text1"/>
          <w:kern w:val="2"/>
          <w:position w:val="6"/>
          <w:sz w:val="20"/>
          <w:szCs w:val="20"/>
          <w:vertAlign w:val="superscript"/>
          <w:lang w:val="en-US"/>
        </w:rPr>
        <w:t>+</w:t>
      </w:r>
      <w:r>
        <w:rPr>
          <w:rFonts w:ascii="Arial" w:eastAsia="Calibri" w:hAnsi="Arial"/>
          <w:color w:val="000000" w:themeColor="text1"/>
          <w:kern w:val="2"/>
          <w:sz w:val="20"/>
          <w:szCs w:val="20"/>
          <w:lang w:val="en-US"/>
        </w:rPr>
        <w:t>, FOXA2</w:t>
      </w:r>
      <w:r>
        <w:rPr>
          <w:rFonts w:ascii="Arial" w:eastAsia="Calibri" w:hAnsi="Arial"/>
          <w:color w:val="000000" w:themeColor="text1"/>
          <w:kern w:val="2"/>
          <w:position w:val="6"/>
          <w:sz w:val="20"/>
          <w:szCs w:val="20"/>
          <w:vertAlign w:val="superscript"/>
          <w:lang w:val="en-US"/>
        </w:rPr>
        <w:t>+</w:t>
      </w:r>
      <w:r>
        <w:rPr>
          <w:rFonts w:ascii="Arial" w:eastAsia="Calibri" w:hAnsi="Arial"/>
          <w:color w:val="000000" w:themeColor="text1"/>
          <w:kern w:val="2"/>
          <w:sz w:val="20"/>
          <w:szCs w:val="20"/>
          <w:lang w:val="en-US"/>
        </w:rPr>
        <w:t>, SOX17</w:t>
      </w:r>
      <w:r>
        <w:rPr>
          <w:rFonts w:ascii="Arial" w:eastAsia="Calibri" w:hAnsi="Arial"/>
          <w:color w:val="000000" w:themeColor="text1"/>
          <w:kern w:val="2"/>
          <w:position w:val="6"/>
          <w:sz w:val="20"/>
          <w:szCs w:val="20"/>
          <w:vertAlign w:val="superscript"/>
          <w:lang w:val="en-US"/>
        </w:rPr>
        <w:t>+</w:t>
      </w:r>
      <w:r>
        <w:rPr>
          <w:rFonts w:ascii="Arial" w:eastAsia="Calibri" w:hAnsi="Arial"/>
          <w:color w:val="000000" w:themeColor="text1"/>
          <w:kern w:val="2"/>
          <w:sz w:val="20"/>
          <w:szCs w:val="20"/>
          <w:lang w:val="en-US"/>
        </w:rPr>
        <w:t xml:space="preserve"> cells and </w:t>
      </w:r>
      <w:proofErr w:type="spellStart"/>
      <w:r>
        <w:rPr>
          <w:rFonts w:ascii="Arial" w:eastAsia="Calibri" w:hAnsi="Arial"/>
          <w:color w:val="000000" w:themeColor="text1"/>
          <w:kern w:val="2"/>
          <w:sz w:val="20"/>
          <w:szCs w:val="20"/>
          <w:lang w:val="en-US"/>
        </w:rPr>
        <w:t>Epcam</w:t>
      </w:r>
      <w:proofErr w:type="spellEnd"/>
      <w:r>
        <w:rPr>
          <w:rFonts w:ascii="Arial" w:eastAsia="Calibri" w:hAnsi="Arial"/>
          <w:color w:val="000000" w:themeColor="text1"/>
          <w:kern w:val="2"/>
          <w:sz w:val="20"/>
          <w:szCs w:val="20"/>
          <w:lang w:val="en-US"/>
        </w:rPr>
        <w:t>+, CPM</w:t>
      </w:r>
      <w:r>
        <w:rPr>
          <w:rFonts w:ascii="Arial" w:eastAsia="Calibri" w:hAnsi="Arial"/>
          <w:color w:val="000000" w:themeColor="text1"/>
          <w:kern w:val="2"/>
          <w:position w:val="6"/>
          <w:sz w:val="20"/>
          <w:szCs w:val="20"/>
          <w:vertAlign w:val="superscript"/>
          <w:lang w:val="en-US"/>
        </w:rPr>
        <w:t>+</w:t>
      </w:r>
      <w:r>
        <w:rPr>
          <w:rFonts w:ascii="Arial" w:eastAsia="Calibri" w:hAnsi="Arial"/>
          <w:color w:val="000000" w:themeColor="text1"/>
          <w:kern w:val="2"/>
          <w:sz w:val="20"/>
          <w:szCs w:val="20"/>
          <w:lang w:val="en-US"/>
        </w:rPr>
        <w:t>, NKX2-</w:t>
      </w:r>
      <w:r>
        <w:rPr>
          <w:rFonts w:ascii="Arial" w:eastAsia="Calibri" w:hAnsi="Arial"/>
          <w:color w:val="000000" w:themeColor="text1"/>
          <w:kern w:val="2"/>
          <w:sz w:val="20"/>
          <w:szCs w:val="20"/>
          <w:lang w:val="en-US"/>
        </w:rPr>
        <w:lastRenderedPageBreak/>
        <w:t>1</w:t>
      </w:r>
      <w:r>
        <w:rPr>
          <w:rFonts w:ascii="Arial" w:eastAsia="Calibri" w:hAnsi="Arial"/>
          <w:color w:val="000000" w:themeColor="text1"/>
          <w:kern w:val="2"/>
          <w:position w:val="6"/>
          <w:sz w:val="20"/>
          <w:szCs w:val="20"/>
          <w:vertAlign w:val="superscript"/>
          <w:lang w:val="en-US"/>
        </w:rPr>
        <w:t>+</w:t>
      </w:r>
      <w:r>
        <w:rPr>
          <w:rFonts w:ascii="Arial" w:eastAsia="Calibri" w:hAnsi="Arial"/>
          <w:color w:val="000000" w:themeColor="text1"/>
          <w:kern w:val="2"/>
          <w:sz w:val="20"/>
          <w:szCs w:val="20"/>
          <w:lang w:val="en-US"/>
        </w:rPr>
        <w:t xml:space="preserve"> cells, respectively. Results are expressed as </w:t>
      </w:r>
      <w:proofErr w:type="spellStart"/>
      <w:r>
        <w:rPr>
          <w:rFonts w:ascii="Arial" w:eastAsia="Calibri" w:hAnsi="Arial"/>
          <w:color w:val="000000" w:themeColor="text1"/>
          <w:kern w:val="2"/>
          <w:sz w:val="20"/>
          <w:szCs w:val="20"/>
          <w:lang w:val="en-US"/>
        </w:rPr>
        <w:t>mean±SEM</w:t>
      </w:r>
      <w:proofErr w:type="spellEnd"/>
      <w:r>
        <w:rPr>
          <w:rFonts w:ascii="Arial" w:eastAsia="Calibri" w:hAnsi="Arial"/>
          <w:color w:val="000000" w:themeColor="text1"/>
          <w:kern w:val="2"/>
          <w:sz w:val="20"/>
          <w:szCs w:val="20"/>
          <w:lang w:val="en-US"/>
        </w:rPr>
        <w:t xml:space="preserve"> (n=2-13 independent differentiations, 8 iPSC lines). </w:t>
      </w:r>
      <w:r>
        <w:rPr>
          <w:rFonts w:ascii="Arial" w:eastAsia="Calibri" w:hAnsi="Arial"/>
          <w:b/>
          <w:bCs/>
          <w:color w:val="000000" w:themeColor="text1"/>
          <w:kern w:val="2"/>
          <w:sz w:val="20"/>
          <w:szCs w:val="20"/>
          <w:lang w:val="en-US"/>
        </w:rPr>
        <w:t>C)</w:t>
      </w:r>
      <w:r>
        <w:rPr>
          <w:rFonts w:ascii="Arial" w:eastAsia="Calibri" w:hAnsi="Arial"/>
          <w:color w:val="000000" w:themeColor="text1"/>
          <w:kern w:val="2"/>
          <w:sz w:val="20"/>
          <w:szCs w:val="20"/>
          <w:lang w:val="en-US"/>
        </w:rPr>
        <w:t xml:space="preserve"> Representative images of iPSC-</w:t>
      </w:r>
      <w:proofErr w:type="spellStart"/>
      <w:r>
        <w:rPr>
          <w:rFonts w:ascii="Arial" w:eastAsia="Calibri" w:hAnsi="Arial"/>
          <w:color w:val="000000" w:themeColor="text1"/>
          <w:kern w:val="2"/>
          <w:sz w:val="20"/>
          <w:szCs w:val="20"/>
          <w:lang w:val="en-US"/>
        </w:rPr>
        <w:t>aLOs</w:t>
      </w:r>
      <w:proofErr w:type="spellEnd"/>
      <w:r>
        <w:rPr>
          <w:rFonts w:ascii="Arial" w:eastAsia="Calibri" w:hAnsi="Arial"/>
          <w:color w:val="000000" w:themeColor="text1"/>
          <w:kern w:val="2"/>
          <w:sz w:val="20"/>
          <w:szCs w:val="20"/>
          <w:lang w:val="en-US"/>
        </w:rPr>
        <w:t xml:space="preserve"> generated from different iPSC-lines. Scale bars: 200µm </w:t>
      </w:r>
      <w:r>
        <w:rPr>
          <w:rFonts w:ascii="Arial" w:eastAsia="Calibri" w:hAnsi="Arial"/>
          <w:b/>
          <w:bCs/>
          <w:color w:val="000000" w:themeColor="text1"/>
          <w:kern w:val="2"/>
          <w:sz w:val="20"/>
          <w:szCs w:val="20"/>
          <w:lang w:val="en-US"/>
        </w:rPr>
        <w:t>D)</w:t>
      </w:r>
      <w:r>
        <w:rPr>
          <w:rFonts w:ascii="Arial" w:eastAsia="Calibri" w:hAnsi="Arial"/>
          <w:color w:val="000000" w:themeColor="text1"/>
          <w:kern w:val="2"/>
          <w:sz w:val="20"/>
          <w:szCs w:val="20"/>
          <w:lang w:val="en-US"/>
        </w:rPr>
        <w:t xml:space="preserve"> Real time quantitative PCR results showing lung markers expressed in iPSC-</w:t>
      </w:r>
      <w:proofErr w:type="spellStart"/>
      <w:r>
        <w:rPr>
          <w:rFonts w:ascii="Arial" w:eastAsia="Calibri" w:hAnsi="Arial"/>
          <w:color w:val="000000" w:themeColor="text1"/>
          <w:kern w:val="2"/>
          <w:sz w:val="20"/>
          <w:szCs w:val="20"/>
          <w:lang w:val="en-US"/>
        </w:rPr>
        <w:t>aLOs</w:t>
      </w:r>
      <w:proofErr w:type="spellEnd"/>
      <w:r>
        <w:rPr>
          <w:rFonts w:ascii="Arial" w:eastAsia="Calibri" w:hAnsi="Arial"/>
          <w:color w:val="000000" w:themeColor="text1"/>
          <w:kern w:val="2"/>
          <w:sz w:val="20"/>
          <w:szCs w:val="20"/>
          <w:lang w:val="en-US"/>
        </w:rPr>
        <w:t xml:space="preserve"> derived from different iPSC lines (n=2) across passages. Gene expression is normalized to earlier passage of line BU3NG (used as reference in this study). Results are expressed as mean ±SEM (n=2-9 replicates across passages). </w:t>
      </w:r>
      <w:r>
        <w:rPr>
          <w:rFonts w:ascii="Arial" w:eastAsia="Calibri" w:hAnsi="Arial"/>
          <w:b/>
          <w:bCs/>
          <w:i/>
          <w:iCs/>
          <w:color w:val="000000" w:themeColor="text1"/>
          <w:kern w:val="2"/>
          <w:sz w:val="20"/>
          <w:szCs w:val="20"/>
          <w:lang w:val="en-US"/>
        </w:rPr>
        <w:t xml:space="preserve">DE: </w:t>
      </w:r>
      <w:r>
        <w:rPr>
          <w:rFonts w:ascii="Arial" w:eastAsia="Calibri" w:hAnsi="Arial"/>
          <w:i/>
          <w:iCs/>
          <w:color w:val="000000" w:themeColor="text1"/>
          <w:kern w:val="2"/>
          <w:sz w:val="20"/>
          <w:szCs w:val="20"/>
          <w:lang w:val="en-US"/>
        </w:rPr>
        <w:t xml:space="preserve">definitive endoderm, </w:t>
      </w:r>
      <w:r>
        <w:rPr>
          <w:rFonts w:ascii="Arial" w:eastAsia="Calibri" w:hAnsi="Arial"/>
          <w:b/>
          <w:bCs/>
          <w:i/>
          <w:iCs/>
          <w:color w:val="000000" w:themeColor="text1"/>
          <w:kern w:val="2"/>
          <w:sz w:val="20"/>
          <w:szCs w:val="20"/>
          <w:lang w:val="en-US"/>
        </w:rPr>
        <w:t xml:space="preserve">AFE: </w:t>
      </w:r>
      <w:r>
        <w:rPr>
          <w:rFonts w:ascii="Arial" w:eastAsia="Calibri" w:hAnsi="Arial"/>
          <w:i/>
          <w:iCs/>
          <w:color w:val="000000" w:themeColor="text1"/>
          <w:kern w:val="2"/>
          <w:sz w:val="20"/>
          <w:szCs w:val="20"/>
          <w:lang w:val="en-US"/>
        </w:rPr>
        <w:t xml:space="preserve">anterior-foregut endoderm, </w:t>
      </w:r>
      <w:r>
        <w:rPr>
          <w:rFonts w:ascii="Arial" w:eastAsia="Calibri" w:hAnsi="Arial"/>
          <w:b/>
          <w:bCs/>
          <w:i/>
          <w:iCs/>
          <w:color w:val="000000" w:themeColor="text1"/>
          <w:kern w:val="2"/>
          <w:sz w:val="20"/>
          <w:szCs w:val="20"/>
          <w:lang w:val="en-US"/>
        </w:rPr>
        <w:t xml:space="preserve">LP: </w:t>
      </w:r>
      <w:r>
        <w:rPr>
          <w:rFonts w:ascii="Arial" w:eastAsia="Calibri" w:hAnsi="Arial"/>
          <w:i/>
          <w:iCs/>
          <w:color w:val="000000" w:themeColor="text1"/>
          <w:kern w:val="2"/>
          <w:sz w:val="20"/>
          <w:szCs w:val="20"/>
          <w:lang w:val="en-US"/>
        </w:rPr>
        <w:t>lung progenitors.</w:t>
      </w:r>
    </w:p>
    <w:p w14:paraId="53FBB8B1" w14:textId="77777777" w:rsidR="00B65484" w:rsidRDefault="00B65484" w:rsidP="00CB23FB">
      <w:pPr>
        <w:pStyle w:val="StandardWeb"/>
        <w:spacing w:before="0" w:beforeAutospacing="0" w:after="160" w:afterAutospacing="0" w:line="278" w:lineRule="auto"/>
        <w:jc w:val="both"/>
        <w:rPr>
          <w:rFonts w:ascii="Arial" w:eastAsia="Calibri" w:hAnsi="Arial"/>
          <w:i/>
          <w:iCs/>
          <w:color w:val="000000" w:themeColor="text1"/>
          <w:kern w:val="2"/>
          <w:sz w:val="20"/>
          <w:szCs w:val="20"/>
          <w:lang w:val="en-US"/>
        </w:rPr>
      </w:pPr>
    </w:p>
    <w:p w14:paraId="3D909E12" w14:textId="7AB72A2F" w:rsidR="00CB23FB" w:rsidRDefault="00CB23FB">
      <w:pPr>
        <w:rPr>
          <w:b/>
          <w:bCs/>
          <w:sz w:val="28"/>
          <w:szCs w:val="28"/>
        </w:rPr>
      </w:pPr>
      <w:r>
        <w:rPr>
          <w:b/>
          <w:bCs/>
          <w:noProof/>
          <w:sz w:val="28"/>
          <w:szCs w:val="28"/>
        </w:rPr>
        <w:lastRenderedPageBreak/>
        <w:drawing>
          <wp:inline distT="0" distB="0" distL="0" distR="0" wp14:anchorId="604EB6CD" wp14:editId="351226AA">
            <wp:extent cx="5762625" cy="8324850"/>
            <wp:effectExtent l="0" t="0" r="9525" b="0"/>
            <wp:docPr id="165313989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2625" cy="8324850"/>
                    </a:xfrm>
                    <a:prstGeom prst="rect">
                      <a:avLst/>
                    </a:prstGeom>
                    <a:noFill/>
                    <a:ln>
                      <a:noFill/>
                    </a:ln>
                  </pic:spPr>
                </pic:pic>
              </a:graphicData>
            </a:graphic>
          </wp:inline>
        </w:drawing>
      </w:r>
    </w:p>
    <w:p w14:paraId="41E2B455" w14:textId="7AE94639" w:rsidR="00CB23FB" w:rsidRPr="00CB23FB" w:rsidRDefault="00CB23FB" w:rsidP="00CB23FB">
      <w:pPr>
        <w:pStyle w:val="StandardWeb"/>
        <w:spacing w:before="0" w:beforeAutospacing="0" w:after="0" w:afterAutospacing="0" w:line="276" w:lineRule="auto"/>
        <w:jc w:val="both"/>
        <w:rPr>
          <w:lang w:val="en-GB"/>
        </w:rPr>
      </w:pPr>
      <w:r>
        <w:rPr>
          <w:rFonts w:ascii="Arial" w:eastAsia="Calibri" w:hAnsi="Arial" w:cs="Arial"/>
          <w:b/>
          <w:bCs/>
          <w:color w:val="000000" w:themeColor="text1"/>
          <w:kern w:val="24"/>
          <w:sz w:val="20"/>
          <w:szCs w:val="20"/>
          <w:lang w:val="en-US"/>
        </w:rPr>
        <w:t>Supplementary Figure 3. iPSC-</w:t>
      </w:r>
      <w:proofErr w:type="spellStart"/>
      <w:r>
        <w:rPr>
          <w:rFonts w:ascii="Arial" w:eastAsia="Calibri" w:hAnsi="Arial" w:cs="Arial"/>
          <w:b/>
          <w:bCs/>
          <w:color w:val="000000" w:themeColor="text1"/>
          <w:kern w:val="24"/>
          <w:sz w:val="20"/>
          <w:szCs w:val="20"/>
          <w:lang w:val="en-US"/>
        </w:rPr>
        <w:t>aLOs</w:t>
      </w:r>
      <w:proofErr w:type="spellEnd"/>
      <w:r>
        <w:rPr>
          <w:rFonts w:ascii="Arial" w:eastAsia="Calibri" w:hAnsi="Arial" w:cs="Arial"/>
          <w:b/>
          <w:bCs/>
          <w:color w:val="000000" w:themeColor="text1"/>
          <w:kern w:val="24"/>
          <w:sz w:val="20"/>
          <w:szCs w:val="20"/>
          <w:lang w:val="en-US"/>
        </w:rPr>
        <w:t xml:space="preserve"> phenotypic characteristics</w:t>
      </w:r>
      <w:r w:rsidRPr="00CB23FB">
        <w:rPr>
          <w:rFonts w:ascii="Arial" w:eastAsiaTheme="minorEastAsia" w:hAnsi="Arial" w:cs="Arial"/>
          <w:color w:val="000000" w:themeColor="text1"/>
          <w:kern w:val="24"/>
          <w:sz w:val="20"/>
          <w:szCs w:val="20"/>
          <w:lang w:val="en-GB"/>
        </w:rPr>
        <w:t xml:space="preserve">. </w:t>
      </w:r>
      <w:r>
        <w:rPr>
          <w:rFonts w:ascii="Arial" w:eastAsia="Calibri" w:hAnsi="Arial" w:cs="Arial"/>
          <w:b/>
          <w:bCs/>
          <w:color w:val="000000"/>
          <w:kern w:val="2"/>
          <w:sz w:val="20"/>
          <w:szCs w:val="20"/>
          <w:lang w:val="en-US"/>
        </w:rPr>
        <w:t xml:space="preserve">A) </w:t>
      </w:r>
      <w:r>
        <w:rPr>
          <w:rFonts w:ascii="Arial" w:eastAsia="Calibri" w:hAnsi="Arial" w:cs="Arial"/>
          <w:color w:val="000000"/>
          <w:kern w:val="2"/>
          <w:sz w:val="20"/>
          <w:szCs w:val="20"/>
          <w:lang w:val="en-US"/>
        </w:rPr>
        <w:t>Representative bright field and immunofluorescence images of iPSC-</w:t>
      </w:r>
      <w:proofErr w:type="spellStart"/>
      <w:r>
        <w:rPr>
          <w:rFonts w:ascii="Arial" w:eastAsia="Calibri" w:hAnsi="Arial" w:cs="Arial"/>
          <w:color w:val="000000"/>
          <w:kern w:val="2"/>
          <w:sz w:val="20"/>
          <w:szCs w:val="20"/>
          <w:lang w:val="en-US"/>
        </w:rPr>
        <w:t>aLOs</w:t>
      </w:r>
      <w:proofErr w:type="spellEnd"/>
      <w:r>
        <w:rPr>
          <w:rFonts w:ascii="Arial" w:eastAsia="Calibri" w:hAnsi="Arial" w:cs="Arial"/>
          <w:color w:val="000000"/>
          <w:kern w:val="2"/>
          <w:sz w:val="20"/>
          <w:szCs w:val="20"/>
          <w:lang w:val="en-US"/>
        </w:rPr>
        <w:t xml:space="preserve"> in apical-out and apical-in conformation. Scale bars: 100µm</w:t>
      </w:r>
      <w:r w:rsidRPr="00CB23FB">
        <w:rPr>
          <w:rFonts w:ascii="Arial" w:eastAsia="Calibri" w:hAnsi="Arial" w:cs="Arial"/>
          <w:color w:val="000000"/>
          <w:kern w:val="2"/>
          <w:sz w:val="20"/>
          <w:szCs w:val="20"/>
          <w:lang w:val="en-GB"/>
        </w:rPr>
        <w:t xml:space="preserve">. </w:t>
      </w:r>
      <w:r w:rsidRPr="00CB23FB">
        <w:rPr>
          <w:rFonts w:ascii="Arial" w:eastAsia="Calibri" w:hAnsi="Arial" w:cs="Arial"/>
          <w:b/>
          <w:bCs/>
          <w:color w:val="000000"/>
          <w:kern w:val="2"/>
          <w:sz w:val="20"/>
          <w:szCs w:val="20"/>
          <w:lang w:val="en-GB"/>
        </w:rPr>
        <w:t xml:space="preserve">B) </w:t>
      </w:r>
      <w:r>
        <w:rPr>
          <w:rFonts w:ascii="Arial" w:eastAsia="Calibri" w:hAnsi="Arial" w:cs="Arial"/>
          <w:color w:val="000000"/>
          <w:kern w:val="2"/>
          <w:sz w:val="20"/>
          <w:szCs w:val="20"/>
          <w:lang w:val="en-US"/>
        </w:rPr>
        <w:t>Quantification of plaque forming units (PFU), replication curves are shown for iPSC-</w:t>
      </w:r>
      <w:proofErr w:type="spellStart"/>
      <w:r>
        <w:rPr>
          <w:rFonts w:ascii="Arial" w:eastAsia="Calibri" w:hAnsi="Arial" w:cs="Arial"/>
          <w:color w:val="000000"/>
          <w:kern w:val="2"/>
          <w:sz w:val="20"/>
          <w:szCs w:val="20"/>
          <w:lang w:val="en-US"/>
        </w:rPr>
        <w:t>aLOs</w:t>
      </w:r>
      <w:proofErr w:type="spellEnd"/>
      <w:r>
        <w:rPr>
          <w:rFonts w:ascii="Arial" w:eastAsia="Calibri" w:hAnsi="Arial" w:cs="Arial"/>
          <w:color w:val="000000"/>
          <w:kern w:val="2"/>
          <w:sz w:val="20"/>
          <w:szCs w:val="20"/>
          <w:lang w:val="en-US"/>
        </w:rPr>
        <w:t xml:space="preserve"> (n=2 </w:t>
      </w:r>
      <w:proofErr w:type="spellStart"/>
      <w:r>
        <w:rPr>
          <w:rFonts w:ascii="Arial" w:eastAsia="Calibri" w:hAnsi="Arial" w:cs="Arial"/>
          <w:color w:val="000000"/>
          <w:kern w:val="2"/>
          <w:sz w:val="20"/>
          <w:szCs w:val="20"/>
          <w:lang w:val="en-US"/>
        </w:rPr>
        <w:t>hiPSC</w:t>
      </w:r>
      <w:proofErr w:type="spellEnd"/>
      <w:r>
        <w:rPr>
          <w:rFonts w:ascii="Arial" w:eastAsia="Calibri" w:hAnsi="Arial" w:cs="Arial"/>
          <w:color w:val="000000"/>
          <w:kern w:val="2"/>
          <w:sz w:val="20"/>
          <w:szCs w:val="20"/>
          <w:lang w:val="en-US"/>
        </w:rPr>
        <w:t xml:space="preserve"> lines) and ASC-</w:t>
      </w:r>
      <w:proofErr w:type="spellStart"/>
      <w:r>
        <w:rPr>
          <w:rFonts w:ascii="Arial" w:eastAsia="Calibri" w:hAnsi="Arial" w:cs="Arial"/>
          <w:color w:val="000000"/>
          <w:kern w:val="2"/>
          <w:sz w:val="20"/>
          <w:szCs w:val="20"/>
          <w:lang w:val="en-US"/>
        </w:rPr>
        <w:t>aLOs</w:t>
      </w:r>
      <w:proofErr w:type="spellEnd"/>
      <w:r>
        <w:rPr>
          <w:rFonts w:ascii="Arial" w:eastAsia="Calibri" w:hAnsi="Arial" w:cs="Arial"/>
          <w:color w:val="000000"/>
          <w:kern w:val="2"/>
          <w:sz w:val="20"/>
          <w:szCs w:val="20"/>
          <w:lang w:val="en-US"/>
        </w:rPr>
        <w:t xml:space="preserve"> (n=2 donors) upon H3N2 and H1N1 infection up to 48hpi. </w:t>
      </w:r>
      <w:r>
        <w:rPr>
          <w:rFonts w:ascii="Arial" w:eastAsia="Calibri" w:hAnsi="Arial" w:cs="Arial"/>
          <w:b/>
          <w:bCs/>
          <w:color w:val="000000" w:themeColor="text1"/>
          <w:kern w:val="2"/>
          <w:sz w:val="20"/>
          <w:szCs w:val="20"/>
          <w:lang w:val="en-US"/>
        </w:rPr>
        <w:t>C)</w:t>
      </w:r>
      <w:r>
        <w:rPr>
          <w:rFonts w:ascii="Arial" w:eastAsia="Calibri" w:hAnsi="Arial" w:cs="Arial"/>
          <w:color w:val="000000" w:themeColor="text1"/>
          <w:kern w:val="2"/>
          <w:sz w:val="20"/>
          <w:szCs w:val="20"/>
          <w:lang w:val="en-US"/>
        </w:rPr>
        <w:t xml:space="preserve"> UMAPs showing cluster marker gene expression according to annotated populations. </w:t>
      </w:r>
      <w:r>
        <w:rPr>
          <w:rFonts w:ascii="Arial" w:eastAsia="Calibri" w:hAnsi="Arial" w:cs="Arial"/>
          <w:b/>
          <w:bCs/>
          <w:color w:val="000000" w:themeColor="text1"/>
          <w:kern w:val="2"/>
          <w:sz w:val="20"/>
          <w:szCs w:val="20"/>
          <w:lang w:val="en-US"/>
        </w:rPr>
        <w:t>D</w:t>
      </w:r>
      <w:r w:rsidRPr="00CB23FB">
        <w:rPr>
          <w:rFonts w:ascii="Arial" w:eastAsia="Calibri" w:hAnsi="Arial" w:cs="Arial"/>
          <w:b/>
          <w:bCs/>
          <w:color w:val="000000"/>
          <w:kern w:val="2"/>
          <w:sz w:val="20"/>
          <w:szCs w:val="20"/>
          <w:lang w:val="en-GB"/>
        </w:rPr>
        <w:t xml:space="preserve">) </w:t>
      </w:r>
      <w:r w:rsidRPr="00CB23FB">
        <w:rPr>
          <w:rFonts w:ascii="Arial" w:eastAsia="Calibri" w:hAnsi="Arial" w:cs="Arial"/>
          <w:color w:val="000000"/>
          <w:kern w:val="2"/>
          <w:sz w:val="20"/>
          <w:szCs w:val="20"/>
          <w:lang w:val="en-GB"/>
        </w:rPr>
        <w:t xml:space="preserve">Dot plot showing marker genes </w:t>
      </w:r>
      <w:r>
        <w:rPr>
          <w:rFonts w:ascii="Arial" w:eastAsia="Calibri" w:hAnsi="Arial" w:cs="Arial"/>
          <w:color w:val="000000" w:themeColor="text1"/>
          <w:kern w:val="2"/>
          <w:sz w:val="20"/>
          <w:szCs w:val="20"/>
          <w:lang w:val="en-US"/>
        </w:rPr>
        <w:t>expression per cluster of single-cell RNA sequencing of H3N2-infected and uninfected iPSC-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at </w:t>
      </w:r>
      <w:r>
        <w:rPr>
          <w:rFonts w:ascii="Arial" w:eastAsia="Calibri" w:hAnsi="Arial" w:cs="Arial"/>
          <w:color w:val="000000" w:themeColor="text1"/>
          <w:kern w:val="2"/>
          <w:sz w:val="20"/>
          <w:szCs w:val="20"/>
          <w:lang w:val="en-US"/>
        </w:rPr>
        <w:lastRenderedPageBreak/>
        <w:t>24hpi (n=2</w:t>
      </w:r>
      <w:r>
        <w:rPr>
          <w:rFonts w:ascii="Arial" w:eastAsia="Calibri" w:hAnsi="Arial" w:cs="Arial"/>
          <w:color w:val="000000"/>
          <w:kern w:val="2"/>
          <w:sz w:val="20"/>
          <w:szCs w:val="20"/>
          <w:lang w:val="en-US"/>
        </w:rPr>
        <w:t xml:space="preserve">, </w:t>
      </w:r>
      <w:proofErr w:type="spellStart"/>
      <w:r>
        <w:rPr>
          <w:rFonts w:ascii="Arial" w:eastAsia="Calibri" w:hAnsi="Arial" w:cs="Arial"/>
          <w:color w:val="000000"/>
          <w:kern w:val="2"/>
          <w:sz w:val="20"/>
          <w:szCs w:val="20"/>
          <w:lang w:val="en-US"/>
        </w:rPr>
        <w:t>hiPSC</w:t>
      </w:r>
      <w:proofErr w:type="spellEnd"/>
      <w:r>
        <w:rPr>
          <w:rFonts w:ascii="Arial" w:eastAsia="Calibri" w:hAnsi="Arial" w:cs="Arial"/>
          <w:color w:val="000000"/>
          <w:kern w:val="2"/>
          <w:sz w:val="20"/>
          <w:szCs w:val="20"/>
          <w:lang w:val="en-US"/>
        </w:rPr>
        <w:t xml:space="preserve"> lines as biological replicates</w:t>
      </w:r>
      <w:r>
        <w:rPr>
          <w:rFonts w:ascii="Arial" w:eastAsia="Calibri" w:hAnsi="Arial" w:cs="Arial"/>
          <w:color w:val="000000" w:themeColor="text1"/>
          <w:kern w:val="2"/>
          <w:sz w:val="20"/>
          <w:szCs w:val="20"/>
          <w:lang w:val="en-US"/>
        </w:rPr>
        <w:t xml:space="preserve">). </w:t>
      </w:r>
      <w:r>
        <w:rPr>
          <w:rFonts w:ascii="Arial" w:eastAsia="Calibri" w:hAnsi="Arial" w:cs="Arial"/>
          <w:b/>
          <w:bCs/>
          <w:color w:val="000000"/>
          <w:kern w:val="2"/>
          <w:sz w:val="20"/>
          <w:szCs w:val="20"/>
          <w:lang w:val="en-US"/>
        </w:rPr>
        <w:t>E)</w:t>
      </w:r>
      <w:r>
        <w:rPr>
          <w:rFonts w:ascii="Arial" w:eastAsia="Calibri" w:hAnsi="Arial" w:cs="Arial"/>
          <w:color w:val="000000"/>
          <w:kern w:val="2"/>
          <w:sz w:val="20"/>
          <w:szCs w:val="20"/>
          <w:lang w:val="en-US"/>
        </w:rPr>
        <w:t xml:space="preserve"> Cell cycle phase (left) and cell type cluster (right) distribution for apical-in and apical-out iPSC-</w:t>
      </w:r>
      <w:proofErr w:type="spellStart"/>
      <w:r>
        <w:rPr>
          <w:rFonts w:ascii="Arial" w:eastAsia="Calibri" w:hAnsi="Arial" w:cs="Arial"/>
          <w:color w:val="000000"/>
          <w:kern w:val="2"/>
          <w:sz w:val="20"/>
          <w:szCs w:val="20"/>
          <w:lang w:val="en-US"/>
        </w:rPr>
        <w:t>aLOs</w:t>
      </w:r>
      <w:proofErr w:type="spellEnd"/>
      <w:r>
        <w:rPr>
          <w:rFonts w:ascii="Arial" w:eastAsia="Calibri" w:hAnsi="Arial" w:cs="Arial"/>
          <w:color w:val="000000"/>
          <w:kern w:val="2"/>
          <w:sz w:val="20"/>
          <w:szCs w:val="20"/>
          <w:lang w:val="en-US"/>
        </w:rPr>
        <w:t xml:space="preserve"> conformation in control samples (uninfected). </w:t>
      </w:r>
      <w:r w:rsidRPr="00CB23FB">
        <w:rPr>
          <w:rFonts w:ascii="Arial" w:eastAsia="Calibri" w:hAnsi="Arial" w:cs="Arial"/>
          <w:b/>
          <w:bCs/>
          <w:i/>
          <w:iCs/>
          <w:color w:val="000000"/>
          <w:kern w:val="2"/>
          <w:sz w:val="20"/>
          <w:szCs w:val="20"/>
          <w:lang w:val="en-GB"/>
        </w:rPr>
        <w:t>iPSC-</w:t>
      </w:r>
      <w:proofErr w:type="spellStart"/>
      <w:r w:rsidRPr="00CB23FB">
        <w:rPr>
          <w:rFonts w:ascii="Arial" w:eastAsia="Calibri" w:hAnsi="Arial" w:cs="Arial"/>
          <w:b/>
          <w:bCs/>
          <w:i/>
          <w:iCs/>
          <w:color w:val="000000"/>
          <w:kern w:val="2"/>
          <w:sz w:val="20"/>
          <w:szCs w:val="20"/>
          <w:lang w:val="en-GB"/>
        </w:rPr>
        <w:t>aLOs</w:t>
      </w:r>
      <w:proofErr w:type="spellEnd"/>
      <w:r w:rsidRPr="00CB23FB">
        <w:rPr>
          <w:rFonts w:ascii="Arial" w:eastAsia="Calibri" w:hAnsi="Arial" w:cs="Arial"/>
          <w:b/>
          <w:bCs/>
          <w:i/>
          <w:iCs/>
          <w:color w:val="000000"/>
          <w:kern w:val="2"/>
          <w:sz w:val="20"/>
          <w:szCs w:val="20"/>
          <w:lang w:val="en-GB"/>
        </w:rPr>
        <w:t xml:space="preserve">: </w:t>
      </w:r>
      <w:proofErr w:type="spellStart"/>
      <w:r w:rsidRPr="00CB23FB">
        <w:rPr>
          <w:rFonts w:ascii="Arial" w:eastAsia="Calibri" w:hAnsi="Arial" w:cs="Arial"/>
          <w:i/>
          <w:iCs/>
          <w:color w:val="000000"/>
          <w:kern w:val="2"/>
          <w:sz w:val="20"/>
          <w:szCs w:val="20"/>
          <w:lang w:val="en-GB"/>
        </w:rPr>
        <w:t>hiPSC</w:t>
      </w:r>
      <w:proofErr w:type="spellEnd"/>
      <w:r w:rsidRPr="00CB23FB">
        <w:rPr>
          <w:rFonts w:ascii="Arial" w:eastAsia="Calibri" w:hAnsi="Arial" w:cs="Arial"/>
          <w:i/>
          <w:iCs/>
          <w:color w:val="000000"/>
          <w:kern w:val="2"/>
          <w:sz w:val="20"/>
          <w:szCs w:val="20"/>
          <w:lang w:val="en-GB"/>
        </w:rPr>
        <w:t>-derived alveolar-like lung organoids.</w:t>
      </w:r>
    </w:p>
    <w:p w14:paraId="6A887675" w14:textId="77777777" w:rsidR="00CB23FB" w:rsidRPr="00CB23FB" w:rsidRDefault="00CB23FB">
      <w:pPr>
        <w:rPr>
          <w:b/>
          <w:bCs/>
          <w:sz w:val="28"/>
          <w:szCs w:val="28"/>
          <w:lang w:val="en-GB"/>
        </w:rPr>
      </w:pPr>
    </w:p>
    <w:p w14:paraId="544C548B" w14:textId="77777777" w:rsidR="00CB23FB" w:rsidRPr="00CB23FB" w:rsidRDefault="00CB23FB">
      <w:pPr>
        <w:rPr>
          <w:b/>
          <w:bCs/>
          <w:sz w:val="28"/>
          <w:szCs w:val="28"/>
          <w:lang w:val="en-GB"/>
        </w:rPr>
      </w:pPr>
    </w:p>
    <w:p w14:paraId="2C527C75" w14:textId="77777777" w:rsidR="00CB23FB" w:rsidRPr="00CB23FB" w:rsidRDefault="00CB23FB">
      <w:pPr>
        <w:rPr>
          <w:b/>
          <w:bCs/>
          <w:sz w:val="28"/>
          <w:szCs w:val="28"/>
          <w:lang w:val="en-GB"/>
        </w:rPr>
      </w:pPr>
    </w:p>
    <w:p w14:paraId="2DB15B22" w14:textId="5D7F531F" w:rsidR="00CB23FB" w:rsidRDefault="00CB23FB">
      <w:pPr>
        <w:rPr>
          <w:b/>
          <w:bCs/>
          <w:sz w:val="28"/>
          <w:szCs w:val="28"/>
        </w:rPr>
      </w:pPr>
      <w:r>
        <w:rPr>
          <w:b/>
          <w:bCs/>
          <w:noProof/>
          <w:sz w:val="28"/>
          <w:szCs w:val="28"/>
        </w:rPr>
        <w:lastRenderedPageBreak/>
        <w:drawing>
          <wp:inline distT="0" distB="0" distL="0" distR="0" wp14:anchorId="56F11A93" wp14:editId="79906F7E">
            <wp:extent cx="5762625" cy="8001000"/>
            <wp:effectExtent l="0" t="0" r="9525" b="0"/>
            <wp:docPr id="140328228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3891"/>
                    <a:stretch>
                      <a:fillRect/>
                    </a:stretch>
                  </pic:blipFill>
                  <pic:spPr bwMode="auto">
                    <a:xfrm>
                      <a:off x="0" y="0"/>
                      <a:ext cx="5762625" cy="8001000"/>
                    </a:xfrm>
                    <a:prstGeom prst="rect">
                      <a:avLst/>
                    </a:prstGeom>
                    <a:noFill/>
                    <a:ln>
                      <a:noFill/>
                    </a:ln>
                    <a:extLst>
                      <a:ext uri="{53640926-AAD7-44D8-BBD7-CCE9431645EC}">
                        <a14:shadowObscured xmlns:a14="http://schemas.microsoft.com/office/drawing/2010/main"/>
                      </a:ext>
                    </a:extLst>
                  </pic:spPr>
                </pic:pic>
              </a:graphicData>
            </a:graphic>
          </wp:inline>
        </w:drawing>
      </w:r>
    </w:p>
    <w:p w14:paraId="256A28E0" w14:textId="77777777" w:rsidR="00CB23FB" w:rsidRDefault="00CB23FB">
      <w:pPr>
        <w:rPr>
          <w:b/>
          <w:bCs/>
          <w:sz w:val="28"/>
          <w:szCs w:val="28"/>
        </w:rPr>
      </w:pPr>
    </w:p>
    <w:p w14:paraId="2FAA1EC3" w14:textId="6237F66F" w:rsidR="00CB23FB" w:rsidRPr="00CB23FB" w:rsidRDefault="00CB23FB" w:rsidP="00CB23FB">
      <w:pPr>
        <w:pStyle w:val="StandardWeb"/>
        <w:spacing w:before="0" w:beforeAutospacing="0" w:after="0" w:afterAutospacing="0" w:line="276" w:lineRule="auto"/>
        <w:jc w:val="both"/>
        <w:rPr>
          <w:lang w:val="en-GB"/>
        </w:rPr>
      </w:pPr>
      <w:r>
        <w:rPr>
          <w:rFonts w:ascii="Arial" w:eastAsia="Calibri" w:hAnsi="Arial" w:cs="Arial"/>
          <w:b/>
          <w:bCs/>
          <w:color w:val="000000" w:themeColor="text1"/>
          <w:kern w:val="24"/>
          <w:sz w:val="20"/>
          <w:szCs w:val="20"/>
          <w:lang w:val="en-US"/>
        </w:rPr>
        <w:t xml:space="preserve">Supplementary Figure 4. </w:t>
      </w:r>
      <w:r w:rsidRPr="00CB23FB">
        <w:rPr>
          <w:rFonts w:ascii="Arial" w:eastAsiaTheme="minorEastAsia" w:hAnsi="Arial" w:cs="Arial"/>
          <w:b/>
          <w:bCs/>
          <w:color w:val="000000" w:themeColor="text1"/>
          <w:kern w:val="24"/>
          <w:sz w:val="20"/>
          <w:szCs w:val="20"/>
          <w:lang w:val="en-GB"/>
        </w:rPr>
        <w:t>iPSC-</w:t>
      </w:r>
      <w:proofErr w:type="spellStart"/>
      <w:r w:rsidRPr="00CB23FB">
        <w:rPr>
          <w:rFonts w:ascii="Arial" w:eastAsiaTheme="minorEastAsia" w:hAnsi="Arial" w:cs="Arial"/>
          <w:b/>
          <w:bCs/>
          <w:color w:val="000000" w:themeColor="text1"/>
          <w:kern w:val="24"/>
          <w:sz w:val="20"/>
          <w:szCs w:val="20"/>
          <w:lang w:val="en-GB"/>
        </w:rPr>
        <w:t>aLOs</w:t>
      </w:r>
      <w:proofErr w:type="spellEnd"/>
      <w:r w:rsidRPr="00CB23FB">
        <w:rPr>
          <w:rFonts w:ascii="Arial" w:eastAsiaTheme="minorEastAsia" w:hAnsi="Arial" w:cs="Arial"/>
          <w:b/>
          <w:bCs/>
          <w:color w:val="000000" w:themeColor="text1"/>
          <w:kern w:val="24"/>
          <w:sz w:val="20"/>
          <w:szCs w:val="20"/>
          <w:lang w:val="en-GB"/>
        </w:rPr>
        <w:t xml:space="preserve"> show interferon stimulated gene response upon H3N2 infection</w:t>
      </w:r>
      <w:r>
        <w:rPr>
          <w:rFonts w:ascii="Arial" w:eastAsia="Calibri" w:hAnsi="Arial" w:cs="Arial"/>
          <w:b/>
          <w:bCs/>
          <w:color w:val="000000" w:themeColor="text1"/>
          <w:kern w:val="24"/>
          <w:sz w:val="20"/>
          <w:szCs w:val="20"/>
          <w:lang w:val="en-US"/>
        </w:rPr>
        <w:t>.</w:t>
      </w:r>
      <w:r w:rsidRPr="00CB23FB">
        <w:rPr>
          <w:rFonts w:ascii="Arial" w:eastAsiaTheme="minorEastAsia" w:hAnsi="Arial" w:cs="Arial"/>
          <w:color w:val="000000" w:themeColor="text1"/>
          <w:kern w:val="24"/>
          <w:sz w:val="20"/>
          <w:szCs w:val="20"/>
          <w:lang w:val="en-GB"/>
        </w:rPr>
        <w:t xml:space="preserve"> </w:t>
      </w:r>
      <w:r>
        <w:rPr>
          <w:rFonts w:ascii="Arial" w:eastAsia="Calibri" w:hAnsi="Arial" w:cs="Arial"/>
          <w:b/>
          <w:bCs/>
          <w:color w:val="000000"/>
          <w:kern w:val="2"/>
          <w:sz w:val="20"/>
          <w:szCs w:val="20"/>
          <w:lang w:val="en-US"/>
        </w:rPr>
        <w:t xml:space="preserve">A) </w:t>
      </w:r>
      <w:r>
        <w:rPr>
          <w:rFonts w:ascii="Arial" w:eastAsia="Calibri" w:hAnsi="Arial" w:cs="Arial"/>
          <w:color w:val="000000"/>
          <w:kern w:val="2"/>
          <w:sz w:val="20"/>
          <w:szCs w:val="20"/>
          <w:lang w:val="en-US"/>
        </w:rPr>
        <w:t xml:space="preserve">UMAP showing distribution of infected and uninfected cells. </w:t>
      </w:r>
      <w:r>
        <w:rPr>
          <w:rFonts w:ascii="Arial" w:eastAsia="Calibri" w:hAnsi="Arial" w:cs="Arial"/>
          <w:b/>
          <w:bCs/>
          <w:color w:val="000000"/>
          <w:kern w:val="2"/>
          <w:sz w:val="20"/>
          <w:szCs w:val="20"/>
          <w:lang w:val="en-US"/>
        </w:rPr>
        <w:t xml:space="preserve">B) </w:t>
      </w:r>
      <w:r>
        <w:rPr>
          <w:rFonts w:ascii="Arial" w:eastAsia="Calibri" w:hAnsi="Arial" w:cs="Arial"/>
          <w:color w:val="000000"/>
          <w:kern w:val="2"/>
          <w:sz w:val="20"/>
          <w:szCs w:val="20"/>
          <w:lang w:val="en-US"/>
        </w:rPr>
        <w:t>Dot plot showing expression of viral genes and fraction of cells per group for infected, likely productive infected and uninfected cells by single-cell RNA sequencing (</w:t>
      </w:r>
      <w:proofErr w:type="spellStart"/>
      <w:r>
        <w:rPr>
          <w:rFonts w:ascii="Arial" w:eastAsia="Calibri" w:hAnsi="Arial" w:cs="Arial"/>
          <w:color w:val="000000"/>
          <w:kern w:val="2"/>
          <w:sz w:val="20"/>
          <w:szCs w:val="20"/>
          <w:lang w:val="en-US"/>
        </w:rPr>
        <w:t>scRNA</w:t>
      </w:r>
      <w:proofErr w:type="spellEnd"/>
      <w:r>
        <w:rPr>
          <w:rFonts w:ascii="Arial" w:eastAsia="Calibri" w:hAnsi="Arial" w:cs="Arial"/>
          <w:color w:val="000000"/>
          <w:kern w:val="2"/>
          <w:sz w:val="20"/>
          <w:szCs w:val="20"/>
          <w:lang w:val="en-US"/>
        </w:rPr>
        <w:t xml:space="preserve">-seq). </w:t>
      </w:r>
      <w:r>
        <w:rPr>
          <w:rFonts w:ascii="Arial" w:eastAsia="Calibri" w:hAnsi="Arial" w:cs="Arial"/>
          <w:b/>
          <w:bCs/>
          <w:color w:val="000000"/>
          <w:kern w:val="2"/>
          <w:sz w:val="20"/>
          <w:szCs w:val="20"/>
          <w:lang w:val="en-US"/>
        </w:rPr>
        <w:t>C)</w:t>
      </w:r>
      <w:r>
        <w:rPr>
          <w:rFonts w:ascii="Arial" w:eastAsia="Calibri" w:hAnsi="Arial" w:cs="Arial"/>
          <w:color w:val="000000"/>
          <w:kern w:val="2"/>
          <w:sz w:val="20"/>
          <w:szCs w:val="20"/>
          <w:lang w:val="en-US"/>
        </w:rPr>
        <w:t xml:space="preserve"> Vulcano plot showing differential gene expression of infected versus uninfected samples from </w:t>
      </w:r>
      <w:proofErr w:type="spellStart"/>
      <w:r>
        <w:rPr>
          <w:rFonts w:ascii="Arial" w:eastAsia="Calibri" w:hAnsi="Arial" w:cs="Arial"/>
          <w:color w:val="000000"/>
          <w:kern w:val="2"/>
          <w:sz w:val="20"/>
          <w:szCs w:val="20"/>
          <w:lang w:val="en-US"/>
        </w:rPr>
        <w:t>scRNA</w:t>
      </w:r>
      <w:proofErr w:type="spellEnd"/>
      <w:r>
        <w:rPr>
          <w:rFonts w:ascii="Arial" w:eastAsia="Calibri" w:hAnsi="Arial" w:cs="Arial"/>
          <w:color w:val="000000"/>
          <w:kern w:val="2"/>
          <w:sz w:val="20"/>
          <w:szCs w:val="20"/>
          <w:lang w:val="en-US"/>
        </w:rPr>
        <w:t xml:space="preserve">-seq with interferon stimulated genes (ISGs) highlighted (upper panel). Gene ontology (GO) terms given for up-regulated genes (lower panel). </w:t>
      </w:r>
      <w:r>
        <w:rPr>
          <w:rFonts w:ascii="Arial" w:eastAsia="Calibri" w:hAnsi="Arial" w:cs="Arial"/>
          <w:b/>
          <w:bCs/>
          <w:color w:val="000000"/>
          <w:kern w:val="2"/>
          <w:sz w:val="20"/>
          <w:szCs w:val="20"/>
          <w:lang w:val="en-US"/>
        </w:rPr>
        <w:lastRenderedPageBreak/>
        <w:t>D)</w:t>
      </w:r>
      <w:r>
        <w:rPr>
          <w:rFonts w:ascii="Arial" w:eastAsia="Calibri" w:hAnsi="Arial" w:cs="Arial"/>
          <w:color w:val="000000"/>
          <w:kern w:val="2"/>
          <w:sz w:val="20"/>
          <w:szCs w:val="20"/>
          <w:lang w:val="en-US"/>
        </w:rPr>
        <w:t xml:space="preserve"> Dot plot indicating expression levels of ISG among infected, likely productive and uninfected single cell clusters. </w:t>
      </w:r>
      <w:r w:rsidRPr="00CB23FB">
        <w:rPr>
          <w:rFonts w:ascii="Arial" w:eastAsia="Calibri" w:hAnsi="Arial" w:cs="Arial"/>
          <w:b/>
          <w:bCs/>
          <w:i/>
          <w:iCs/>
          <w:color w:val="000000"/>
          <w:kern w:val="2"/>
          <w:sz w:val="20"/>
          <w:szCs w:val="20"/>
          <w:lang w:val="en-GB"/>
        </w:rPr>
        <w:t>iPSC-</w:t>
      </w:r>
      <w:proofErr w:type="spellStart"/>
      <w:r w:rsidRPr="00CB23FB">
        <w:rPr>
          <w:rFonts w:ascii="Arial" w:eastAsia="Calibri" w:hAnsi="Arial" w:cs="Arial"/>
          <w:b/>
          <w:bCs/>
          <w:i/>
          <w:iCs/>
          <w:color w:val="000000"/>
          <w:kern w:val="2"/>
          <w:sz w:val="20"/>
          <w:szCs w:val="20"/>
          <w:lang w:val="en-GB"/>
        </w:rPr>
        <w:t>aLOs</w:t>
      </w:r>
      <w:proofErr w:type="spellEnd"/>
      <w:r w:rsidRPr="00CB23FB">
        <w:rPr>
          <w:rFonts w:ascii="Arial" w:eastAsia="Calibri" w:hAnsi="Arial" w:cs="Arial"/>
          <w:b/>
          <w:bCs/>
          <w:i/>
          <w:iCs/>
          <w:color w:val="000000"/>
          <w:kern w:val="2"/>
          <w:sz w:val="20"/>
          <w:szCs w:val="20"/>
          <w:lang w:val="en-GB"/>
        </w:rPr>
        <w:t xml:space="preserve">: </w:t>
      </w:r>
      <w:proofErr w:type="spellStart"/>
      <w:r w:rsidRPr="00CB23FB">
        <w:rPr>
          <w:rFonts w:ascii="Arial" w:eastAsia="Calibri" w:hAnsi="Arial" w:cs="Arial"/>
          <w:i/>
          <w:iCs/>
          <w:color w:val="000000"/>
          <w:kern w:val="2"/>
          <w:sz w:val="20"/>
          <w:szCs w:val="20"/>
          <w:lang w:val="en-GB"/>
        </w:rPr>
        <w:t>hiPSC</w:t>
      </w:r>
      <w:proofErr w:type="spellEnd"/>
      <w:r w:rsidRPr="00CB23FB">
        <w:rPr>
          <w:rFonts w:ascii="Arial" w:eastAsia="Calibri" w:hAnsi="Arial" w:cs="Arial"/>
          <w:i/>
          <w:iCs/>
          <w:color w:val="000000"/>
          <w:kern w:val="2"/>
          <w:sz w:val="20"/>
          <w:szCs w:val="20"/>
          <w:lang w:val="en-GB"/>
        </w:rPr>
        <w:t xml:space="preserve">-derived alveolar-like lung organoids; </w:t>
      </w:r>
      <w:r w:rsidRPr="00CB23FB">
        <w:rPr>
          <w:rFonts w:ascii="Arial" w:eastAsia="Calibri" w:hAnsi="Arial" w:cs="Arial"/>
          <w:b/>
          <w:bCs/>
          <w:i/>
          <w:iCs/>
          <w:color w:val="000000"/>
          <w:kern w:val="2"/>
          <w:sz w:val="20"/>
          <w:szCs w:val="20"/>
          <w:lang w:val="en-GB"/>
        </w:rPr>
        <w:t>ASC-</w:t>
      </w:r>
      <w:proofErr w:type="spellStart"/>
      <w:r w:rsidRPr="00CB23FB">
        <w:rPr>
          <w:rFonts w:ascii="Arial" w:eastAsia="Calibri" w:hAnsi="Arial" w:cs="Arial"/>
          <w:b/>
          <w:bCs/>
          <w:i/>
          <w:iCs/>
          <w:color w:val="000000"/>
          <w:kern w:val="2"/>
          <w:sz w:val="20"/>
          <w:szCs w:val="20"/>
          <w:lang w:val="en-GB"/>
        </w:rPr>
        <w:t>aLOs</w:t>
      </w:r>
      <w:proofErr w:type="spellEnd"/>
      <w:r w:rsidRPr="00CB23FB">
        <w:rPr>
          <w:rFonts w:ascii="Arial" w:eastAsia="Calibri" w:hAnsi="Arial" w:cs="Arial"/>
          <w:b/>
          <w:bCs/>
          <w:i/>
          <w:iCs/>
          <w:color w:val="000000"/>
          <w:kern w:val="2"/>
          <w:sz w:val="20"/>
          <w:szCs w:val="20"/>
          <w:lang w:val="en-GB"/>
        </w:rPr>
        <w:t xml:space="preserve">: </w:t>
      </w:r>
      <w:r w:rsidRPr="00CB23FB">
        <w:rPr>
          <w:rFonts w:ascii="Arial" w:eastAsia="Calibri" w:hAnsi="Arial" w:cs="Arial"/>
          <w:i/>
          <w:iCs/>
          <w:color w:val="000000"/>
          <w:kern w:val="2"/>
          <w:sz w:val="20"/>
          <w:szCs w:val="20"/>
          <w:lang w:val="en-GB"/>
        </w:rPr>
        <w:t>adult stem cell-derived alveolar-like lung organoids.</w:t>
      </w:r>
    </w:p>
    <w:p w14:paraId="645BED60" w14:textId="77777777" w:rsidR="00CB23FB" w:rsidRDefault="00CB23FB">
      <w:pPr>
        <w:rPr>
          <w:b/>
          <w:bCs/>
          <w:sz w:val="28"/>
          <w:szCs w:val="28"/>
          <w:lang w:val="en-GB"/>
        </w:rPr>
      </w:pPr>
    </w:p>
    <w:p w14:paraId="52541A2A" w14:textId="77777777" w:rsidR="00B65484" w:rsidRPr="00CB23FB" w:rsidRDefault="00B65484">
      <w:pPr>
        <w:rPr>
          <w:b/>
          <w:bCs/>
          <w:sz w:val="28"/>
          <w:szCs w:val="28"/>
          <w:lang w:val="en-GB"/>
        </w:rPr>
      </w:pPr>
    </w:p>
    <w:p w14:paraId="0014B160" w14:textId="77777777" w:rsidR="00CB23FB" w:rsidRPr="00CB23FB" w:rsidRDefault="00CB23FB">
      <w:pPr>
        <w:rPr>
          <w:b/>
          <w:bCs/>
          <w:sz w:val="28"/>
          <w:szCs w:val="28"/>
          <w:lang w:val="en-GB"/>
        </w:rPr>
      </w:pPr>
    </w:p>
    <w:p w14:paraId="5EE7C7F4" w14:textId="3CC705B4" w:rsidR="00CB23FB" w:rsidRDefault="00CB23FB">
      <w:pPr>
        <w:rPr>
          <w:b/>
          <w:bCs/>
          <w:sz w:val="28"/>
          <w:szCs w:val="28"/>
        </w:rPr>
      </w:pPr>
      <w:r>
        <w:rPr>
          <w:b/>
          <w:bCs/>
          <w:noProof/>
          <w:sz w:val="28"/>
          <w:szCs w:val="28"/>
        </w:rPr>
        <w:drawing>
          <wp:inline distT="0" distB="0" distL="0" distR="0" wp14:anchorId="2EE1B24E" wp14:editId="4959153C">
            <wp:extent cx="5762625" cy="4543425"/>
            <wp:effectExtent l="0" t="0" r="9525" b="9525"/>
            <wp:docPr id="174154914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9840" b="35584"/>
                    <a:stretch>
                      <a:fillRect/>
                    </a:stretch>
                  </pic:blipFill>
                  <pic:spPr bwMode="auto">
                    <a:xfrm>
                      <a:off x="0" y="0"/>
                      <a:ext cx="5762625" cy="4543425"/>
                    </a:xfrm>
                    <a:prstGeom prst="rect">
                      <a:avLst/>
                    </a:prstGeom>
                    <a:noFill/>
                    <a:ln>
                      <a:noFill/>
                    </a:ln>
                    <a:extLst>
                      <a:ext uri="{53640926-AAD7-44D8-BBD7-CCE9431645EC}">
                        <a14:shadowObscured xmlns:a14="http://schemas.microsoft.com/office/drawing/2010/main"/>
                      </a:ext>
                    </a:extLst>
                  </pic:spPr>
                </pic:pic>
              </a:graphicData>
            </a:graphic>
          </wp:inline>
        </w:drawing>
      </w:r>
    </w:p>
    <w:p w14:paraId="72F6D27A" w14:textId="75698F89" w:rsidR="00CB23FB" w:rsidRPr="00CB23FB" w:rsidRDefault="00CB23FB" w:rsidP="00CB23FB">
      <w:pPr>
        <w:pStyle w:val="StandardWeb"/>
        <w:spacing w:before="0" w:beforeAutospacing="0" w:after="0" w:afterAutospacing="0" w:line="276" w:lineRule="auto"/>
        <w:jc w:val="both"/>
        <w:rPr>
          <w:lang w:val="en-GB"/>
        </w:rPr>
      </w:pPr>
      <w:r w:rsidRPr="00CB23FB">
        <w:rPr>
          <w:rFonts w:ascii="Arial" w:eastAsiaTheme="minorEastAsia" w:hAnsi="Arial" w:cs="Arial"/>
          <w:b/>
          <w:bCs/>
          <w:color w:val="000000" w:themeColor="text1"/>
          <w:kern w:val="24"/>
          <w:sz w:val="20"/>
          <w:szCs w:val="20"/>
          <w:lang w:val="en-GB"/>
        </w:rPr>
        <w:t>Supplementary Figure 5. IAV infection triggers similar responses in iPSC-</w:t>
      </w:r>
      <w:proofErr w:type="spellStart"/>
      <w:r w:rsidRPr="00CB23FB">
        <w:rPr>
          <w:rFonts w:ascii="Arial" w:eastAsiaTheme="minorEastAsia" w:hAnsi="Arial" w:cs="Arial"/>
          <w:b/>
          <w:bCs/>
          <w:color w:val="000000" w:themeColor="text1"/>
          <w:kern w:val="24"/>
          <w:sz w:val="20"/>
          <w:szCs w:val="20"/>
          <w:lang w:val="en-GB"/>
        </w:rPr>
        <w:t>aLOs</w:t>
      </w:r>
      <w:proofErr w:type="spellEnd"/>
      <w:r w:rsidRPr="00CB23FB">
        <w:rPr>
          <w:rFonts w:ascii="Arial" w:eastAsiaTheme="minorEastAsia" w:hAnsi="Arial" w:cs="Arial"/>
          <w:b/>
          <w:bCs/>
          <w:color w:val="000000" w:themeColor="text1"/>
          <w:kern w:val="24"/>
          <w:sz w:val="20"/>
          <w:szCs w:val="20"/>
          <w:lang w:val="en-GB"/>
        </w:rPr>
        <w:t xml:space="preserve"> and ASC-</w:t>
      </w:r>
      <w:proofErr w:type="spellStart"/>
      <w:r w:rsidRPr="00CB23FB">
        <w:rPr>
          <w:rFonts w:ascii="Arial" w:eastAsiaTheme="minorEastAsia" w:hAnsi="Arial" w:cs="Arial"/>
          <w:b/>
          <w:bCs/>
          <w:color w:val="000000" w:themeColor="text1"/>
          <w:kern w:val="24"/>
          <w:sz w:val="20"/>
          <w:szCs w:val="20"/>
          <w:lang w:val="en-GB"/>
        </w:rPr>
        <w:t>aLOs</w:t>
      </w:r>
      <w:proofErr w:type="spellEnd"/>
      <w:r w:rsidRPr="00CB23FB">
        <w:rPr>
          <w:rFonts w:ascii="Arial" w:eastAsiaTheme="minorEastAsia" w:hAnsi="Arial" w:cs="Arial"/>
          <w:b/>
          <w:bCs/>
          <w:color w:val="000000" w:themeColor="text1"/>
          <w:kern w:val="24"/>
          <w:sz w:val="20"/>
          <w:szCs w:val="20"/>
          <w:lang w:val="en-GB"/>
        </w:rPr>
        <w:t>.</w:t>
      </w:r>
      <w:r w:rsidR="00B65484">
        <w:rPr>
          <w:rFonts w:ascii="Arial" w:eastAsiaTheme="minorEastAsia" w:hAnsi="Arial" w:cs="Arial"/>
          <w:b/>
          <w:bCs/>
          <w:color w:val="000000" w:themeColor="text1"/>
          <w:kern w:val="24"/>
          <w:sz w:val="20"/>
          <w:szCs w:val="20"/>
          <w:lang w:val="en-GB"/>
        </w:rPr>
        <w:t xml:space="preserve"> </w:t>
      </w:r>
      <w:r>
        <w:rPr>
          <w:rFonts w:ascii="Arial" w:eastAsia="Calibri" w:hAnsi="Arial" w:cs="Arial"/>
          <w:color w:val="000000" w:themeColor="text1"/>
          <w:kern w:val="2"/>
          <w:sz w:val="20"/>
          <w:szCs w:val="20"/>
          <w:lang w:val="en-US"/>
        </w:rPr>
        <w:t>Real time quantitative PCR results showing expression of interferon stimulated genes in H3N2- and H1N1-infected iPSC-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and ASC-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at 16 and 48 hours post infection. Gene expression is normalized to uninfected control per experiment. Each dot represents individual iPSC lines or donors. Experiments with the same donor were run as independent replicates. </w:t>
      </w:r>
      <w:r w:rsidRPr="00CB23FB">
        <w:rPr>
          <w:rFonts w:ascii="Arial" w:eastAsia="Calibri" w:hAnsi="Arial" w:cs="Arial"/>
          <w:b/>
          <w:bCs/>
          <w:i/>
          <w:iCs/>
          <w:color w:val="000000"/>
          <w:kern w:val="2"/>
          <w:sz w:val="20"/>
          <w:szCs w:val="20"/>
          <w:lang w:val="en-GB"/>
        </w:rPr>
        <w:t>iPSC-</w:t>
      </w:r>
      <w:proofErr w:type="spellStart"/>
      <w:r w:rsidRPr="00CB23FB">
        <w:rPr>
          <w:rFonts w:ascii="Arial" w:eastAsia="Calibri" w:hAnsi="Arial" w:cs="Arial"/>
          <w:b/>
          <w:bCs/>
          <w:i/>
          <w:iCs/>
          <w:color w:val="000000"/>
          <w:kern w:val="2"/>
          <w:sz w:val="20"/>
          <w:szCs w:val="20"/>
          <w:lang w:val="en-GB"/>
        </w:rPr>
        <w:t>aLOs</w:t>
      </w:r>
      <w:proofErr w:type="spellEnd"/>
      <w:r w:rsidRPr="00CB23FB">
        <w:rPr>
          <w:rFonts w:ascii="Arial" w:eastAsia="Calibri" w:hAnsi="Arial" w:cs="Arial"/>
          <w:b/>
          <w:bCs/>
          <w:i/>
          <w:iCs/>
          <w:color w:val="000000"/>
          <w:kern w:val="2"/>
          <w:sz w:val="20"/>
          <w:szCs w:val="20"/>
          <w:lang w:val="en-GB"/>
        </w:rPr>
        <w:t xml:space="preserve">: </w:t>
      </w:r>
      <w:proofErr w:type="spellStart"/>
      <w:r w:rsidRPr="00CB23FB">
        <w:rPr>
          <w:rFonts w:ascii="Arial" w:eastAsia="Calibri" w:hAnsi="Arial" w:cs="Arial"/>
          <w:i/>
          <w:iCs/>
          <w:color w:val="000000"/>
          <w:kern w:val="2"/>
          <w:sz w:val="20"/>
          <w:szCs w:val="20"/>
          <w:lang w:val="en-GB"/>
        </w:rPr>
        <w:t>hiPSC</w:t>
      </w:r>
      <w:proofErr w:type="spellEnd"/>
      <w:r w:rsidRPr="00CB23FB">
        <w:rPr>
          <w:rFonts w:ascii="Arial" w:eastAsia="Calibri" w:hAnsi="Arial" w:cs="Arial"/>
          <w:i/>
          <w:iCs/>
          <w:color w:val="000000"/>
          <w:kern w:val="2"/>
          <w:sz w:val="20"/>
          <w:szCs w:val="20"/>
          <w:lang w:val="en-GB"/>
        </w:rPr>
        <w:t xml:space="preserve"> derived alveolar-like lung organoids; </w:t>
      </w:r>
      <w:r w:rsidRPr="00CB23FB">
        <w:rPr>
          <w:rFonts w:ascii="Arial" w:eastAsia="Calibri" w:hAnsi="Arial" w:cs="Arial"/>
          <w:b/>
          <w:bCs/>
          <w:i/>
          <w:iCs/>
          <w:color w:val="000000"/>
          <w:kern w:val="2"/>
          <w:sz w:val="20"/>
          <w:szCs w:val="20"/>
          <w:lang w:val="en-GB"/>
        </w:rPr>
        <w:t>ASC-</w:t>
      </w:r>
      <w:proofErr w:type="spellStart"/>
      <w:r w:rsidRPr="00CB23FB">
        <w:rPr>
          <w:rFonts w:ascii="Arial" w:eastAsia="Calibri" w:hAnsi="Arial" w:cs="Arial"/>
          <w:b/>
          <w:bCs/>
          <w:i/>
          <w:iCs/>
          <w:color w:val="000000"/>
          <w:kern w:val="2"/>
          <w:sz w:val="20"/>
          <w:szCs w:val="20"/>
          <w:lang w:val="en-GB"/>
        </w:rPr>
        <w:t>aLOs</w:t>
      </w:r>
      <w:proofErr w:type="spellEnd"/>
      <w:r w:rsidRPr="00CB23FB">
        <w:rPr>
          <w:rFonts w:ascii="Arial" w:eastAsia="Calibri" w:hAnsi="Arial" w:cs="Arial"/>
          <w:b/>
          <w:bCs/>
          <w:i/>
          <w:iCs/>
          <w:color w:val="000000"/>
          <w:kern w:val="2"/>
          <w:sz w:val="20"/>
          <w:szCs w:val="20"/>
          <w:lang w:val="en-GB"/>
        </w:rPr>
        <w:t xml:space="preserve">: </w:t>
      </w:r>
      <w:r w:rsidRPr="00CB23FB">
        <w:rPr>
          <w:rFonts w:ascii="Arial" w:eastAsia="Calibri" w:hAnsi="Arial" w:cs="Arial"/>
          <w:i/>
          <w:iCs/>
          <w:color w:val="000000"/>
          <w:kern w:val="2"/>
          <w:sz w:val="20"/>
          <w:szCs w:val="20"/>
          <w:lang w:val="en-GB"/>
        </w:rPr>
        <w:t>adult stem cell derived alveolar-like lung organoids.</w:t>
      </w:r>
    </w:p>
    <w:p w14:paraId="2DED11E1" w14:textId="77777777" w:rsidR="00CB23FB" w:rsidRPr="00CB23FB" w:rsidRDefault="00CB23FB">
      <w:pPr>
        <w:rPr>
          <w:b/>
          <w:bCs/>
          <w:sz w:val="28"/>
          <w:szCs w:val="28"/>
          <w:lang w:val="en-GB"/>
        </w:rPr>
      </w:pPr>
    </w:p>
    <w:p w14:paraId="40B700EE" w14:textId="77777777" w:rsidR="00CB23FB" w:rsidRPr="00CB23FB" w:rsidRDefault="00CB23FB">
      <w:pPr>
        <w:rPr>
          <w:b/>
          <w:bCs/>
          <w:sz w:val="28"/>
          <w:szCs w:val="28"/>
          <w:lang w:val="en-GB"/>
        </w:rPr>
      </w:pPr>
    </w:p>
    <w:p w14:paraId="1886C097" w14:textId="77777777" w:rsidR="00CB23FB" w:rsidRPr="00CB23FB" w:rsidRDefault="00CB23FB">
      <w:pPr>
        <w:rPr>
          <w:b/>
          <w:bCs/>
          <w:sz w:val="28"/>
          <w:szCs w:val="28"/>
          <w:lang w:val="en-GB"/>
        </w:rPr>
      </w:pPr>
    </w:p>
    <w:p w14:paraId="334CEE8B" w14:textId="45E3E171" w:rsidR="00CB23FB" w:rsidRDefault="00CB23FB">
      <w:pPr>
        <w:rPr>
          <w:b/>
          <w:bCs/>
          <w:sz w:val="28"/>
          <w:szCs w:val="28"/>
        </w:rPr>
      </w:pPr>
      <w:r>
        <w:rPr>
          <w:b/>
          <w:bCs/>
          <w:noProof/>
          <w:sz w:val="28"/>
          <w:szCs w:val="28"/>
        </w:rPr>
        <w:lastRenderedPageBreak/>
        <w:drawing>
          <wp:inline distT="0" distB="0" distL="0" distR="0" wp14:anchorId="03FA7CEC" wp14:editId="47DECC86">
            <wp:extent cx="5762625" cy="7334250"/>
            <wp:effectExtent l="0" t="0" r="9525" b="0"/>
            <wp:docPr id="240572750"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1899"/>
                    <a:stretch>
                      <a:fillRect/>
                    </a:stretch>
                  </pic:blipFill>
                  <pic:spPr bwMode="auto">
                    <a:xfrm>
                      <a:off x="0" y="0"/>
                      <a:ext cx="5762625" cy="7334250"/>
                    </a:xfrm>
                    <a:prstGeom prst="rect">
                      <a:avLst/>
                    </a:prstGeom>
                    <a:noFill/>
                    <a:ln>
                      <a:noFill/>
                    </a:ln>
                    <a:extLst>
                      <a:ext uri="{53640926-AAD7-44D8-BBD7-CCE9431645EC}">
                        <a14:shadowObscured xmlns:a14="http://schemas.microsoft.com/office/drawing/2010/main"/>
                      </a:ext>
                    </a:extLst>
                  </pic:spPr>
                </pic:pic>
              </a:graphicData>
            </a:graphic>
          </wp:inline>
        </w:drawing>
      </w:r>
    </w:p>
    <w:p w14:paraId="67440526" w14:textId="6DB467B6" w:rsidR="00CB23FB" w:rsidRPr="00CB23FB" w:rsidRDefault="00CB23FB" w:rsidP="00CB23FB">
      <w:pPr>
        <w:pStyle w:val="StandardWeb"/>
        <w:spacing w:before="0" w:beforeAutospacing="0" w:after="0" w:afterAutospacing="0" w:line="276" w:lineRule="auto"/>
        <w:jc w:val="both"/>
        <w:rPr>
          <w:lang w:val="en-GB"/>
        </w:rPr>
      </w:pPr>
      <w:r w:rsidRPr="00CB23FB">
        <w:rPr>
          <w:rFonts w:ascii="Arial" w:eastAsiaTheme="minorEastAsia" w:hAnsi="Arial" w:cs="Arial"/>
          <w:b/>
          <w:bCs/>
          <w:color w:val="000000" w:themeColor="text1"/>
          <w:kern w:val="24"/>
          <w:sz w:val="20"/>
          <w:szCs w:val="20"/>
          <w:lang w:val="en-GB"/>
        </w:rPr>
        <w:t>Supplementary Figure 6: iPSC-</w:t>
      </w:r>
      <w:proofErr w:type="spellStart"/>
      <w:r w:rsidRPr="00CB23FB">
        <w:rPr>
          <w:rFonts w:ascii="Arial" w:eastAsiaTheme="minorEastAsia" w:hAnsi="Arial" w:cs="Arial"/>
          <w:b/>
          <w:bCs/>
          <w:color w:val="000000" w:themeColor="text1"/>
          <w:kern w:val="24"/>
          <w:sz w:val="20"/>
          <w:szCs w:val="20"/>
          <w:lang w:val="en-GB"/>
        </w:rPr>
        <w:t>aLOs</w:t>
      </w:r>
      <w:proofErr w:type="spellEnd"/>
      <w:r w:rsidRPr="00CB23FB">
        <w:rPr>
          <w:rFonts w:ascii="Arial" w:eastAsiaTheme="minorEastAsia" w:hAnsi="Arial" w:cs="Arial"/>
          <w:b/>
          <w:bCs/>
          <w:color w:val="000000" w:themeColor="text1"/>
          <w:kern w:val="24"/>
          <w:sz w:val="20"/>
          <w:szCs w:val="20"/>
          <w:lang w:val="en-GB"/>
        </w:rPr>
        <w:t xml:space="preserve"> express HLA class I. </w:t>
      </w:r>
      <w:r>
        <w:rPr>
          <w:rFonts w:ascii="Arial" w:eastAsia="Calibri" w:hAnsi="Arial" w:cs="Arial"/>
          <w:b/>
          <w:bCs/>
          <w:color w:val="000000" w:themeColor="text1"/>
          <w:kern w:val="2"/>
          <w:sz w:val="20"/>
          <w:szCs w:val="20"/>
          <w:lang w:val="en-US"/>
        </w:rPr>
        <w:t xml:space="preserve">A) </w:t>
      </w:r>
      <w:r>
        <w:rPr>
          <w:rFonts w:ascii="Arial" w:eastAsia="Calibri" w:hAnsi="Arial" w:cs="Arial"/>
          <w:color w:val="000000" w:themeColor="text1"/>
          <w:kern w:val="2"/>
          <w:sz w:val="20"/>
          <w:szCs w:val="20"/>
          <w:lang w:val="en-US"/>
        </w:rPr>
        <w:t>UMAPs derived from single-cell RNA sequencing analysis showing HLA class I and class II subtype expression in iPSC-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24hs after infection (all cells are shown). </w:t>
      </w:r>
      <w:r>
        <w:rPr>
          <w:rFonts w:ascii="Arial" w:eastAsia="Calibri" w:hAnsi="Arial" w:cs="Arial"/>
          <w:b/>
          <w:bCs/>
          <w:color w:val="000000" w:themeColor="text1"/>
          <w:kern w:val="2"/>
          <w:sz w:val="20"/>
          <w:szCs w:val="20"/>
          <w:lang w:val="en-US"/>
        </w:rPr>
        <w:t xml:space="preserve">B) </w:t>
      </w:r>
      <w:r>
        <w:rPr>
          <w:rFonts w:ascii="Arial" w:eastAsia="Calibri" w:hAnsi="Arial" w:cs="Arial"/>
          <w:color w:val="000000" w:themeColor="text1"/>
          <w:kern w:val="2"/>
          <w:sz w:val="20"/>
          <w:szCs w:val="20"/>
          <w:lang w:val="en-US"/>
        </w:rPr>
        <w:t>Representative flow cytometric plots showing HLA class I (ABC) and HLA class II (DR-subtype) expression on iPSC-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and ASC-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at indicated timepoint post infection with H3N2 or H1N1. </w:t>
      </w:r>
    </w:p>
    <w:p w14:paraId="04B0EBA2" w14:textId="77777777" w:rsidR="00CB23FB" w:rsidRPr="00CB23FB" w:rsidRDefault="00CB23FB">
      <w:pPr>
        <w:rPr>
          <w:b/>
          <w:bCs/>
          <w:sz w:val="28"/>
          <w:szCs w:val="28"/>
          <w:lang w:val="en-GB"/>
        </w:rPr>
      </w:pPr>
    </w:p>
    <w:p w14:paraId="5F5FAEFA" w14:textId="77777777" w:rsidR="00CB23FB" w:rsidRPr="00CB23FB" w:rsidRDefault="00CB23FB">
      <w:pPr>
        <w:rPr>
          <w:b/>
          <w:bCs/>
          <w:sz w:val="28"/>
          <w:szCs w:val="28"/>
          <w:lang w:val="en-GB"/>
        </w:rPr>
      </w:pPr>
    </w:p>
    <w:p w14:paraId="4F8BE8E8" w14:textId="77777777" w:rsidR="00CB23FB" w:rsidRPr="00CB23FB" w:rsidRDefault="00CB23FB">
      <w:pPr>
        <w:rPr>
          <w:b/>
          <w:bCs/>
          <w:sz w:val="28"/>
          <w:szCs w:val="28"/>
          <w:lang w:val="en-GB"/>
        </w:rPr>
      </w:pPr>
    </w:p>
    <w:p w14:paraId="63C50700" w14:textId="5ECF68F0" w:rsidR="00CB23FB" w:rsidRDefault="00CB23FB">
      <w:pPr>
        <w:rPr>
          <w:b/>
          <w:bCs/>
          <w:sz w:val="28"/>
          <w:szCs w:val="28"/>
        </w:rPr>
      </w:pPr>
      <w:r>
        <w:rPr>
          <w:b/>
          <w:bCs/>
          <w:noProof/>
          <w:sz w:val="28"/>
          <w:szCs w:val="28"/>
        </w:rPr>
        <w:lastRenderedPageBreak/>
        <w:drawing>
          <wp:inline distT="0" distB="0" distL="0" distR="0" wp14:anchorId="4C5568DA" wp14:editId="49867FBA">
            <wp:extent cx="5762625" cy="6724650"/>
            <wp:effectExtent l="0" t="0" r="9525" b="0"/>
            <wp:docPr id="116480614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9222"/>
                    <a:stretch>
                      <a:fillRect/>
                    </a:stretch>
                  </pic:blipFill>
                  <pic:spPr bwMode="auto">
                    <a:xfrm>
                      <a:off x="0" y="0"/>
                      <a:ext cx="5762625" cy="6724650"/>
                    </a:xfrm>
                    <a:prstGeom prst="rect">
                      <a:avLst/>
                    </a:prstGeom>
                    <a:noFill/>
                    <a:ln>
                      <a:noFill/>
                    </a:ln>
                    <a:extLst>
                      <a:ext uri="{53640926-AAD7-44D8-BBD7-CCE9431645EC}">
                        <a14:shadowObscured xmlns:a14="http://schemas.microsoft.com/office/drawing/2010/main"/>
                      </a:ext>
                    </a:extLst>
                  </pic:spPr>
                </pic:pic>
              </a:graphicData>
            </a:graphic>
          </wp:inline>
        </w:drawing>
      </w:r>
    </w:p>
    <w:p w14:paraId="4F5C7B34" w14:textId="3CFBB584" w:rsidR="00CB23FB" w:rsidRPr="00CB23FB" w:rsidRDefault="00CB23FB" w:rsidP="00CB23FB">
      <w:pPr>
        <w:pStyle w:val="StandardWeb"/>
        <w:spacing w:before="0" w:beforeAutospacing="0" w:after="0" w:afterAutospacing="0" w:line="276" w:lineRule="auto"/>
        <w:jc w:val="both"/>
        <w:rPr>
          <w:lang w:val="en-GB"/>
        </w:rPr>
      </w:pPr>
      <w:r w:rsidRPr="00CB23FB">
        <w:rPr>
          <w:rFonts w:ascii="Arial" w:eastAsiaTheme="minorEastAsia" w:hAnsi="Arial" w:cs="Arial"/>
          <w:b/>
          <w:bCs/>
          <w:color w:val="000000" w:themeColor="text1"/>
          <w:kern w:val="24"/>
          <w:sz w:val="20"/>
          <w:szCs w:val="20"/>
          <w:lang w:val="en-GB"/>
        </w:rPr>
        <w:t xml:space="preserve">Supplementary Figure 7. Lung organoids and T cells co-culture establishment. </w:t>
      </w:r>
      <w:r>
        <w:rPr>
          <w:rFonts w:ascii="Arial" w:eastAsia="Calibri" w:hAnsi="Arial" w:cs="Arial"/>
          <w:b/>
          <w:bCs/>
          <w:color w:val="000000" w:themeColor="text1"/>
          <w:kern w:val="2"/>
          <w:sz w:val="20"/>
          <w:szCs w:val="20"/>
          <w:lang w:val="en-US"/>
        </w:rPr>
        <w:t xml:space="preserve">A) </w:t>
      </w:r>
      <w:r>
        <w:rPr>
          <w:rFonts w:ascii="Arial" w:eastAsia="Calibri" w:hAnsi="Arial" w:cs="Arial"/>
          <w:color w:val="000000" w:themeColor="text1"/>
          <w:kern w:val="2"/>
          <w:sz w:val="20"/>
          <w:szCs w:val="20"/>
          <w:lang w:val="en-US"/>
        </w:rPr>
        <w:t>Representative bright field images showing size of iPSC-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and ASC-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cultured in Gri3D prior infection. Scale bar: 100 µm.</w:t>
      </w:r>
      <w:r>
        <w:rPr>
          <w:rFonts w:ascii="Arial" w:eastAsia="Calibri" w:hAnsi="Arial" w:cs="Arial"/>
          <w:b/>
          <w:bCs/>
          <w:color w:val="000000" w:themeColor="text1"/>
          <w:kern w:val="2"/>
          <w:sz w:val="20"/>
          <w:szCs w:val="20"/>
          <w:lang w:val="en-US"/>
        </w:rPr>
        <w:t xml:space="preserve"> B)</w:t>
      </w:r>
      <w:r>
        <w:rPr>
          <w:rFonts w:ascii="Arial" w:eastAsia="Calibri" w:hAnsi="Arial" w:cs="Arial"/>
          <w:color w:val="000000" w:themeColor="text1"/>
          <w:kern w:val="2"/>
          <w:sz w:val="20"/>
          <w:szCs w:val="20"/>
          <w:lang w:val="en-US"/>
        </w:rPr>
        <w:t xml:space="preserve"> Virus particle quantification using plaque forming unit (PFU) assay of H3N2-infected ASC-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in Gri3D. Results are shown as mean ±SEM (n=3). Sampling comparison: one well per timepoint versus continuous sampling from same well. </w:t>
      </w:r>
      <w:r>
        <w:rPr>
          <w:rFonts w:ascii="Arial" w:eastAsia="Calibri" w:hAnsi="Arial" w:cs="Arial"/>
          <w:b/>
          <w:bCs/>
          <w:color w:val="000000" w:themeColor="text1"/>
          <w:kern w:val="2"/>
          <w:sz w:val="20"/>
          <w:szCs w:val="20"/>
          <w:lang w:val="en-US"/>
        </w:rPr>
        <w:t>C)</w:t>
      </w:r>
      <w:r>
        <w:rPr>
          <w:rFonts w:ascii="Arial" w:eastAsia="Calibri" w:hAnsi="Arial" w:cs="Arial"/>
          <w:color w:val="000000" w:themeColor="text1"/>
          <w:kern w:val="2"/>
          <w:sz w:val="20"/>
          <w:szCs w:val="20"/>
          <w:lang w:val="en-US"/>
        </w:rPr>
        <w:t xml:space="preserve"> Flow cytometric assessment showing T cell viability and frequency of effector cytokine production over time for different co-culture formulations: iPSC-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complete medium (CK+DCI), iPSC-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basal medium (</w:t>
      </w:r>
      <w:proofErr w:type="spellStart"/>
      <w:r>
        <w:rPr>
          <w:rFonts w:ascii="Arial" w:eastAsia="Calibri" w:hAnsi="Arial" w:cs="Arial"/>
          <w:color w:val="000000" w:themeColor="text1"/>
          <w:kern w:val="2"/>
          <w:sz w:val="20"/>
          <w:szCs w:val="20"/>
          <w:lang w:val="en-US"/>
        </w:rPr>
        <w:t>cSFDM</w:t>
      </w:r>
      <w:proofErr w:type="spellEnd"/>
      <w:r>
        <w:rPr>
          <w:rFonts w:ascii="Arial" w:eastAsia="Calibri" w:hAnsi="Arial" w:cs="Arial"/>
          <w:color w:val="000000" w:themeColor="text1"/>
          <w:kern w:val="2"/>
          <w:sz w:val="20"/>
          <w:szCs w:val="20"/>
          <w:lang w:val="en-US"/>
        </w:rPr>
        <w:t xml:space="preserve">), </w:t>
      </w:r>
      <w:proofErr w:type="spellStart"/>
      <w:r>
        <w:rPr>
          <w:rFonts w:ascii="Arial" w:eastAsia="Calibri" w:hAnsi="Arial" w:cs="Arial"/>
          <w:color w:val="000000" w:themeColor="text1"/>
          <w:kern w:val="2"/>
          <w:sz w:val="20"/>
          <w:szCs w:val="20"/>
          <w:lang w:val="en-US"/>
        </w:rPr>
        <w:t>cSFDM</w:t>
      </w:r>
      <w:proofErr w:type="spellEnd"/>
      <w:r>
        <w:rPr>
          <w:rFonts w:ascii="Arial" w:eastAsia="Calibri" w:hAnsi="Arial" w:cs="Arial"/>
          <w:color w:val="000000" w:themeColor="text1"/>
          <w:kern w:val="2"/>
          <w:sz w:val="20"/>
          <w:szCs w:val="20"/>
          <w:lang w:val="en-US"/>
        </w:rPr>
        <w:t xml:space="preserve"> plus T cell complete medium (TCM) 1:1 and TCM alone. Results are shown as mean ±SEM (n=2). </w:t>
      </w:r>
      <w:r>
        <w:rPr>
          <w:rFonts w:ascii="Arial" w:eastAsia="Calibri" w:hAnsi="Arial" w:cs="Arial"/>
          <w:b/>
          <w:bCs/>
          <w:color w:val="000000" w:themeColor="text1"/>
          <w:kern w:val="2"/>
          <w:sz w:val="20"/>
          <w:szCs w:val="20"/>
          <w:lang w:val="en-US"/>
        </w:rPr>
        <w:t>D)</w:t>
      </w:r>
      <w:r>
        <w:rPr>
          <w:rFonts w:ascii="Arial" w:eastAsia="Calibri" w:hAnsi="Arial" w:cs="Arial"/>
          <w:color w:val="000000" w:themeColor="text1"/>
          <w:kern w:val="2"/>
          <w:sz w:val="20"/>
          <w:szCs w:val="20"/>
          <w:lang w:val="en-US"/>
        </w:rPr>
        <w:t xml:space="preserve"> Representative 3D images showing titration of T cells added to iPSC-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for subsequent segmentation. </w:t>
      </w:r>
      <w:r w:rsidRPr="00CB23FB">
        <w:rPr>
          <w:rFonts w:ascii="Arial" w:eastAsia="Calibri" w:hAnsi="Arial" w:cs="Arial"/>
          <w:b/>
          <w:bCs/>
          <w:i/>
          <w:iCs/>
          <w:color w:val="000000"/>
          <w:kern w:val="2"/>
          <w:sz w:val="20"/>
          <w:szCs w:val="20"/>
          <w:lang w:val="en-GB"/>
        </w:rPr>
        <w:t>iPSC-</w:t>
      </w:r>
      <w:proofErr w:type="spellStart"/>
      <w:r w:rsidRPr="00CB23FB">
        <w:rPr>
          <w:rFonts w:ascii="Arial" w:eastAsia="Calibri" w:hAnsi="Arial" w:cs="Arial"/>
          <w:b/>
          <w:bCs/>
          <w:i/>
          <w:iCs/>
          <w:color w:val="000000"/>
          <w:kern w:val="2"/>
          <w:sz w:val="20"/>
          <w:szCs w:val="20"/>
          <w:lang w:val="en-GB"/>
        </w:rPr>
        <w:t>aLOs</w:t>
      </w:r>
      <w:proofErr w:type="spellEnd"/>
      <w:r w:rsidRPr="00CB23FB">
        <w:rPr>
          <w:rFonts w:ascii="Arial" w:eastAsia="Calibri" w:hAnsi="Arial" w:cs="Arial"/>
          <w:b/>
          <w:bCs/>
          <w:i/>
          <w:iCs/>
          <w:color w:val="000000"/>
          <w:kern w:val="2"/>
          <w:sz w:val="20"/>
          <w:szCs w:val="20"/>
          <w:lang w:val="en-GB"/>
        </w:rPr>
        <w:t xml:space="preserve">: </w:t>
      </w:r>
      <w:proofErr w:type="spellStart"/>
      <w:r w:rsidRPr="00CB23FB">
        <w:rPr>
          <w:rFonts w:ascii="Arial" w:eastAsia="Calibri" w:hAnsi="Arial" w:cs="Arial"/>
          <w:i/>
          <w:iCs/>
          <w:color w:val="000000"/>
          <w:kern w:val="2"/>
          <w:sz w:val="20"/>
          <w:szCs w:val="20"/>
          <w:lang w:val="en-GB"/>
        </w:rPr>
        <w:t>hiPSC</w:t>
      </w:r>
      <w:proofErr w:type="spellEnd"/>
      <w:r w:rsidRPr="00CB23FB">
        <w:rPr>
          <w:rFonts w:ascii="Arial" w:eastAsia="Calibri" w:hAnsi="Arial" w:cs="Arial"/>
          <w:i/>
          <w:iCs/>
          <w:color w:val="000000"/>
          <w:kern w:val="2"/>
          <w:sz w:val="20"/>
          <w:szCs w:val="20"/>
          <w:lang w:val="en-GB"/>
        </w:rPr>
        <w:t xml:space="preserve"> derived alveolar-like lung organoids; </w:t>
      </w:r>
      <w:r w:rsidRPr="00CB23FB">
        <w:rPr>
          <w:rFonts w:ascii="Arial" w:eastAsia="Calibri" w:hAnsi="Arial" w:cs="Arial"/>
          <w:b/>
          <w:bCs/>
          <w:i/>
          <w:iCs/>
          <w:color w:val="000000"/>
          <w:kern w:val="2"/>
          <w:sz w:val="20"/>
          <w:szCs w:val="20"/>
          <w:lang w:val="en-GB"/>
        </w:rPr>
        <w:t>ASC-</w:t>
      </w:r>
      <w:proofErr w:type="spellStart"/>
      <w:r w:rsidRPr="00CB23FB">
        <w:rPr>
          <w:rFonts w:ascii="Arial" w:eastAsia="Calibri" w:hAnsi="Arial" w:cs="Arial"/>
          <w:b/>
          <w:bCs/>
          <w:i/>
          <w:iCs/>
          <w:color w:val="000000"/>
          <w:kern w:val="2"/>
          <w:sz w:val="20"/>
          <w:szCs w:val="20"/>
          <w:lang w:val="en-GB"/>
        </w:rPr>
        <w:t>aLOs</w:t>
      </w:r>
      <w:proofErr w:type="spellEnd"/>
      <w:r w:rsidRPr="00CB23FB">
        <w:rPr>
          <w:rFonts w:ascii="Arial" w:eastAsia="Calibri" w:hAnsi="Arial" w:cs="Arial"/>
          <w:b/>
          <w:bCs/>
          <w:i/>
          <w:iCs/>
          <w:color w:val="000000"/>
          <w:kern w:val="2"/>
          <w:sz w:val="20"/>
          <w:szCs w:val="20"/>
          <w:lang w:val="en-GB"/>
        </w:rPr>
        <w:t xml:space="preserve">: </w:t>
      </w:r>
      <w:r w:rsidRPr="00CB23FB">
        <w:rPr>
          <w:rFonts w:ascii="Arial" w:eastAsia="Calibri" w:hAnsi="Arial" w:cs="Arial"/>
          <w:i/>
          <w:iCs/>
          <w:color w:val="000000"/>
          <w:kern w:val="2"/>
          <w:sz w:val="20"/>
          <w:szCs w:val="20"/>
          <w:lang w:val="en-GB"/>
        </w:rPr>
        <w:t>adult stem cell derived alveolar-like lung organoids.</w:t>
      </w:r>
    </w:p>
    <w:p w14:paraId="7DED0B02" w14:textId="77777777" w:rsidR="00CB23FB" w:rsidRPr="00CB23FB" w:rsidRDefault="00CB23FB">
      <w:pPr>
        <w:rPr>
          <w:b/>
          <w:bCs/>
          <w:sz w:val="28"/>
          <w:szCs w:val="28"/>
          <w:lang w:val="en-GB"/>
        </w:rPr>
      </w:pPr>
    </w:p>
    <w:p w14:paraId="65591D3A" w14:textId="77777777" w:rsidR="00CB23FB" w:rsidRPr="00CB23FB" w:rsidRDefault="00CB23FB">
      <w:pPr>
        <w:rPr>
          <w:b/>
          <w:bCs/>
          <w:sz w:val="28"/>
          <w:szCs w:val="28"/>
          <w:lang w:val="en-GB"/>
        </w:rPr>
      </w:pPr>
    </w:p>
    <w:p w14:paraId="290CF335" w14:textId="77777777" w:rsidR="00CB23FB" w:rsidRPr="00CB23FB" w:rsidRDefault="00CB23FB">
      <w:pPr>
        <w:rPr>
          <w:b/>
          <w:bCs/>
          <w:sz w:val="28"/>
          <w:szCs w:val="28"/>
          <w:lang w:val="en-GB"/>
        </w:rPr>
      </w:pPr>
    </w:p>
    <w:p w14:paraId="1F7A3295" w14:textId="321E337C" w:rsidR="00CB23FB" w:rsidRDefault="00CB23FB">
      <w:pPr>
        <w:rPr>
          <w:b/>
          <w:bCs/>
          <w:sz w:val="28"/>
          <w:szCs w:val="28"/>
        </w:rPr>
      </w:pPr>
      <w:r>
        <w:rPr>
          <w:b/>
          <w:bCs/>
          <w:noProof/>
          <w:sz w:val="28"/>
          <w:szCs w:val="28"/>
        </w:rPr>
        <w:drawing>
          <wp:inline distT="0" distB="0" distL="0" distR="0" wp14:anchorId="02E758CC" wp14:editId="77EFE739">
            <wp:extent cx="5762625" cy="6715125"/>
            <wp:effectExtent l="0" t="0" r="9525" b="9525"/>
            <wp:docPr id="947553799"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9337"/>
                    <a:stretch>
                      <a:fillRect/>
                    </a:stretch>
                  </pic:blipFill>
                  <pic:spPr bwMode="auto">
                    <a:xfrm>
                      <a:off x="0" y="0"/>
                      <a:ext cx="5762625" cy="6715125"/>
                    </a:xfrm>
                    <a:prstGeom prst="rect">
                      <a:avLst/>
                    </a:prstGeom>
                    <a:noFill/>
                    <a:ln>
                      <a:noFill/>
                    </a:ln>
                    <a:extLst>
                      <a:ext uri="{53640926-AAD7-44D8-BBD7-CCE9431645EC}">
                        <a14:shadowObscured xmlns:a14="http://schemas.microsoft.com/office/drawing/2010/main"/>
                      </a:ext>
                    </a:extLst>
                  </pic:spPr>
                </pic:pic>
              </a:graphicData>
            </a:graphic>
          </wp:inline>
        </w:drawing>
      </w:r>
    </w:p>
    <w:p w14:paraId="46659D9B" w14:textId="1F6F614C" w:rsidR="00CB23FB" w:rsidRPr="00CB23FB" w:rsidRDefault="00CB23FB" w:rsidP="00CB23FB">
      <w:pPr>
        <w:pStyle w:val="StandardWeb"/>
        <w:spacing w:before="0" w:beforeAutospacing="0" w:after="0" w:afterAutospacing="0" w:line="276" w:lineRule="auto"/>
        <w:jc w:val="both"/>
        <w:rPr>
          <w:lang w:val="en-GB"/>
        </w:rPr>
      </w:pPr>
      <w:r w:rsidRPr="00CB23FB">
        <w:rPr>
          <w:rFonts w:ascii="Arial" w:eastAsiaTheme="minorEastAsia" w:hAnsi="Arial" w:cs="Arial"/>
          <w:b/>
          <w:bCs/>
          <w:color w:val="000000" w:themeColor="text1"/>
          <w:kern w:val="24"/>
          <w:sz w:val="20"/>
          <w:szCs w:val="20"/>
          <w:lang w:val="en-GB"/>
        </w:rPr>
        <w:t xml:space="preserve">Supplementary Figure 8: Robustness of imaging assay at low resolution. </w:t>
      </w:r>
      <w:r>
        <w:rPr>
          <w:rFonts w:ascii="Arial" w:eastAsia="Calibri" w:hAnsi="Arial" w:cs="Arial"/>
          <w:b/>
          <w:bCs/>
          <w:color w:val="000000" w:themeColor="text1"/>
          <w:kern w:val="2"/>
          <w:sz w:val="20"/>
          <w:szCs w:val="20"/>
          <w:lang w:val="en-US"/>
        </w:rPr>
        <w:t xml:space="preserve">A) </w:t>
      </w:r>
      <w:r>
        <w:rPr>
          <w:rFonts w:ascii="Arial" w:eastAsia="Calibri" w:hAnsi="Arial" w:cs="Arial"/>
          <w:color w:val="000000" w:themeColor="text1"/>
          <w:kern w:val="2"/>
          <w:sz w:val="20"/>
          <w:szCs w:val="20"/>
          <w:lang w:val="en-US"/>
        </w:rPr>
        <w:t>Plots showing mean fluorescence intensity (MFI) for Caspase 3/7</w:t>
      </w:r>
      <w:r>
        <w:rPr>
          <w:rFonts w:ascii="Arial" w:eastAsia="Calibri" w:hAnsi="Arial" w:cs="Arial"/>
          <w:color w:val="000000" w:themeColor="text1"/>
          <w:kern w:val="2"/>
          <w:position w:val="6"/>
          <w:sz w:val="20"/>
          <w:szCs w:val="20"/>
          <w:vertAlign w:val="superscript"/>
          <w:lang w:val="en-US"/>
        </w:rPr>
        <w:t>+</w:t>
      </w:r>
      <w:r>
        <w:rPr>
          <w:rFonts w:ascii="Arial" w:eastAsia="Calibri" w:hAnsi="Arial" w:cs="Arial"/>
          <w:color w:val="000000" w:themeColor="text1"/>
          <w:kern w:val="2"/>
          <w:sz w:val="20"/>
          <w:szCs w:val="20"/>
          <w:lang w:val="en-US"/>
        </w:rPr>
        <w:t xml:space="preserve"> quantification at endpoint analysis of H3N2-infected iPSC-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in co-culture with autologous T cells (48 hours post infection). Results for 2 independent experiments using two MOI (1 and 10) are shown separately (n= 1 donor, n= 2 independent infection and co-culture experiments). Dots represent each region of interest (ROI) composed by one iPSC-</w:t>
      </w:r>
      <w:proofErr w:type="spellStart"/>
      <w:r>
        <w:rPr>
          <w:rFonts w:ascii="Arial" w:eastAsia="Calibri" w:hAnsi="Arial" w:cs="Arial"/>
          <w:color w:val="000000" w:themeColor="text1"/>
          <w:kern w:val="2"/>
          <w:sz w:val="20"/>
          <w:szCs w:val="20"/>
          <w:lang w:val="en-US"/>
        </w:rPr>
        <w:t>aLO</w:t>
      </w:r>
      <w:proofErr w:type="spellEnd"/>
      <w:r>
        <w:rPr>
          <w:rFonts w:ascii="Arial" w:eastAsia="Calibri" w:hAnsi="Arial" w:cs="Arial"/>
          <w:color w:val="000000" w:themeColor="text1"/>
          <w:kern w:val="2"/>
          <w:sz w:val="20"/>
          <w:szCs w:val="20"/>
          <w:lang w:val="en-US"/>
        </w:rPr>
        <w:t xml:space="preserve"> + T cells. Kruskal-Wallis Test with Dunn’s multiple comparisons test p&lt;0.05 (*), p&lt;0.01 (**), p&lt;0.001 (***), p&lt;0.0001 (****). </w:t>
      </w:r>
      <w:r w:rsidRPr="00CB23FB">
        <w:rPr>
          <w:rFonts w:ascii="Arial" w:eastAsia="Calibri" w:hAnsi="Arial" w:cs="Arial"/>
          <w:b/>
          <w:bCs/>
          <w:color w:val="000000"/>
          <w:kern w:val="2"/>
          <w:sz w:val="20"/>
          <w:szCs w:val="20"/>
          <w:lang w:val="en-GB"/>
        </w:rPr>
        <w:t xml:space="preserve">B) </w:t>
      </w:r>
      <w:r w:rsidRPr="00CB23FB">
        <w:rPr>
          <w:rFonts w:ascii="Arial" w:eastAsia="Calibri" w:hAnsi="Arial" w:cs="Arial"/>
          <w:color w:val="000000"/>
          <w:kern w:val="2"/>
          <w:sz w:val="20"/>
          <w:szCs w:val="20"/>
          <w:lang w:val="en-GB"/>
        </w:rPr>
        <w:t>Representative panel showing fluorescence images acquired at low magnification (pre-scan) for H3N2-infected and uninfected iPSC-</w:t>
      </w:r>
      <w:proofErr w:type="spellStart"/>
      <w:r w:rsidRPr="00CB23FB">
        <w:rPr>
          <w:rFonts w:ascii="Arial" w:eastAsia="Calibri" w:hAnsi="Arial" w:cs="Arial"/>
          <w:color w:val="000000"/>
          <w:kern w:val="2"/>
          <w:sz w:val="20"/>
          <w:szCs w:val="20"/>
          <w:lang w:val="en-GB"/>
        </w:rPr>
        <w:t>aLOs</w:t>
      </w:r>
      <w:proofErr w:type="spellEnd"/>
      <w:r w:rsidRPr="00CB23FB">
        <w:rPr>
          <w:rFonts w:ascii="Arial" w:eastAsia="Calibri" w:hAnsi="Arial" w:cs="Arial"/>
          <w:color w:val="000000"/>
          <w:kern w:val="2"/>
          <w:sz w:val="20"/>
          <w:szCs w:val="20"/>
          <w:lang w:val="en-GB"/>
        </w:rPr>
        <w:t xml:space="preserve"> in co-culture with or without T cells (unspecific and H3N2-TCP).</w:t>
      </w:r>
      <w:r>
        <w:rPr>
          <w:rFonts w:ascii="Arial" w:eastAsia="Calibri" w:hAnsi="Arial" w:cs="Arial"/>
          <w:color w:val="000000" w:themeColor="text1"/>
          <w:kern w:val="2"/>
          <w:sz w:val="20"/>
          <w:szCs w:val="20"/>
          <w:lang w:val="en-US"/>
        </w:rPr>
        <w:t xml:space="preserve"> Scale bars: 200µm. </w:t>
      </w:r>
      <w:r w:rsidRPr="00CB23FB">
        <w:rPr>
          <w:rFonts w:ascii="Arial" w:eastAsia="Calibri" w:hAnsi="Arial" w:cs="Arial"/>
          <w:b/>
          <w:bCs/>
          <w:i/>
          <w:iCs/>
          <w:color w:val="000000"/>
          <w:kern w:val="2"/>
          <w:sz w:val="20"/>
          <w:szCs w:val="20"/>
          <w:lang w:val="en-GB"/>
        </w:rPr>
        <w:t>iPSC-</w:t>
      </w:r>
      <w:proofErr w:type="spellStart"/>
      <w:r w:rsidRPr="00CB23FB">
        <w:rPr>
          <w:rFonts w:ascii="Arial" w:eastAsia="Calibri" w:hAnsi="Arial" w:cs="Arial"/>
          <w:b/>
          <w:bCs/>
          <w:i/>
          <w:iCs/>
          <w:color w:val="000000"/>
          <w:kern w:val="2"/>
          <w:sz w:val="20"/>
          <w:szCs w:val="20"/>
          <w:lang w:val="en-GB"/>
        </w:rPr>
        <w:t>aLO</w:t>
      </w:r>
      <w:proofErr w:type="spellEnd"/>
      <w:r w:rsidRPr="00CB23FB">
        <w:rPr>
          <w:rFonts w:ascii="Arial" w:eastAsia="Calibri" w:hAnsi="Arial" w:cs="Arial"/>
          <w:b/>
          <w:bCs/>
          <w:i/>
          <w:iCs/>
          <w:color w:val="000000"/>
          <w:kern w:val="2"/>
          <w:sz w:val="20"/>
          <w:szCs w:val="20"/>
          <w:lang w:val="en-GB"/>
        </w:rPr>
        <w:t xml:space="preserve">: </w:t>
      </w:r>
      <w:proofErr w:type="spellStart"/>
      <w:r w:rsidRPr="00CB23FB">
        <w:rPr>
          <w:rFonts w:ascii="Arial" w:eastAsia="Calibri" w:hAnsi="Arial" w:cs="Arial"/>
          <w:i/>
          <w:iCs/>
          <w:color w:val="000000"/>
          <w:kern w:val="2"/>
          <w:sz w:val="20"/>
          <w:szCs w:val="20"/>
          <w:lang w:val="en-GB"/>
        </w:rPr>
        <w:t>hiPSC</w:t>
      </w:r>
      <w:proofErr w:type="spellEnd"/>
      <w:r w:rsidRPr="00CB23FB">
        <w:rPr>
          <w:rFonts w:ascii="Arial" w:eastAsia="Calibri" w:hAnsi="Arial" w:cs="Arial"/>
          <w:i/>
          <w:iCs/>
          <w:color w:val="000000"/>
          <w:kern w:val="2"/>
          <w:sz w:val="20"/>
          <w:szCs w:val="20"/>
          <w:lang w:val="en-GB"/>
        </w:rPr>
        <w:t xml:space="preserve"> derived alveolar-like lung organoid, </w:t>
      </w:r>
      <w:r w:rsidRPr="00CB23FB">
        <w:rPr>
          <w:rFonts w:ascii="Arial" w:eastAsia="Calibri" w:hAnsi="Arial" w:cs="Arial"/>
          <w:b/>
          <w:bCs/>
          <w:i/>
          <w:iCs/>
          <w:color w:val="000000"/>
          <w:kern w:val="2"/>
          <w:sz w:val="20"/>
          <w:szCs w:val="20"/>
          <w:lang w:val="en-GB"/>
        </w:rPr>
        <w:t>TCP</w:t>
      </w:r>
      <w:r w:rsidRPr="00CB23FB">
        <w:rPr>
          <w:rFonts w:ascii="Arial" w:eastAsia="Calibri" w:hAnsi="Arial" w:cs="Arial"/>
          <w:i/>
          <w:iCs/>
          <w:color w:val="000000"/>
          <w:kern w:val="2"/>
          <w:sz w:val="20"/>
          <w:szCs w:val="20"/>
          <w:lang w:val="en-GB"/>
        </w:rPr>
        <w:t>: T cell product.</w:t>
      </w:r>
    </w:p>
    <w:p w14:paraId="50DDC78F" w14:textId="77777777" w:rsidR="00CB23FB" w:rsidRPr="00CB23FB" w:rsidRDefault="00CB23FB">
      <w:pPr>
        <w:rPr>
          <w:b/>
          <w:bCs/>
          <w:sz w:val="28"/>
          <w:szCs w:val="28"/>
          <w:lang w:val="en-GB"/>
        </w:rPr>
      </w:pPr>
    </w:p>
    <w:p w14:paraId="43D59748" w14:textId="77777777" w:rsidR="00CB23FB" w:rsidRPr="00CB23FB" w:rsidRDefault="00CB23FB">
      <w:pPr>
        <w:rPr>
          <w:b/>
          <w:bCs/>
          <w:sz w:val="28"/>
          <w:szCs w:val="28"/>
          <w:lang w:val="en-GB"/>
        </w:rPr>
      </w:pPr>
    </w:p>
    <w:p w14:paraId="12D61B0B" w14:textId="6A25C39E" w:rsidR="00CB23FB" w:rsidRDefault="00CB23FB">
      <w:pPr>
        <w:rPr>
          <w:b/>
          <w:bCs/>
          <w:sz w:val="28"/>
          <w:szCs w:val="28"/>
        </w:rPr>
      </w:pPr>
      <w:r>
        <w:rPr>
          <w:b/>
          <w:bCs/>
          <w:noProof/>
          <w:sz w:val="28"/>
          <w:szCs w:val="28"/>
        </w:rPr>
        <w:lastRenderedPageBreak/>
        <w:drawing>
          <wp:inline distT="0" distB="0" distL="0" distR="0" wp14:anchorId="272B6EF3" wp14:editId="3C2F26CA">
            <wp:extent cx="5762625" cy="5695950"/>
            <wp:effectExtent l="0" t="0" r="9525" b="0"/>
            <wp:docPr id="1259065630"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31579"/>
                    <a:stretch>
                      <a:fillRect/>
                    </a:stretch>
                  </pic:blipFill>
                  <pic:spPr bwMode="auto">
                    <a:xfrm>
                      <a:off x="0" y="0"/>
                      <a:ext cx="5762625" cy="5695950"/>
                    </a:xfrm>
                    <a:prstGeom prst="rect">
                      <a:avLst/>
                    </a:prstGeom>
                    <a:noFill/>
                    <a:ln>
                      <a:noFill/>
                    </a:ln>
                    <a:extLst>
                      <a:ext uri="{53640926-AAD7-44D8-BBD7-CCE9431645EC}">
                        <a14:shadowObscured xmlns:a14="http://schemas.microsoft.com/office/drawing/2010/main"/>
                      </a:ext>
                    </a:extLst>
                  </pic:spPr>
                </pic:pic>
              </a:graphicData>
            </a:graphic>
          </wp:inline>
        </w:drawing>
      </w:r>
    </w:p>
    <w:p w14:paraId="2FEBA99A" w14:textId="0EF45A02" w:rsidR="00CB23FB" w:rsidRPr="00CB23FB" w:rsidRDefault="00CB23FB" w:rsidP="00CB23FB">
      <w:pPr>
        <w:pStyle w:val="StandardWeb"/>
        <w:spacing w:before="0" w:beforeAutospacing="0" w:after="0" w:afterAutospacing="0" w:line="276" w:lineRule="auto"/>
        <w:jc w:val="both"/>
        <w:rPr>
          <w:lang w:val="en-GB"/>
        </w:rPr>
      </w:pPr>
      <w:r w:rsidRPr="00CB23FB">
        <w:rPr>
          <w:rFonts w:ascii="Arial" w:eastAsiaTheme="minorEastAsia" w:hAnsi="Arial" w:cs="Arial"/>
          <w:b/>
          <w:bCs/>
          <w:color w:val="000000" w:themeColor="text1"/>
          <w:kern w:val="24"/>
          <w:sz w:val="20"/>
          <w:szCs w:val="20"/>
          <w:lang w:val="en-GB"/>
        </w:rPr>
        <w:t xml:space="preserve">Supplementary Figure 9. Robustness of imaging assay at high resolution. </w:t>
      </w:r>
      <w:r>
        <w:rPr>
          <w:rFonts w:ascii="Arial" w:eastAsia="Calibri" w:hAnsi="Arial" w:cs="Arial"/>
          <w:color w:val="000000" w:themeColor="text1"/>
          <w:kern w:val="2"/>
          <w:sz w:val="20"/>
          <w:szCs w:val="20"/>
          <w:lang w:val="en-US"/>
        </w:rPr>
        <w:t>Endpoint analysis of H3N2-infected iPSC-</w:t>
      </w:r>
      <w:proofErr w:type="spellStart"/>
      <w:r>
        <w:rPr>
          <w:rFonts w:ascii="Arial" w:eastAsia="Calibri" w:hAnsi="Arial" w:cs="Arial"/>
          <w:color w:val="000000" w:themeColor="text1"/>
          <w:kern w:val="2"/>
          <w:sz w:val="20"/>
          <w:szCs w:val="20"/>
          <w:lang w:val="en-US"/>
        </w:rPr>
        <w:t>aLOs</w:t>
      </w:r>
      <w:proofErr w:type="spellEnd"/>
      <w:r>
        <w:rPr>
          <w:rFonts w:ascii="Arial" w:eastAsia="Calibri" w:hAnsi="Arial" w:cs="Arial"/>
          <w:color w:val="000000" w:themeColor="text1"/>
          <w:kern w:val="2"/>
          <w:sz w:val="20"/>
          <w:szCs w:val="20"/>
          <w:lang w:val="en-US"/>
        </w:rPr>
        <w:t xml:space="preserve"> in co-culture with autologous T cells at 48 hours post infection is shown separately for 2 independent experiments (n= 1 donor, n= 2 independent infection and co-culture experiments) using 2 different MOIs (1 and 10). Dots represent each iPSC-</w:t>
      </w:r>
      <w:proofErr w:type="spellStart"/>
      <w:r>
        <w:rPr>
          <w:rFonts w:ascii="Arial" w:eastAsia="Calibri" w:hAnsi="Arial" w:cs="Arial"/>
          <w:color w:val="000000" w:themeColor="text1"/>
          <w:kern w:val="2"/>
          <w:sz w:val="20"/>
          <w:szCs w:val="20"/>
          <w:lang w:val="en-US"/>
        </w:rPr>
        <w:t>aLO</w:t>
      </w:r>
      <w:proofErr w:type="spellEnd"/>
      <w:r>
        <w:rPr>
          <w:rFonts w:ascii="Arial" w:eastAsia="Calibri" w:hAnsi="Arial" w:cs="Arial"/>
          <w:color w:val="000000" w:themeColor="text1"/>
          <w:kern w:val="2"/>
          <w:sz w:val="20"/>
          <w:szCs w:val="20"/>
          <w:lang w:val="en-US"/>
        </w:rPr>
        <w:t xml:space="preserve">. </w:t>
      </w:r>
      <w:r>
        <w:rPr>
          <w:rFonts w:ascii="Arial" w:eastAsia="Calibri" w:hAnsi="Arial" w:cs="Arial"/>
          <w:b/>
          <w:bCs/>
          <w:color w:val="000000" w:themeColor="text1"/>
          <w:kern w:val="2"/>
          <w:sz w:val="20"/>
          <w:szCs w:val="20"/>
          <w:lang w:val="en-US"/>
        </w:rPr>
        <w:t>A)</w:t>
      </w:r>
      <w:r>
        <w:rPr>
          <w:rFonts w:ascii="Arial" w:eastAsia="Calibri" w:hAnsi="Arial" w:cs="Arial"/>
          <w:color w:val="000000" w:themeColor="text1"/>
          <w:kern w:val="2"/>
          <w:sz w:val="20"/>
          <w:szCs w:val="20"/>
          <w:lang w:val="en-US"/>
        </w:rPr>
        <w:t xml:space="preserve"> Plot showing percentage of Caspase 3/7</w:t>
      </w:r>
      <w:r>
        <w:rPr>
          <w:rFonts w:ascii="Arial" w:eastAsia="Calibri" w:hAnsi="Arial" w:cs="Arial"/>
          <w:color w:val="000000" w:themeColor="text1"/>
          <w:kern w:val="2"/>
          <w:position w:val="6"/>
          <w:sz w:val="20"/>
          <w:szCs w:val="20"/>
          <w:vertAlign w:val="superscript"/>
          <w:lang w:val="en-US"/>
        </w:rPr>
        <w:t>+</w:t>
      </w:r>
      <w:r>
        <w:rPr>
          <w:rFonts w:ascii="Arial" w:eastAsia="Calibri" w:hAnsi="Arial" w:cs="Arial"/>
          <w:color w:val="000000" w:themeColor="text1"/>
          <w:kern w:val="2"/>
          <w:sz w:val="20"/>
          <w:szCs w:val="20"/>
          <w:lang w:val="en-US"/>
        </w:rPr>
        <w:t xml:space="preserve"> lung cells per organoid (iPSC-</w:t>
      </w:r>
      <w:proofErr w:type="spellStart"/>
      <w:r>
        <w:rPr>
          <w:rFonts w:ascii="Arial" w:eastAsia="Calibri" w:hAnsi="Arial" w:cs="Arial"/>
          <w:color w:val="000000" w:themeColor="text1"/>
          <w:kern w:val="2"/>
          <w:sz w:val="20"/>
          <w:szCs w:val="20"/>
          <w:lang w:val="en-US"/>
        </w:rPr>
        <w:t>aLO</w:t>
      </w:r>
      <w:proofErr w:type="spellEnd"/>
      <w:r>
        <w:rPr>
          <w:rFonts w:ascii="Arial" w:eastAsia="Calibri" w:hAnsi="Arial" w:cs="Arial"/>
          <w:color w:val="000000" w:themeColor="text1"/>
          <w:kern w:val="2"/>
          <w:sz w:val="20"/>
          <w:szCs w:val="20"/>
          <w:lang w:val="en-US"/>
        </w:rPr>
        <w:t xml:space="preserve">). </w:t>
      </w:r>
      <w:r>
        <w:rPr>
          <w:rFonts w:ascii="Arial" w:eastAsia="Calibri" w:hAnsi="Arial" w:cs="Arial"/>
          <w:b/>
          <w:bCs/>
          <w:color w:val="000000" w:themeColor="text1"/>
          <w:kern w:val="2"/>
          <w:sz w:val="20"/>
          <w:szCs w:val="20"/>
          <w:lang w:val="en-US"/>
        </w:rPr>
        <w:t>B)</w:t>
      </w:r>
      <w:r>
        <w:rPr>
          <w:rFonts w:ascii="Arial" w:eastAsia="Calibri" w:hAnsi="Arial" w:cs="Arial"/>
          <w:color w:val="000000" w:themeColor="text1"/>
          <w:kern w:val="2"/>
          <w:sz w:val="20"/>
          <w:szCs w:val="20"/>
          <w:lang w:val="en-US"/>
        </w:rPr>
        <w:t xml:space="preserve"> Total number of quantified lung cells per organoid (iPSC-</w:t>
      </w:r>
      <w:proofErr w:type="spellStart"/>
      <w:r>
        <w:rPr>
          <w:rFonts w:ascii="Arial" w:eastAsia="Calibri" w:hAnsi="Arial" w:cs="Arial"/>
          <w:color w:val="000000" w:themeColor="text1"/>
          <w:kern w:val="2"/>
          <w:sz w:val="20"/>
          <w:szCs w:val="20"/>
          <w:lang w:val="en-US"/>
        </w:rPr>
        <w:t>aLO</w:t>
      </w:r>
      <w:proofErr w:type="spellEnd"/>
      <w:r>
        <w:rPr>
          <w:rFonts w:ascii="Arial" w:eastAsia="Calibri" w:hAnsi="Arial" w:cs="Arial"/>
          <w:color w:val="000000" w:themeColor="text1"/>
          <w:kern w:val="2"/>
          <w:sz w:val="20"/>
          <w:szCs w:val="20"/>
          <w:lang w:val="en-US"/>
        </w:rPr>
        <w:t xml:space="preserve">). </w:t>
      </w:r>
      <w:r>
        <w:rPr>
          <w:rFonts w:ascii="Arial" w:eastAsia="Calibri" w:hAnsi="Arial" w:cs="Arial"/>
          <w:b/>
          <w:bCs/>
          <w:color w:val="000000" w:themeColor="text1"/>
          <w:kern w:val="2"/>
          <w:sz w:val="20"/>
          <w:szCs w:val="20"/>
          <w:lang w:val="en-US"/>
        </w:rPr>
        <w:t>C)</w:t>
      </w:r>
      <w:r>
        <w:rPr>
          <w:rFonts w:ascii="Arial" w:eastAsia="Calibri" w:hAnsi="Arial" w:cs="Arial"/>
          <w:color w:val="000000" w:themeColor="text1"/>
          <w:kern w:val="2"/>
          <w:sz w:val="20"/>
          <w:szCs w:val="20"/>
          <w:lang w:val="en-US"/>
        </w:rPr>
        <w:t xml:space="preserve"> Plot showing percentage of Caspase 3/7</w:t>
      </w:r>
      <w:r>
        <w:rPr>
          <w:rFonts w:ascii="Arial" w:eastAsia="Calibri" w:hAnsi="Arial" w:cs="Arial"/>
          <w:color w:val="000000" w:themeColor="text1"/>
          <w:kern w:val="2"/>
          <w:position w:val="6"/>
          <w:sz w:val="20"/>
          <w:szCs w:val="20"/>
          <w:vertAlign w:val="superscript"/>
          <w:lang w:val="en-US"/>
        </w:rPr>
        <w:t>+</w:t>
      </w:r>
      <w:r>
        <w:rPr>
          <w:rFonts w:ascii="Arial" w:eastAsia="Calibri" w:hAnsi="Arial" w:cs="Arial"/>
          <w:color w:val="000000" w:themeColor="text1"/>
          <w:kern w:val="2"/>
          <w:sz w:val="20"/>
          <w:szCs w:val="20"/>
          <w:lang w:val="en-US"/>
        </w:rPr>
        <w:t xml:space="preserve"> T cells per organoid (iPSC-</w:t>
      </w:r>
      <w:proofErr w:type="spellStart"/>
      <w:r>
        <w:rPr>
          <w:rFonts w:ascii="Arial" w:eastAsia="Calibri" w:hAnsi="Arial" w:cs="Arial"/>
          <w:color w:val="000000" w:themeColor="text1"/>
          <w:kern w:val="2"/>
          <w:sz w:val="20"/>
          <w:szCs w:val="20"/>
          <w:lang w:val="en-US"/>
        </w:rPr>
        <w:t>aLO</w:t>
      </w:r>
      <w:proofErr w:type="spellEnd"/>
      <w:r>
        <w:rPr>
          <w:rFonts w:ascii="Arial" w:eastAsia="Calibri" w:hAnsi="Arial" w:cs="Arial"/>
          <w:color w:val="000000" w:themeColor="text1"/>
          <w:kern w:val="2"/>
          <w:sz w:val="20"/>
          <w:szCs w:val="20"/>
          <w:lang w:val="en-US"/>
        </w:rPr>
        <w:t xml:space="preserve">). </w:t>
      </w:r>
      <w:r>
        <w:rPr>
          <w:rFonts w:ascii="Arial" w:eastAsia="Calibri" w:hAnsi="Arial" w:cs="Arial"/>
          <w:b/>
          <w:bCs/>
          <w:color w:val="000000" w:themeColor="text1"/>
          <w:kern w:val="2"/>
          <w:sz w:val="20"/>
          <w:szCs w:val="20"/>
          <w:lang w:val="en-US"/>
        </w:rPr>
        <w:t>D)</w:t>
      </w:r>
      <w:r>
        <w:rPr>
          <w:rFonts w:ascii="Arial" w:eastAsia="Calibri" w:hAnsi="Arial" w:cs="Arial"/>
          <w:color w:val="000000" w:themeColor="text1"/>
          <w:kern w:val="2"/>
          <w:sz w:val="20"/>
          <w:szCs w:val="20"/>
          <w:lang w:val="en-US"/>
        </w:rPr>
        <w:t xml:space="preserve"> Total number of quantified T cells per organoid (iPSC-</w:t>
      </w:r>
      <w:proofErr w:type="spellStart"/>
      <w:r>
        <w:rPr>
          <w:rFonts w:ascii="Arial" w:eastAsia="Calibri" w:hAnsi="Arial" w:cs="Arial"/>
          <w:color w:val="000000" w:themeColor="text1"/>
          <w:kern w:val="2"/>
          <w:sz w:val="20"/>
          <w:szCs w:val="20"/>
          <w:lang w:val="en-US"/>
        </w:rPr>
        <w:t>aLO</w:t>
      </w:r>
      <w:proofErr w:type="spellEnd"/>
      <w:r>
        <w:rPr>
          <w:rFonts w:ascii="Arial" w:eastAsia="Calibri" w:hAnsi="Arial" w:cs="Arial"/>
          <w:color w:val="000000" w:themeColor="text1"/>
          <w:kern w:val="2"/>
          <w:sz w:val="20"/>
          <w:szCs w:val="20"/>
          <w:lang w:val="en-US"/>
        </w:rPr>
        <w:t>). Kruskal-Wallis Test followed by Dunn´s multiple comparison test p&lt;0.05 (*), p&lt;0.01 (**), p&lt;0.001 (***), p&lt;0.0001 (****).</w:t>
      </w:r>
    </w:p>
    <w:p w14:paraId="7ED64239" w14:textId="77777777" w:rsidR="00CB23FB" w:rsidRPr="00CB23FB" w:rsidRDefault="00CB23FB" w:rsidP="00CB23FB">
      <w:pPr>
        <w:pStyle w:val="StandardWeb"/>
        <w:spacing w:before="0" w:beforeAutospacing="0" w:after="0" w:afterAutospacing="0" w:line="276" w:lineRule="auto"/>
        <w:jc w:val="both"/>
        <w:rPr>
          <w:lang w:val="en-GB"/>
        </w:rPr>
      </w:pPr>
      <w:r w:rsidRPr="00CB23FB">
        <w:rPr>
          <w:rFonts w:ascii="Arial" w:eastAsia="Calibri" w:hAnsi="Arial" w:cs="Arial"/>
          <w:b/>
          <w:bCs/>
          <w:i/>
          <w:iCs/>
          <w:color w:val="000000"/>
          <w:kern w:val="2"/>
          <w:sz w:val="20"/>
          <w:szCs w:val="20"/>
          <w:lang w:val="en-GB"/>
        </w:rPr>
        <w:t>iPSC-</w:t>
      </w:r>
      <w:proofErr w:type="spellStart"/>
      <w:r w:rsidRPr="00CB23FB">
        <w:rPr>
          <w:rFonts w:ascii="Arial" w:eastAsia="Calibri" w:hAnsi="Arial" w:cs="Arial"/>
          <w:b/>
          <w:bCs/>
          <w:i/>
          <w:iCs/>
          <w:color w:val="000000"/>
          <w:kern w:val="2"/>
          <w:sz w:val="20"/>
          <w:szCs w:val="20"/>
          <w:lang w:val="en-GB"/>
        </w:rPr>
        <w:t>aLO</w:t>
      </w:r>
      <w:proofErr w:type="spellEnd"/>
      <w:r w:rsidRPr="00CB23FB">
        <w:rPr>
          <w:rFonts w:ascii="Arial" w:eastAsia="Calibri" w:hAnsi="Arial" w:cs="Arial"/>
          <w:b/>
          <w:bCs/>
          <w:i/>
          <w:iCs/>
          <w:color w:val="000000"/>
          <w:kern w:val="2"/>
          <w:sz w:val="20"/>
          <w:szCs w:val="20"/>
          <w:lang w:val="en-GB"/>
        </w:rPr>
        <w:t xml:space="preserve">: </w:t>
      </w:r>
      <w:proofErr w:type="spellStart"/>
      <w:r w:rsidRPr="00CB23FB">
        <w:rPr>
          <w:rFonts w:ascii="Arial" w:eastAsia="Calibri" w:hAnsi="Arial" w:cs="Arial"/>
          <w:i/>
          <w:iCs/>
          <w:color w:val="000000"/>
          <w:kern w:val="2"/>
          <w:sz w:val="20"/>
          <w:szCs w:val="20"/>
          <w:lang w:val="en-GB"/>
        </w:rPr>
        <w:t>hiPSC</w:t>
      </w:r>
      <w:proofErr w:type="spellEnd"/>
      <w:r w:rsidRPr="00CB23FB">
        <w:rPr>
          <w:rFonts w:ascii="Arial" w:eastAsia="Calibri" w:hAnsi="Arial" w:cs="Arial"/>
          <w:i/>
          <w:iCs/>
          <w:color w:val="000000"/>
          <w:kern w:val="2"/>
          <w:sz w:val="20"/>
          <w:szCs w:val="20"/>
          <w:lang w:val="en-GB"/>
        </w:rPr>
        <w:t xml:space="preserve"> derived alveolar-like lung organoid.</w:t>
      </w:r>
    </w:p>
    <w:p w14:paraId="1D1B8ABA" w14:textId="77777777" w:rsidR="00CB23FB" w:rsidRPr="00CB23FB" w:rsidRDefault="00CB23FB">
      <w:pPr>
        <w:rPr>
          <w:b/>
          <w:bCs/>
          <w:sz w:val="28"/>
          <w:szCs w:val="28"/>
          <w:lang w:val="en-GB"/>
        </w:rPr>
      </w:pPr>
    </w:p>
    <w:sectPr w:rsidR="00CB23FB" w:rsidRPr="00CB23FB" w:rsidSect="00CB23FB">
      <w:pgSz w:w="11906" w:h="16838"/>
      <w:pgMar w:top="709"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3FB"/>
    <w:rsid w:val="000A4752"/>
    <w:rsid w:val="003F4DA6"/>
    <w:rsid w:val="00402560"/>
    <w:rsid w:val="0042338C"/>
    <w:rsid w:val="00AB733F"/>
    <w:rsid w:val="00B65484"/>
    <w:rsid w:val="00C24574"/>
    <w:rsid w:val="00CB23FB"/>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D272B3"/>
  <w15:chartTrackingRefBased/>
  <w15:docId w15:val="{DA77C32B-F5ED-4B86-9DDA-0BDE35E1A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CB23F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CB23F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CB23FB"/>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CB23FB"/>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CB23FB"/>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CB23FB"/>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CB23FB"/>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CB23FB"/>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CB23FB"/>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CB23FB"/>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CB23FB"/>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CB23FB"/>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CB23FB"/>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CB23FB"/>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CB23FB"/>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CB23FB"/>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CB23FB"/>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CB23FB"/>
    <w:rPr>
      <w:rFonts w:eastAsiaTheme="majorEastAsia" w:cstheme="majorBidi"/>
      <w:color w:val="272727" w:themeColor="text1" w:themeTint="D8"/>
    </w:rPr>
  </w:style>
  <w:style w:type="paragraph" w:styleId="Titel">
    <w:name w:val="Title"/>
    <w:basedOn w:val="Standard"/>
    <w:next w:val="Standard"/>
    <w:link w:val="TitelZchn"/>
    <w:uiPriority w:val="10"/>
    <w:qFormat/>
    <w:rsid w:val="00CB23F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CB23FB"/>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CB23FB"/>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CB23FB"/>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CB23FB"/>
    <w:pPr>
      <w:spacing w:before="160"/>
      <w:jc w:val="center"/>
    </w:pPr>
    <w:rPr>
      <w:i/>
      <w:iCs/>
      <w:color w:val="404040" w:themeColor="text1" w:themeTint="BF"/>
    </w:rPr>
  </w:style>
  <w:style w:type="character" w:customStyle="1" w:styleId="ZitatZchn">
    <w:name w:val="Zitat Zchn"/>
    <w:basedOn w:val="Absatz-Standardschriftart"/>
    <w:link w:val="Zitat"/>
    <w:uiPriority w:val="29"/>
    <w:rsid w:val="00CB23FB"/>
    <w:rPr>
      <w:i/>
      <w:iCs/>
      <w:color w:val="404040" w:themeColor="text1" w:themeTint="BF"/>
    </w:rPr>
  </w:style>
  <w:style w:type="paragraph" w:styleId="Listenabsatz">
    <w:name w:val="List Paragraph"/>
    <w:basedOn w:val="Standard"/>
    <w:uiPriority w:val="34"/>
    <w:qFormat/>
    <w:rsid w:val="00CB23FB"/>
    <w:pPr>
      <w:ind w:left="720"/>
      <w:contextualSpacing/>
    </w:pPr>
  </w:style>
  <w:style w:type="character" w:styleId="IntensiveHervorhebung">
    <w:name w:val="Intense Emphasis"/>
    <w:basedOn w:val="Absatz-Standardschriftart"/>
    <w:uiPriority w:val="21"/>
    <w:qFormat/>
    <w:rsid w:val="00CB23FB"/>
    <w:rPr>
      <w:i/>
      <w:iCs/>
      <w:color w:val="0F4761" w:themeColor="accent1" w:themeShade="BF"/>
    </w:rPr>
  </w:style>
  <w:style w:type="paragraph" w:styleId="IntensivesZitat">
    <w:name w:val="Intense Quote"/>
    <w:basedOn w:val="Standard"/>
    <w:next w:val="Standard"/>
    <w:link w:val="IntensivesZitatZchn"/>
    <w:uiPriority w:val="30"/>
    <w:qFormat/>
    <w:rsid w:val="00CB23F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CB23FB"/>
    <w:rPr>
      <w:i/>
      <w:iCs/>
      <w:color w:val="0F4761" w:themeColor="accent1" w:themeShade="BF"/>
    </w:rPr>
  </w:style>
  <w:style w:type="character" w:styleId="IntensiverVerweis">
    <w:name w:val="Intense Reference"/>
    <w:basedOn w:val="Absatz-Standardschriftart"/>
    <w:uiPriority w:val="32"/>
    <w:qFormat/>
    <w:rsid w:val="00CB23FB"/>
    <w:rPr>
      <w:b/>
      <w:bCs/>
      <w:smallCaps/>
      <w:color w:val="0F4761" w:themeColor="accent1" w:themeShade="BF"/>
      <w:spacing w:val="5"/>
    </w:rPr>
  </w:style>
  <w:style w:type="paragraph" w:styleId="StandardWeb">
    <w:name w:val="Normal (Web)"/>
    <w:basedOn w:val="Standard"/>
    <w:uiPriority w:val="99"/>
    <w:semiHidden/>
    <w:unhideWhenUsed/>
    <w:rsid w:val="00CB23FB"/>
    <w:pPr>
      <w:spacing w:before="100" w:beforeAutospacing="1" w:after="100" w:afterAutospacing="1" w:line="240" w:lineRule="auto"/>
    </w:pPr>
    <w:rPr>
      <w:rFonts w:ascii="Times New Roman" w:eastAsia="Times New Roman" w:hAnsi="Times New Roman" w:cs="Times New Roman"/>
      <w:kern w:val="0"/>
      <w:lang w:eastAsia="de-D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3" Type="http://schemas.openxmlformats.org/officeDocument/2006/relationships/customXml" Target="../customXml/item3.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tiff"/><Relationship Id="rId5" Type="http://schemas.openxmlformats.org/officeDocument/2006/relationships/settings" Target="settings.xml"/><Relationship Id="rId15" Type="http://schemas.openxmlformats.org/officeDocument/2006/relationships/image" Target="media/image9.tiff"/><Relationship Id="rId10" Type="http://schemas.openxmlformats.org/officeDocument/2006/relationships/image" Target="media/image4.tiff"/><Relationship Id="rId4" Type="http://schemas.openxmlformats.org/officeDocument/2006/relationships/styles" Target="style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f3912af-129c-45c5-98cd-a60654d66d4a">
      <Terms xmlns="http://schemas.microsoft.com/office/infopath/2007/PartnerControls"/>
    </lcf76f155ced4ddcb4097134ff3c332f>
    <TaxCatchAll xmlns="74e849b0-ac8a-4202-a7a5-85640ac9f2e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32504BAA019644D9645F963F31233E4" ma:contentTypeVersion="11" ma:contentTypeDescription="Create a new document." ma:contentTypeScope="" ma:versionID="fe4f090af007f6a6361e44830201a064">
  <xsd:schema xmlns:xsd="http://www.w3.org/2001/XMLSchema" xmlns:xs="http://www.w3.org/2001/XMLSchema" xmlns:p="http://schemas.microsoft.com/office/2006/metadata/properties" xmlns:ns2="3f3912af-129c-45c5-98cd-a60654d66d4a" xmlns:ns3="74e849b0-ac8a-4202-a7a5-85640ac9f2e0" targetNamespace="http://schemas.microsoft.com/office/2006/metadata/properties" ma:root="true" ma:fieldsID="d383a2508064750d3b2322d46eb10672" ns2:_="" ns3:_="">
    <xsd:import namespace="3f3912af-129c-45c5-98cd-a60654d66d4a"/>
    <xsd:import namespace="74e849b0-ac8a-4202-a7a5-85640ac9f2e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3912af-129c-45c5-98cd-a60654d66d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375ea7b-1eef-4e91-915e-32e4cb5a9c34"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4e849b0-ac8a-4202-a7a5-85640ac9f2e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a775ee7-8724-487f-91f3-25a010f08d51}" ma:internalName="TaxCatchAll" ma:showField="CatchAllData" ma:web="74e849b0-ac8a-4202-a7a5-85640ac9f2e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867FB4F-6D21-4768-B4DC-9E8A8F3A2941}">
  <ds:schemaRefs>
    <ds:schemaRef ds:uri="http://schemas.microsoft.com/office/2006/metadata/properties"/>
    <ds:schemaRef ds:uri="http://schemas.microsoft.com/office/infopath/2007/PartnerControls"/>
    <ds:schemaRef ds:uri="3f3912af-129c-45c5-98cd-a60654d66d4a"/>
    <ds:schemaRef ds:uri="74e849b0-ac8a-4202-a7a5-85640ac9f2e0"/>
  </ds:schemaRefs>
</ds:datastoreItem>
</file>

<file path=customXml/itemProps2.xml><?xml version="1.0" encoding="utf-8"?>
<ds:datastoreItem xmlns:ds="http://schemas.openxmlformats.org/officeDocument/2006/customXml" ds:itemID="{2091F060-3FC3-40BE-946D-026B079DDBCF}">
  <ds:schemaRefs>
    <ds:schemaRef ds:uri="http://schemas.microsoft.com/sharepoint/v3/contenttype/forms"/>
  </ds:schemaRefs>
</ds:datastoreItem>
</file>

<file path=customXml/itemProps3.xml><?xml version="1.0" encoding="utf-8"?>
<ds:datastoreItem xmlns:ds="http://schemas.openxmlformats.org/officeDocument/2006/customXml" ds:itemID="{658C7BE7-EF47-4DE3-B31B-5F6500B10C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3912af-129c-45c5-98cd-a60654d66d4a"/>
    <ds:schemaRef ds:uri="74e849b0-ac8a-4202-a7a5-85640ac9f2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1015</Words>
  <Characters>6396</Characters>
  <Application>Microsoft Office Word</Application>
  <DocSecurity>0</DocSecurity>
  <Lines>53</Lines>
  <Paragraphs>14</Paragraphs>
  <ScaleCrop>false</ScaleCrop>
  <HeadingPairs>
    <vt:vector size="2" baseType="variant">
      <vt:variant>
        <vt:lpstr>Titel</vt:lpstr>
      </vt:variant>
      <vt:variant>
        <vt:i4>1</vt:i4>
      </vt:variant>
    </vt:vector>
  </HeadingPairs>
  <TitlesOfParts>
    <vt:vector size="1" baseType="lpstr">
      <vt:lpstr/>
    </vt:vector>
  </TitlesOfParts>
  <Company>Charité - Universitätsmedizin Berlin</Company>
  <LinksUpToDate>false</LinksUpToDate>
  <CharactersWithSpaces>7397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Fernandez Vallone, Valeria</dc:creator>
  <cp:keywords/>
  <dc:description/>
  <cp:lastModifiedBy>Dr. Leila Amini</cp:lastModifiedBy>
  <cp:revision>2</cp:revision>
  <dcterms:created xsi:type="dcterms:W3CDTF">2025-10-15T07:23:00Z</dcterms:created>
  <dcterms:modified xsi:type="dcterms:W3CDTF">2025-10-15T07:23:00Z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0x010100832504BAA019644D9645F963F31233E4</vt:lpwstr>
  </property>
</Properties>
</file>