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FDB12" w14:textId="34742EDC" w:rsidR="00BD0DC5" w:rsidRP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37400">
        <w:rPr>
          <w:rFonts w:ascii="Arial" w:hAnsi="Arial" w:cs="Arial"/>
          <w:b/>
          <w:bCs/>
          <w:sz w:val="28"/>
          <w:szCs w:val="28"/>
        </w:rPr>
        <w:t>Supplementary Figures and Legends</w:t>
      </w:r>
    </w:p>
    <w:p w14:paraId="3A9B706D" w14:textId="77777777" w:rsidR="00BD0DC5" w:rsidRPr="00B91F89" w:rsidRDefault="00BD0DC5" w:rsidP="00BD0DC5">
      <w:pPr>
        <w:spacing w:line="480" w:lineRule="auto"/>
        <w:jc w:val="center"/>
        <w:rPr>
          <w:rFonts w:ascii="Arial" w:hAnsi="Arial" w:cs="Arial"/>
          <w:u w:val="single"/>
        </w:rPr>
      </w:pPr>
      <w:r>
        <w:rPr>
          <w:rFonts w:ascii="Arial" w:eastAsiaTheme="minorHAnsi" w:hAnsi="Arial" w:cs="Arial"/>
          <w:noProof/>
          <w:u w:val="single"/>
        </w:rPr>
        <w:drawing>
          <wp:inline distT="0" distB="0" distL="0" distR="0" wp14:anchorId="615555FD" wp14:editId="6EBDF917">
            <wp:extent cx="6358553" cy="7629525"/>
            <wp:effectExtent l="0" t="0" r="4445" b="0"/>
            <wp:docPr id="1358805404" name="Picture 5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05404" name="Picture 5" descr="A screenshot of a graph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2" b="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983" cy="763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4D35F" w14:textId="77777777" w:rsidR="00BD0DC5" w:rsidRDefault="00BD0DC5" w:rsidP="00BD0DC5">
      <w:pPr>
        <w:spacing w:line="480" w:lineRule="auto"/>
        <w:jc w:val="center"/>
        <w:rPr>
          <w:rFonts w:ascii="Arial" w:hAnsi="Arial" w:cs="Arial"/>
          <w:u w:val="single"/>
        </w:rPr>
      </w:pPr>
    </w:p>
    <w:p w14:paraId="1D9DD22F" w14:textId="77777777" w:rsidR="00BD0DC5" w:rsidRDefault="00BD0DC5" w:rsidP="00BD0DC5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Supplementary Figure 1. MRTX1133 alters cell cycle mRNA expression </w:t>
      </w:r>
      <w:r w:rsidRPr="000908E0">
        <w:rPr>
          <w:rFonts w:ascii="Arial" w:hAnsi="Arial" w:cs="Arial"/>
          <w:i/>
          <w:iCs/>
          <w:u w:val="single"/>
        </w:rPr>
        <w:t>in vivo</w:t>
      </w:r>
      <w:r>
        <w:rPr>
          <w:rFonts w:ascii="Arial" w:hAnsi="Arial" w:cs="Arial"/>
          <w:u w:val="single"/>
        </w:rPr>
        <w:t xml:space="preserve"> after 6 days of treatment.  </w:t>
      </w:r>
      <w:r>
        <w:rPr>
          <w:rFonts w:ascii="Arial" w:eastAsiaTheme="minorEastAsia" w:hAnsi="Arial" w:cs="Arial"/>
          <w:b/>
          <w:bCs/>
        </w:rPr>
        <w:t>a</w:t>
      </w:r>
      <w:r w:rsidRPr="000908E0">
        <w:rPr>
          <w:rFonts w:ascii="Arial" w:eastAsiaTheme="minorEastAsia" w:hAnsi="Arial" w:cs="Arial"/>
          <w:b/>
          <w:bCs/>
        </w:rPr>
        <w:t xml:space="preserve">) </w:t>
      </w:r>
      <w:r w:rsidRPr="000908E0">
        <w:rPr>
          <w:rFonts w:ascii="Arial" w:eastAsiaTheme="minorEastAsia" w:hAnsi="Arial" w:cs="Arial"/>
        </w:rPr>
        <w:t xml:space="preserve">Schema representing generation of </w:t>
      </w:r>
      <w:r>
        <w:rPr>
          <w:rFonts w:ascii="Arial" w:eastAsiaTheme="minorEastAsia" w:hAnsi="Arial" w:cs="Arial"/>
        </w:rPr>
        <w:t>d</w:t>
      </w:r>
      <w:r w:rsidRPr="000908E0">
        <w:rPr>
          <w:rFonts w:ascii="Arial" w:eastAsiaTheme="minorEastAsia" w:hAnsi="Arial" w:cs="Arial"/>
        </w:rPr>
        <w:t>iet-</w:t>
      </w:r>
      <w:r>
        <w:rPr>
          <w:rFonts w:ascii="Arial" w:eastAsiaTheme="minorEastAsia" w:hAnsi="Arial" w:cs="Arial"/>
        </w:rPr>
        <w:t>i</w:t>
      </w:r>
      <w:r w:rsidRPr="000908E0">
        <w:rPr>
          <w:rFonts w:ascii="Arial" w:eastAsiaTheme="minorEastAsia" w:hAnsi="Arial" w:cs="Arial"/>
        </w:rPr>
        <w:t xml:space="preserve">nduced </w:t>
      </w:r>
      <w:r>
        <w:rPr>
          <w:rFonts w:ascii="Arial" w:eastAsiaTheme="minorEastAsia" w:hAnsi="Arial" w:cs="Arial"/>
        </w:rPr>
        <w:t>o</w:t>
      </w:r>
      <w:r w:rsidRPr="000908E0">
        <w:rPr>
          <w:rFonts w:ascii="Arial" w:eastAsiaTheme="minorEastAsia" w:hAnsi="Arial" w:cs="Arial"/>
        </w:rPr>
        <w:t xml:space="preserve">bese and </w:t>
      </w:r>
      <w:r>
        <w:rPr>
          <w:rFonts w:ascii="Arial" w:eastAsiaTheme="minorEastAsia" w:hAnsi="Arial" w:cs="Arial"/>
        </w:rPr>
        <w:t>l</w:t>
      </w:r>
      <w:r w:rsidRPr="000908E0">
        <w:rPr>
          <w:rFonts w:ascii="Arial" w:eastAsiaTheme="minorEastAsia" w:hAnsi="Arial" w:cs="Arial"/>
        </w:rPr>
        <w:t>ow-</w:t>
      </w:r>
      <w:r>
        <w:rPr>
          <w:rFonts w:ascii="Arial" w:eastAsiaTheme="minorEastAsia" w:hAnsi="Arial" w:cs="Arial"/>
        </w:rPr>
        <w:t>f</w:t>
      </w:r>
      <w:r w:rsidRPr="000908E0">
        <w:rPr>
          <w:rFonts w:ascii="Arial" w:eastAsiaTheme="minorEastAsia" w:hAnsi="Arial" w:cs="Arial"/>
        </w:rPr>
        <w:t>at diet induced lean murine models modelling obesity.</w:t>
      </w:r>
      <w:r w:rsidRPr="000908E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b</w:t>
      </w:r>
      <w:r w:rsidRPr="000908E0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Tumor weights of LFD and DIO vehicle and MRTX1133 treated cohorts. Data is representative of an aggregate of 2 independent experiments with n = 10 – 15 mice/group, ANOVA with </w:t>
      </w:r>
      <w:r w:rsidRPr="000908E0">
        <w:rPr>
          <w:rFonts w:ascii="Arial" w:hAnsi="Arial" w:cs="Arial"/>
        </w:rPr>
        <w:t>Šídák's multiple comparisons test</w:t>
      </w:r>
      <w:r>
        <w:rPr>
          <w:rFonts w:ascii="Arial" w:hAnsi="Arial" w:cs="Arial"/>
        </w:rPr>
        <w:t xml:space="preserve"> (***P&lt;0.001 and ****P&lt;0.0001) </w:t>
      </w:r>
      <w:r>
        <w:rPr>
          <w:rFonts w:ascii="Arial" w:hAnsi="Arial" w:cs="Arial"/>
          <w:b/>
          <w:bCs/>
        </w:rPr>
        <w:t>c</w:t>
      </w:r>
      <w:r w:rsidRPr="000908E0"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Volcano plot of differential gene expression in vehicle-LFD and MRTX1133-LFD cohorts with genes exhibiting statistically significant down regulation (purple) and upregulation (green) listed. NanoString data is derived from n = 3 mice/group, ANOVA with </w:t>
      </w:r>
      <w:r w:rsidRPr="000908E0">
        <w:rPr>
          <w:rFonts w:ascii="Arial" w:hAnsi="Arial" w:cs="Arial"/>
        </w:rPr>
        <w:t>Šídák's multiple comparisons test</w:t>
      </w:r>
      <w:r>
        <w:rPr>
          <w:rFonts w:ascii="Arial" w:hAnsi="Arial" w:cs="Arial"/>
        </w:rPr>
        <w:t xml:space="preserve"> (*P&lt;0.05). </w:t>
      </w:r>
      <w:r>
        <w:rPr>
          <w:rFonts w:ascii="Arial" w:hAnsi="Arial" w:cs="Arial"/>
          <w:b/>
          <w:bCs/>
        </w:rPr>
        <w:t>d</w:t>
      </w:r>
      <w:r w:rsidRPr="000908E0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mRNA gene expression for proliferation (Ki67), S phase (Cyclin D1), and M phase (Cdc25 and Cenpf) LFD and DIO vehicle and MRTX1133 treated cohorts (n = 3/ group; +/- SD). Statistical significance was calculated using one-way ANOVA with Tukey’s multiple comparison test to correct for type 1 error. *P&lt;0.05 and ****P&lt;0.0001.</w:t>
      </w:r>
    </w:p>
    <w:p w14:paraId="4A95137D" w14:textId="77777777" w:rsidR="00BD0DC5" w:rsidRDefault="00BD0DC5" w:rsidP="00BD0DC5">
      <w:pPr>
        <w:spacing w:line="480" w:lineRule="auto"/>
        <w:jc w:val="center"/>
        <w:rPr>
          <w:rFonts w:ascii="Arial" w:hAnsi="Arial" w:cs="Arial"/>
          <w:sz w:val="32"/>
          <w:szCs w:val="32"/>
        </w:rPr>
      </w:pPr>
    </w:p>
    <w:p w14:paraId="54198803" w14:textId="77777777" w:rsidR="00BD0DC5" w:rsidRDefault="00BD0DC5" w:rsidP="00BD0DC5">
      <w:pPr>
        <w:spacing w:line="480" w:lineRule="auto"/>
        <w:jc w:val="center"/>
        <w:rPr>
          <w:rFonts w:ascii="Arial" w:hAnsi="Arial" w:cs="Arial"/>
          <w:sz w:val="32"/>
          <w:szCs w:val="32"/>
        </w:rPr>
      </w:pPr>
    </w:p>
    <w:p w14:paraId="7283C09D" w14:textId="77777777" w:rsidR="00BD0DC5" w:rsidRDefault="00BD0DC5" w:rsidP="00BD0DC5">
      <w:pPr>
        <w:spacing w:line="480" w:lineRule="auto"/>
        <w:jc w:val="center"/>
        <w:rPr>
          <w:rFonts w:ascii="Arial" w:hAnsi="Arial" w:cs="Arial"/>
          <w:sz w:val="32"/>
          <w:szCs w:val="32"/>
        </w:rPr>
      </w:pPr>
    </w:p>
    <w:p w14:paraId="43814BF5" w14:textId="77777777" w:rsidR="00BD0DC5" w:rsidRDefault="00BD0DC5" w:rsidP="00BD0DC5">
      <w:pPr>
        <w:spacing w:line="480" w:lineRule="auto"/>
        <w:jc w:val="center"/>
        <w:rPr>
          <w:rFonts w:ascii="Arial" w:hAnsi="Arial" w:cs="Arial"/>
          <w:sz w:val="32"/>
          <w:szCs w:val="32"/>
        </w:rPr>
      </w:pPr>
    </w:p>
    <w:p w14:paraId="524BD8D5" w14:textId="77777777" w:rsidR="00BD0DC5" w:rsidRDefault="00BD0DC5" w:rsidP="00BD0DC5">
      <w:pPr>
        <w:spacing w:line="480" w:lineRule="auto"/>
        <w:jc w:val="center"/>
        <w:rPr>
          <w:rFonts w:ascii="Arial" w:hAnsi="Arial" w:cs="Arial"/>
          <w:sz w:val="32"/>
          <w:szCs w:val="32"/>
        </w:rPr>
      </w:pPr>
    </w:p>
    <w:p w14:paraId="42CA539F" w14:textId="77777777" w:rsidR="00BD0DC5" w:rsidRDefault="00BD0DC5" w:rsidP="00BD0DC5">
      <w:pPr>
        <w:spacing w:line="480" w:lineRule="auto"/>
        <w:jc w:val="center"/>
        <w:rPr>
          <w:rFonts w:ascii="Arial" w:hAnsi="Arial" w:cs="Arial"/>
          <w:sz w:val="32"/>
          <w:szCs w:val="32"/>
        </w:rPr>
      </w:pPr>
    </w:p>
    <w:p w14:paraId="66F6D858" w14:textId="77777777" w:rsidR="00BD0DC5" w:rsidRDefault="00BD0DC5" w:rsidP="00BD0DC5">
      <w:pPr>
        <w:spacing w:line="480" w:lineRule="auto"/>
        <w:jc w:val="center"/>
        <w:rPr>
          <w:rFonts w:ascii="Arial" w:hAnsi="Arial" w:cs="Arial"/>
          <w:sz w:val="32"/>
          <w:szCs w:val="32"/>
        </w:rPr>
      </w:pPr>
    </w:p>
    <w:p w14:paraId="1B0BE6E0" w14:textId="77777777" w:rsidR="00BD0DC5" w:rsidRPr="000908E0" w:rsidRDefault="00BD0DC5" w:rsidP="00BD0DC5">
      <w:pPr>
        <w:spacing w:line="48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5D839D74" wp14:editId="74D934DE">
            <wp:extent cx="4758766" cy="6296025"/>
            <wp:effectExtent l="0" t="0" r="3810" b="0"/>
            <wp:docPr id="1385283971" name="Picture 6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83971" name="Picture 6" descr="A screenshot of a graph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843" cy="630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F0E6" w14:textId="77777777" w:rsidR="00BD0DC5" w:rsidRDefault="00BD0DC5" w:rsidP="00BD0DC5">
      <w:pPr>
        <w:spacing w:after="160" w:line="480" w:lineRule="auto"/>
        <w:jc w:val="both"/>
        <w:rPr>
          <w:rFonts w:ascii="Arial" w:hAnsi="Arial" w:cs="Arial"/>
          <w:u w:val="single"/>
        </w:rPr>
      </w:pPr>
    </w:p>
    <w:p w14:paraId="7CBA7301" w14:textId="77777777" w:rsidR="00BD0DC5" w:rsidRPr="002876BC" w:rsidRDefault="00BD0DC5" w:rsidP="00BD0DC5">
      <w:pPr>
        <w:spacing w:after="16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Supplementary Figure 2. MRTX1133 has minimal impact of myeloid cell infiltration in 6419c5 PDAC TiME.</w:t>
      </w:r>
      <w:r w:rsidRPr="00E7446D">
        <w:rPr>
          <w:rFonts w:ascii="Arial" w:hAnsi="Arial" w:cs="Arial"/>
        </w:rPr>
        <w:t xml:space="preserve">  </w:t>
      </w:r>
      <w:r>
        <w:rPr>
          <w:rFonts w:ascii="Arial" w:eastAsiaTheme="minorEastAsia" w:hAnsi="Arial" w:cs="Arial"/>
          <w:b/>
          <w:bCs/>
        </w:rPr>
        <w:t>a</w:t>
      </w:r>
      <w:r w:rsidRPr="000908E0">
        <w:rPr>
          <w:rFonts w:ascii="Arial" w:eastAsiaTheme="minorEastAsia" w:hAnsi="Arial" w:cs="Arial"/>
          <w:b/>
          <w:bCs/>
        </w:rPr>
        <w:t xml:space="preserve">) </w:t>
      </w:r>
      <w:r>
        <w:rPr>
          <w:rFonts w:ascii="Arial" w:hAnsi="Arial" w:cs="Arial"/>
        </w:rPr>
        <w:t>Frequency of CD45</w:t>
      </w:r>
      <w:r w:rsidRPr="000908E0"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 xml:space="preserve"> YFP</w:t>
      </w:r>
      <w:r w:rsidRPr="000908E0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tumor cells in LFD and DIO vehicle and MRTX1133 treated cohorts. </w:t>
      </w:r>
      <w:r>
        <w:rPr>
          <w:rFonts w:ascii="Arial" w:eastAsiaTheme="minorEastAsia" w:hAnsi="Arial" w:cs="Arial"/>
          <w:b/>
          <w:bCs/>
        </w:rPr>
        <w:t>b</w:t>
      </w:r>
      <w:r w:rsidRPr="000908E0">
        <w:rPr>
          <w:rFonts w:ascii="Arial" w:eastAsiaTheme="minorEastAsia" w:hAnsi="Arial" w:cs="Arial"/>
          <w:b/>
          <w:bCs/>
        </w:rPr>
        <w:t>)</w:t>
      </w:r>
      <w:r w:rsidRPr="000908E0">
        <w:rPr>
          <w:rFonts w:ascii="Arial" w:eastAsiaTheme="minorEastAsia" w:hAnsi="Arial" w:cs="Arial"/>
        </w:rPr>
        <w:t xml:space="preserve"> </w:t>
      </w:r>
      <w:r>
        <w:rPr>
          <w:rFonts w:ascii="Arial" w:hAnsi="Arial" w:cs="Arial"/>
        </w:rPr>
        <w:t>Frequency of CD45</w:t>
      </w:r>
      <w:r w:rsidRPr="000908E0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that are CD11b</w:t>
      </w:r>
      <w:r w:rsidRPr="000908E0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Ly6G</w:t>
      </w:r>
      <w:r w:rsidRPr="000908E0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gMDSC</w:t>
      </w:r>
      <w:r w:rsidRPr="000908E0">
        <w:rPr>
          <w:rFonts w:ascii="Arial" w:eastAsiaTheme="minorEastAsia" w:hAnsi="Arial" w:cs="Arial"/>
        </w:rPr>
        <w:t xml:space="preserve"> </w:t>
      </w:r>
      <w:r>
        <w:rPr>
          <w:rFonts w:ascii="Arial" w:hAnsi="Arial" w:cs="Arial"/>
        </w:rPr>
        <w:t xml:space="preserve">within TME </w:t>
      </w:r>
      <w:r w:rsidRPr="000908E0">
        <w:rPr>
          <w:rFonts w:ascii="Arial" w:eastAsiaTheme="minorEastAsia" w:hAnsi="Arial" w:cs="Arial"/>
        </w:rPr>
        <w:t xml:space="preserve">at the end of the scheduled treatment regimen in LFD and DIO </w:t>
      </w:r>
      <w:r>
        <w:rPr>
          <w:rFonts w:ascii="Arial" w:hAnsi="Arial" w:cs="Arial"/>
        </w:rPr>
        <w:t>vehicle</w:t>
      </w:r>
      <w:r w:rsidRPr="000908E0">
        <w:rPr>
          <w:rFonts w:ascii="Arial" w:eastAsiaTheme="minorEastAsia" w:hAnsi="Arial" w:cs="Arial"/>
        </w:rPr>
        <w:t xml:space="preserve"> and </w:t>
      </w:r>
      <w:r w:rsidRPr="000908E0">
        <w:rPr>
          <w:rFonts w:ascii="Arial" w:eastAsiaTheme="minorEastAsia" w:hAnsi="Arial" w:cs="Arial"/>
        </w:rPr>
        <w:lastRenderedPageBreak/>
        <w:t>MRTX1133 treated cohorts.</w:t>
      </w:r>
      <w:r w:rsidRPr="000908E0">
        <w:rPr>
          <w:rFonts w:ascii="Arial" w:eastAsiaTheme="minorEastAsia" w:hAnsi="Arial" w:cs="Arial"/>
          <w:b/>
          <w:bCs/>
        </w:rPr>
        <w:t xml:space="preserve"> </w:t>
      </w:r>
      <w:r>
        <w:rPr>
          <w:rFonts w:ascii="Arial" w:eastAsiaTheme="minorEastAsia" w:hAnsi="Arial" w:cs="Arial"/>
          <w:b/>
          <w:bCs/>
        </w:rPr>
        <w:t>c</w:t>
      </w:r>
      <w:r w:rsidRPr="000908E0">
        <w:rPr>
          <w:rFonts w:ascii="Arial" w:eastAsiaTheme="minorEastAsia" w:hAnsi="Arial" w:cs="Arial"/>
          <w:b/>
          <w:bCs/>
        </w:rPr>
        <w:t>)</w:t>
      </w:r>
      <w:r w:rsidRPr="000908E0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 xml:space="preserve">Expression of PD-L1 and CD206 in gMDSC </w:t>
      </w:r>
      <w:r>
        <w:rPr>
          <w:rFonts w:ascii="Arial" w:hAnsi="Arial" w:cs="Arial"/>
        </w:rPr>
        <w:t>within the TME at the end of scheduled treatment regimen in LFD and DIO vehicle and MRTX1133 treated cohorts.</w:t>
      </w:r>
      <w:r w:rsidRPr="000908E0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  <w:b/>
          <w:bCs/>
        </w:rPr>
        <w:t>d</w:t>
      </w:r>
      <w:r w:rsidRPr="000908E0">
        <w:rPr>
          <w:rFonts w:ascii="Arial" w:eastAsiaTheme="minorEastAsia" w:hAnsi="Arial" w:cs="Arial"/>
          <w:b/>
          <w:bCs/>
        </w:rPr>
        <w:t>)</w:t>
      </w:r>
      <w:r w:rsidRPr="00E61C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Frequency of CD45</w:t>
      </w:r>
      <w:r w:rsidRPr="00207999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that are CD11b</w:t>
      </w:r>
      <w:r w:rsidRPr="00207999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Ly6C/G</w:t>
      </w:r>
      <w:r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 xml:space="preserve"> F4/80</w:t>
      </w:r>
      <w:r w:rsidRPr="00207999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macrophage</w:t>
      </w:r>
      <w:r w:rsidRPr="00207999">
        <w:rPr>
          <w:rFonts w:ascii="Arial" w:eastAsiaTheme="minorEastAsia" w:hAnsi="Arial" w:cs="Arial"/>
        </w:rPr>
        <w:t xml:space="preserve"> </w:t>
      </w:r>
      <w:r>
        <w:rPr>
          <w:rFonts w:ascii="Arial" w:hAnsi="Arial" w:cs="Arial"/>
        </w:rPr>
        <w:t xml:space="preserve">within TME </w:t>
      </w:r>
      <w:r w:rsidRPr="00207999">
        <w:rPr>
          <w:rFonts w:ascii="Arial" w:eastAsiaTheme="minorEastAsia" w:hAnsi="Arial" w:cs="Arial"/>
        </w:rPr>
        <w:t xml:space="preserve">at the end of the scheduled treatment regimen in LFD and DIO </w:t>
      </w:r>
      <w:r>
        <w:rPr>
          <w:rFonts w:ascii="Arial" w:hAnsi="Arial" w:cs="Arial"/>
        </w:rPr>
        <w:t>vehicle</w:t>
      </w:r>
      <w:r w:rsidRPr="00207999">
        <w:rPr>
          <w:rFonts w:ascii="Arial" w:eastAsiaTheme="minorEastAsia" w:hAnsi="Arial" w:cs="Arial"/>
        </w:rPr>
        <w:t xml:space="preserve"> and MRTX1133 treated cohorts.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e</w:t>
      </w:r>
      <w:r w:rsidRPr="000908E0">
        <w:rPr>
          <w:rFonts w:ascii="Arial" w:hAnsi="Arial" w:cs="Arial"/>
          <w:b/>
          <w:bCs/>
        </w:rPr>
        <w:t xml:space="preserve">) </w:t>
      </w:r>
      <w:r>
        <w:rPr>
          <w:rFonts w:ascii="Arial" w:eastAsiaTheme="minorEastAsia" w:hAnsi="Arial" w:cs="Arial"/>
        </w:rPr>
        <w:t>Frequencies and ratio of M1 (MHCII</w:t>
      </w:r>
      <w:r>
        <w:rPr>
          <w:rFonts w:ascii="Arial" w:eastAsiaTheme="minorEastAsia" w:hAnsi="Arial" w:cs="Arial"/>
          <w:vertAlign w:val="superscript"/>
        </w:rPr>
        <w:t>+</w:t>
      </w:r>
      <w:r>
        <w:rPr>
          <w:rFonts w:ascii="Arial" w:eastAsiaTheme="minorEastAsia" w:hAnsi="Arial" w:cs="Arial"/>
        </w:rPr>
        <w:t>CD206</w:t>
      </w:r>
      <w:r>
        <w:rPr>
          <w:rFonts w:ascii="Arial" w:eastAsiaTheme="minorEastAsia" w:hAnsi="Arial" w:cs="Arial"/>
          <w:vertAlign w:val="superscript"/>
        </w:rPr>
        <w:t>-</w:t>
      </w:r>
      <w:r>
        <w:rPr>
          <w:rFonts w:ascii="Arial" w:eastAsiaTheme="minorEastAsia" w:hAnsi="Arial" w:cs="Arial"/>
        </w:rPr>
        <w:t>) and M2 (MHCII</w:t>
      </w:r>
      <w:r>
        <w:rPr>
          <w:rFonts w:ascii="Arial" w:eastAsiaTheme="minorEastAsia" w:hAnsi="Arial" w:cs="Arial"/>
          <w:vertAlign w:val="superscript"/>
        </w:rPr>
        <w:t>-</w:t>
      </w:r>
      <w:r>
        <w:rPr>
          <w:rFonts w:ascii="Arial" w:eastAsiaTheme="minorEastAsia" w:hAnsi="Arial" w:cs="Arial"/>
        </w:rPr>
        <w:t>CD206</w:t>
      </w:r>
      <w:r>
        <w:rPr>
          <w:rFonts w:ascii="Arial" w:eastAsiaTheme="minorEastAsia" w:hAnsi="Arial" w:cs="Arial"/>
          <w:vertAlign w:val="superscript"/>
        </w:rPr>
        <w:t>+</w:t>
      </w:r>
      <w:r>
        <w:rPr>
          <w:rFonts w:ascii="Arial" w:eastAsiaTheme="minorEastAsia" w:hAnsi="Arial" w:cs="Arial"/>
        </w:rPr>
        <w:t xml:space="preserve">) macrophage </w:t>
      </w:r>
      <w:r>
        <w:rPr>
          <w:rFonts w:ascii="Arial" w:hAnsi="Arial" w:cs="Arial"/>
        </w:rPr>
        <w:t>within the TME at the end of scheduled treatment regimen in LFD and DIO vehicle and MRTX1133 treated cohorts.</w:t>
      </w:r>
      <w:r w:rsidRPr="00E7446D">
        <w:rPr>
          <w:rFonts w:ascii="Arial" w:hAnsi="Arial" w:cs="Arial"/>
        </w:rPr>
        <w:t xml:space="preserve"> </w:t>
      </w:r>
      <w:r w:rsidRPr="000908E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For All FACS data (with exception of MFI data-which is representative of 2 independent experiments) in panels </w:t>
      </w:r>
      <w:r>
        <w:rPr>
          <w:rFonts w:ascii="Arial" w:hAnsi="Arial" w:cs="Arial"/>
          <w:b/>
          <w:bCs/>
        </w:rPr>
        <w:t>a</w:t>
      </w:r>
      <w:r w:rsidRPr="0090731A">
        <w:rPr>
          <w:rFonts w:ascii="Arial" w:hAnsi="Arial" w:cs="Arial"/>
          <w:b/>
          <w:bCs/>
        </w:rPr>
        <w:t>-</w:t>
      </w:r>
      <w:r>
        <w:rPr>
          <w:rFonts w:ascii="Arial" w:hAnsi="Arial" w:cs="Arial"/>
          <w:b/>
          <w:bCs/>
        </w:rPr>
        <w:t>e</w:t>
      </w:r>
      <w:r w:rsidRPr="0090731A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is represented as an aggregate of two independent experiments with n = 8 – 14 mice/group, +/- SEM. Statistical significance across groups was calculated using 2-way ANOVA with Tukey’s multiple comparison test to correct for type 1 error. *P&lt;0.05, **P&lt;0.01, ***P&lt;0.001, and ****P&lt;0.0001.</w:t>
      </w:r>
    </w:p>
    <w:p w14:paraId="17DAEA32" w14:textId="77777777" w:rsidR="00BD0DC5" w:rsidRDefault="00BD0DC5" w:rsidP="00BD0DC5">
      <w:pPr>
        <w:spacing w:line="480" w:lineRule="auto"/>
        <w:jc w:val="both"/>
        <w:rPr>
          <w:rFonts w:ascii="Arial" w:hAnsi="Arial" w:cs="Arial"/>
        </w:rPr>
      </w:pPr>
    </w:p>
    <w:p w14:paraId="44574B51" w14:textId="77777777" w:rsidR="00BD0DC5" w:rsidRPr="00B91F89" w:rsidRDefault="00BD0DC5" w:rsidP="00BD0DC5">
      <w:pPr>
        <w:spacing w:line="480" w:lineRule="auto"/>
        <w:jc w:val="both"/>
        <w:rPr>
          <w:rFonts w:ascii="Arial" w:hAnsi="Arial" w:cs="Arial"/>
          <w:u w:val="single"/>
        </w:rPr>
      </w:pPr>
    </w:p>
    <w:p w14:paraId="63F14362" w14:textId="77777777" w:rsidR="00BD0DC5" w:rsidRPr="00B91F89" w:rsidRDefault="00BD0DC5" w:rsidP="00BD0DC5">
      <w:pPr>
        <w:spacing w:line="480" w:lineRule="auto"/>
        <w:rPr>
          <w:rFonts w:ascii="Arial" w:hAnsi="Arial" w:cs="Arial"/>
          <w:u w:val="single"/>
        </w:rPr>
      </w:pPr>
    </w:p>
    <w:p w14:paraId="39B2E217" w14:textId="77777777" w:rsidR="00BD0DC5" w:rsidRDefault="00BD0DC5" w:rsidP="00BD0DC5">
      <w:pPr>
        <w:spacing w:line="480" w:lineRule="auto"/>
        <w:rPr>
          <w:rFonts w:ascii="Arial" w:hAnsi="Arial" w:cs="Arial"/>
          <w:u w:val="single"/>
        </w:rPr>
      </w:pPr>
    </w:p>
    <w:p w14:paraId="1E985DE1" w14:textId="77777777" w:rsidR="00BD0DC5" w:rsidRDefault="00BD0DC5" w:rsidP="00BD0DC5">
      <w:pPr>
        <w:spacing w:line="480" w:lineRule="auto"/>
        <w:rPr>
          <w:rFonts w:ascii="Arial" w:hAnsi="Arial" w:cs="Arial"/>
          <w:u w:val="single"/>
        </w:rPr>
      </w:pPr>
    </w:p>
    <w:p w14:paraId="56564C31" w14:textId="77777777" w:rsidR="00BD0DC5" w:rsidRDefault="00BD0DC5" w:rsidP="00BD0DC5">
      <w:pPr>
        <w:spacing w:line="480" w:lineRule="auto"/>
        <w:rPr>
          <w:rFonts w:ascii="Arial" w:hAnsi="Arial" w:cs="Arial"/>
          <w:u w:val="single"/>
        </w:rPr>
      </w:pPr>
    </w:p>
    <w:p w14:paraId="47B5CA45" w14:textId="77777777" w:rsidR="00BD0DC5" w:rsidRDefault="00BD0DC5" w:rsidP="00BD0DC5">
      <w:pPr>
        <w:spacing w:line="480" w:lineRule="auto"/>
        <w:rPr>
          <w:rFonts w:ascii="Arial" w:hAnsi="Arial" w:cs="Arial"/>
          <w:u w:val="single"/>
        </w:rPr>
      </w:pPr>
    </w:p>
    <w:p w14:paraId="241D8412" w14:textId="77777777" w:rsidR="00BD0DC5" w:rsidRDefault="00BD0DC5" w:rsidP="00BD0DC5">
      <w:pPr>
        <w:spacing w:line="480" w:lineRule="auto"/>
        <w:rPr>
          <w:rFonts w:ascii="Arial" w:hAnsi="Arial" w:cs="Arial"/>
          <w:u w:val="single"/>
        </w:rPr>
      </w:pPr>
    </w:p>
    <w:p w14:paraId="1B607990" w14:textId="77777777" w:rsidR="00BD0DC5" w:rsidRDefault="00BD0DC5" w:rsidP="00BD0DC5">
      <w:pPr>
        <w:spacing w:line="480" w:lineRule="auto"/>
        <w:rPr>
          <w:rFonts w:ascii="Arial" w:hAnsi="Arial" w:cs="Arial"/>
          <w:u w:val="single"/>
        </w:rPr>
      </w:pPr>
    </w:p>
    <w:p w14:paraId="5F2446AD" w14:textId="77777777" w:rsidR="00BD0DC5" w:rsidRDefault="00BD0DC5" w:rsidP="00BD0DC5">
      <w:pPr>
        <w:spacing w:line="480" w:lineRule="auto"/>
        <w:rPr>
          <w:rFonts w:ascii="Arial" w:hAnsi="Arial" w:cs="Arial"/>
          <w:u w:val="single"/>
        </w:rPr>
      </w:pPr>
    </w:p>
    <w:p w14:paraId="0DB851FD" w14:textId="77777777" w:rsidR="00BD0DC5" w:rsidRDefault="00BD0DC5" w:rsidP="00BD0DC5">
      <w:pPr>
        <w:spacing w:line="480" w:lineRule="auto"/>
        <w:rPr>
          <w:rFonts w:ascii="Arial" w:hAnsi="Arial" w:cs="Arial"/>
          <w:u w:val="single"/>
        </w:rPr>
      </w:pPr>
    </w:p>
    <w:p w14:paraId="732E030A" w14:textId="77777777" w:rsidR="00BD0DC5" w:rsidRDefault="00BD0DC5" w:rsidP="00BD0DC5">
      <w:pPr>
        <w:spacing w:line="480" w:lineRule="auto"/>
        <w:rPr>
          <w:rFonts w:ascii="Arial" w:hAnsi="Arial" w:cs="Arial"/>
          <w:u w:val="single"/>
        </w:rPr>
      </w:pPr>
    </w:p>
    <w:p w14:paraId="4737964F" w14:textId="77777777" w:rsidR="00BD0DC5" w:rsidRDefault="00BD0DC5" w:rsidP="00BD0DC5">
      <w:pPr>
        <w:spacing w:line="480" w:lineRule="auto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drawing>
          <wp:inline distT="0" distB="0" distL="0" distR="0" wp14:anchorId="2E684940" wp14:editId="27A48CE5">
            <wp:extent cx="5841438" cy="7334250"/>
            <wp:effectExtent l="0" t="0" r="6985" b="0"/>
            <wp:docPr id="943135184" name="Picture 7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35184" name="Picture 7" descr="A screenshot of a graph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" b="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30" cy="734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E4252" w14:textId="77777777" w:rsidR="00BD0DC5" w:rsidRDefault="00BD0DC5" w:rsidP="00BD0DC5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lastRenderedPageBreak/>
        <w:t xml:space="preserve">Supplementary Figure 3. MRTX1133 induces increased activation and proliferation of T cells in DIO 2838c3 TiME.  </w:t>
      </w:r>
      <w:r>
        <w:rPr>
          <w:rFonts w:ascii="Arial" w:eastAsiaTheme="minorEastAsia" w:hAnsi="Arial" w:cs="Arial"/>
          <w:b/>
          <w:bCs/>
        </w:rPr>
        <w:t>a</w:t>
      </w:r>
      <w:r w:rsidRPr="000908E0">
        <w:rPr>
          <w:rFonts w:ascii="Arial" w:eastAsiaTheme="minorEastAsia" w:hAnsi="Arial" w:cs="Arial"/>
          <w:b/>
          <w:bCs/>
        </w:rPr>
        <w:t xml:space="preserve">) </w:t>
      </w:r>
      <w:r>
        <w:rPr>
          <w:rFonts w:ascii="Arial" w:eastAsiaTheme="minorEastAsia" w:hAnsi="Arial" w:cs="Arial"/>
        </w:rPr>
        <w:t>Expression of PD-1,</w:t>
      </w:r>
      <w:r w:rsidRPr="000908E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b</w:t>
      </w:r>
      <w:r w:rsidRPr="000908E0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CD69, </w:t>
      </w:r>
      <w:r>
        <w:rPr>
          <w:rFonts w:ascii="Arial" w:hAnsi="Arial" w:cs="Arial"/>
          <w:b/>
          <w:bCs/>
        </w:rPr>
        <w:t>c</w:t>
      </w:r>
      <w:r w:rsidRPr="000908E0"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CD44 and CD62L, and </w:t>
      </w:r>
      <w:r>
        <w:rPr>
          <w:rFonts w:ascii="Arial" w:hAnsi="Arial" w:cs="Arial"/>
          <w:b/>
          <w:bCs/>
        </w:rPr>
        <w:t>d</w:t>
      </w:r>
      <w:r w:rsidRPr="000908E0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Ki67 in 2838c3 LFD and DIO vehicle and MRTX1133 treated cohorts (n = 8-14 mice/ group +/- SEM, Student’s t test. *P&lt;0.05 and **P&lt;0.01. </w:t>
      </w:r>
      <w:r>
        <w:rPr>
          <w:rFonts w:ascii="Arial" w:hAnsi="Arial" w:cs="Arial"/>
          <w:b/>
          <w:bCs/>
        </w:rPr>
        <w:t>e</w:t>
      </w:r>
      <w:r w:rsidRPr="00E70DA0"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/>
          <w:bCs/>
        </w:rPr>
        <w:t xml:space="preserve"> </w:t>
      </w:r>
      <w:r w:rsidRPr="00E70DA0">
        <w:rPr>
          <w:rFonts w:ascii="Arial" w:hAnsi="Arial" w:cs="Arial"/>
        </w:rPr>
        <w:t>KEGG and Gene Ontology analysis of differential gene expression in MRT1133 LFD vs MRTX1133 HFD</w:t>
      </w:r>
      <w:r>
        <w:rPr>
          <w:rFonts w:ascii="Arial" w:hAnsi="Arial" w:cs="Arial"/>
        </w:rPr>
        <w:t xml:space="preserve"> reveals changes in lymphocyte activation, migration, and NK cell cytotoxicity. </w:t>
      </w:r>
    </w:p>
    <w:p w14:paraId="7E9313A9" w14:textId="77777777" w:rsidR="00BD0DC5" w:rsidRDefault="00BD0DC5" w:rsidP="00BD0DC5">
      <w:pPr>
        <w:spacing w:line="480" w:lineRule="auto"/>
        <w:jc w:val="both"/>
        <w:rPr>
          <w:rFonts w:ascii="Arial" w:hAnsi="Arial" w:cs="Arial"/>
        </w:rPr>
      </w:pPr>
    </w:p>
    <w:p w14:paraId="6B662C5C" w14:textId="77777777" w:rsidR="00BD0DC5" w:rsidRDefault="00BD0DC5" w:rsidP="00BD0DC5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A25B4A7" wp14:editId="03902FD5">
            <wp:extent cx="6228601" cy="8254763"/>
            <wp:effectExtent l="0" t="0" r="1270" b="0"/>
            <wp:docPr id="1562139179" name="Picture 8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39179" name="Picture 8" descr="A screenshot of a grap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601" cy="825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A9E7" w14:textId="77777777" w:rsidR="00BD0DC5" w:rsidRPr="00E70DA0" w:rsidRDefault="00BD0DC5" w:rsidP="00BD0DC5">
      <w:pPr>
        <w:spacing w:line="480" w:lineRule="auto"/>
        <w:jc w:val="center"/>
        <w:rPr>
          <w:rFonts w:ascii="Arial" w:hAnsi="Arial" w:cs="Arial"/>
        </w:rPr>
      </w:pPr>
    </w:p>
    <w:p w14:paraId="7F42CCB8" w14:textId="77777777" w:rsidR="00BD0DC5" w:rsidRDefault="00BD0DC5" w:rsidP="00BD0DC5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Supplementary Figure 4. MRTX1133 has minimal impact of T cell infiltration and function in 6419c5 PDAC TiME.  </w:t>
      </w:r>
      <w:r>
        <w:rPr>
          <w:rFonts w:ascii="Arial" w:eastAsiaTheme="minorEastAsia" w:hAnsi="Arial" w:cs="Arial"/>
          <w:b/>
          <w:bCs/>
        </w:rPr>
        <w:t>a-b</w:t>
      </w:r>
      <w:r w:rsidRPr="000908E0">
        <w:rPr>
          <w:rFonts w:ascii="Arial" w:eastAsiaTheme="minorEastAsia" w:hAnsi="Arial" w:cs="Arial"/>
          <w:b/>
          <w:bCs/>
        </w:rPr>
        <w:t>)</w:t>
      </w:r>
      <w:r w:rsidRPr="000908E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Frequency of </w:t>
      </w:r>
      <w:r>
        <w:rPr>
          <w:rFonts w:ascii="Arial" w:hAnsi="Arial" w:cs="Arial"/>
          <w:b/>
          <w:bCs/>
        </w:rPr>
        <w:t>a</w:t>
      </w:r>
      <w:r w:rsidRPr="00625F4B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CD45</w:t>
      </w:r>
      <w:r w:rsidRPr="00207999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that are CD3</w:t>
      </w:r>
      <w:r w:rsidRPr="00207999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CD4</w:t>
      </w:r>
      <w:r w:rsidRPr="000908E0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Foxp3</w:t>
      </w:r>
      <w:r w:rsidRPr="000908E0"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>, CD3</w:t>
      </w:r>
      <w:r w:rsidRPr="000908E0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CD4</w:t>
      </w:r>
      <w:r w:rsidRPr="000908E0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Foxp3</w:t>
      </w:r>
      <w:r w:rsidRPr="000908E0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, and</w:t>
      </w:r>
      <w:r w:rsidRPr="00625F4B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b</w:t>
      </w:r>
      <w:r w:rsidRPr="00625F4B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CD3</w:t>
      </w:r>
      <w:r w:rsidRPr="000908E0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CD8</w:t>
      </w:r>
      <w:r w:rsidRPr="000908E0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T cells within the TME at the end of scheduled treatment regimen in LFD and DIO sham and MRTX1133 treated 6419c5 tumor bearing cohorts.  </w:t>
      </w:r>
      <w:r>
        <w:rPr>
          <w:rFonts w:ascii="Arial" w:hAnsi="Arial" w:cs="Arial"/>
          <w:b/>
          <w:bCs/>
        </w:rPr>
        <w:t>c</w:t>
      </w:r>
      <w:r w:rsidRPr="000908E0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</w:t>
      </w:r>
      <w:r w:rsidRPr="000908E0">
        <w:rPr>
          <w:rFonts w:ascii="Arial" w:eastAsiaTheme="minorEastAsia" w:hAnsi="Arial" w:cs="Arial"/>
        </w:rPr>
        <w:t>Quantification of ratio of frequency of CD8</w:t>
      </w:r>
      <w:r w:rsidRPr="000908E0">
        <w:rPr>
          <w:rFonts w:ascii="Arial" w:eastAsiaTheme="minorEastAsia" w:hAnsi="Arial" w:cs="Arial"/>
          <w:vertAlign w:val="superscript"/>
        </w:rPr>
        <w:t xml:space="preserve">+ </w:t>
      </w:r>
      <w:r w:rsidRPr="000908E0">
        <w:rPr>
          <w:rFonts w:ascii="Arial" w:eastAsiaTheme="minorEastAsia" w:hAnsi="Arial" w:cs="Arial"/>
        </w:rPr>
        <w:t xml:space="preserve">T cells to gMDSCs in vehicle and MRTX1133 treated cohort of LFD and HFD </w:t>
      </w:r>
      <w:r>
        <w:rPr>
          <w:rFonts w:ascii="Arial" w:eastAsiaTheme="minorEastAsia" w:hAnsi="Arial" w:cs="Arial"/>
        </w:rPr>
        <w:t>6419c5</w:t>
      </w:r>
      <w:r w:rsidRPr="000908E0">
        <w:rPr>
          <w:rFonts w:ascii="Arial" w:eastAsiaTheme="minorEastAsia" w:hAnsi="Arial" w:cs="Arial"/>
        </w:rPr>
        <w:t xml:space="preserve"> tumor bearing mice.</w:t>
      </w:r>
      <w:r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  <w:b/>
          <w:bCs/>
        </w:rPr>
        <w:t>d</w:t>
      </w:r>
      <w:r w:rsidRPr="000908E0">
        <w:rPr>
          <w:rFonts w:ascii="Arial" w:eastAsiaTheme="minorEastAsia" w:hAnsi="Arial" w:cs="Arial"/>
          <w:b/>
          <w:bCs/>
        </w:rPr>
        <w:t xml:space="preserve">) </w:t>
      </w:r>
      <w:r>
        <w:rPr>
          <w:rFonts w:ascii="Arial" w:eastAsiaTheme="minorEastAsia" w:hAnsi="Arial" w:cs="Arial"/>
        </w:rPr>
        <w:t>Expression of PD-1,</w:t>
      </w:r>
      <w:r w:rsidRPr="000908E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e</w:t>
      </w:r>
      <w:r w:rsidRPr="000908E0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CD69, </w:t>
      </w:r>
      <w:r>
        <w:rPr>
          <w:rFonts w:ascii="Arial" w:hAnsi="Arial" w:cs="Arial"/>
          <w:b/>
          <w:bCs/>
        </w:rPr>
        <w:t>f</w:t>
      </w:r>
      <w:r w:rsidRPr="000908E0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Ki67, and </w:t>
      </w:r>
      <w:r>
        <w:rPr>
          <w:rFonts w:ascii="Arial" w:hAnsi="Arial" w:cs="Arial"/>
          <w:b/>
          <w:bCs/>
        </w:rPr>
        <w:t>g</w:t>
      </w:r>
      <w:r w:rsidRPr="00E70DA0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IFNγ in 6419c5 LFD and DIO sham and MRTX1133 treated cohorts (n = 8-13/ group; +/- SEM). Statistical significance was calculated using Student’s t test.</w:t>
      </w:r>
    </w:p>
    <w:p w14:paraId="40B4ABD3" w14:textId="77777777" w:rsidR="00BD0DC5" w:rsidRDefault="00BD0DC5" w:rsidP="00BD0DC5">
      <w:pPr>
        <w:spacing w:line="480" w:lineRule="auto"/>
        <w:jc w:val="both"/>
        <w:rPr>
          <w:rFonts w:ascii="Arial" w:hAnsi="Arial" w:cs="Arial"/>
        </w:rPr>
      </w:pPr>
    </w:p>
    <w:p w14:paraId="6E309697" w14:textId="77777777" w:rsidR="00BD0DC5" w:rsidRDefault="00BD0DC5" w:rsidP="00BD0DC5">
      <w:pPr>
        <w:spacing w:line="480" w:lineRule="auto"/>
        <w:jc w:val="both"/>
        <w:rPr>
          <w:rFonts w:ascii="Arial" w:hAnsi="Arial" w:cs="Arial"/>
        </w:rPr>
      </w:pPr>
    </w:p>
    <w:p w14:paraId="590E0FFF" w14:textId="77777777" w:rsidR="00BD0DC5" w:rsidRDefault="00BD0DC5" w:rsidP="00BD0DC5">
      <w:pPr>
        <w:spacing w:line="480" w:lineRule="auto"/>
        <w:jc w:val="both"/>
        <w:rPr>
          <w:rFonts w:ascii="Arial" w:hAnsi="Arial" w:cs="Arial"/>
        </w:rPr>
      </w:pPr>
    </w:p>
    <w:p w14:paraId="0B888E45" w14:textId="77777777" w:rsidR="00BD0DC5" w:rsidRDefault="00BD0DC5" w:rsidP="00BD0DC5">
      <w:pPr>
        <w:spacing w:line="480" w:lineRule="auto"/>
        <w:jc w:val="both"/>
        <w:rPr>
          <w:rFonts w:ascii="Arial" w:hAnsi="Arial" w:cs="Arial"/>
        </w:rPr>
      </w:pPr>
    </w:p>
    <w:p w14:paraId="10C69E5F" w14:textId="6E68EA39" w:rsidR="00BD0DC5" w:rsidRDefault="00B06CF7" w:rsidP="00BD0DC5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lastRenderedPageBreak/>
        <w:drawing>
          <wp:inline distT="0" distB="0" distL="0" distR="0" wp14:anchorId="49EE8A23" wp14:editId="187C406F">
            <wp:extent cx="5943600" cy="7924800"/>
            <wp:effectExtent l="0" t="0" r="0" b="0"/>
            <wp:docPr id="19049865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86548" name="Picture 19049865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69EB" w14:textId="5871FA84" w:rsidR="00BD0DC5" w:rsidRDefault="00BD0DC5" w:rsidP="00BD0DC5">
      <w:pPr>
        <w:spacing w:line="480" w:lineRule="auto"/>
        <w:jc w:val="both"/>
        <w:rPr>
          <w:rFonts w:ascii="Arial" w:hAnsi="Arial" w:cs="Arial"/>
        </w:rPr>
      </w:pPr>
      <w:r w:rsidRPr="009C069D">
        <w:rPr>
          <w:rFonts w:ascii="Arial" w:hAnsi="Arial" w:cs="Arial"/>
          <w:u w:val="single"/>
        </w:rPr>
        <w:lastRenderedPageBreak/>
        <w:t xml:space="preserve">Supplementary Figure </w:t>
      </w:r>
      <w:r>
        <w:rPr>
          <w:rFonts w:ascii="Arial" w:hAnsi="Arial" w:cs="Arial"/>
          <w:u w:val="single"/>
        </w:rPr>
        <w:t>5</w:t>
      </w:r>
      <w:r w:rsidRPr="009C069D">
        <w:rPr>
          <w:rFonts w:ascii="Arial" w:hAnsi="Arial" w:cs="Arial"/>
          <w:u w:val="single"/>
        </w:rPr>
        <w:t xml:space="preserve">. Representative whole western blots for pERK1/2, total ERK, and βactin. </w:t>
      </w:r>
      <w:r w:rsidRPr="009C069D">
        <w:rPr>
          <w:rFonts w:ascii="Arial" w:hAnsi="Arial" w:cs="Arial"/>
        </w:rPr>
        <w:t xml:space="preserve">Representative blots for 2838c3 at 3 including pERK1/2, total ERK, and </w:t>
      </w:r>
      <w:r w:rsidRPr="009C069D">
        <w:rPr>
          <w:rFonts w:ascii="Arial" w:hAnsi="Arial" w:cs="Arial"/>
          <w:lang w:val="el-GR"/>
        </w:rPr>
        <w:t>β</w:t>
      </w:r>
      <w:r w:rsidRPr="009C069D">
        <w:rPr>
          <w:rFonts w:ascii="Arial" w:hAnsi="Arial" w:cs="Arial"/>
        </w:rPr>
        <w:t>actin</w:t>
      </w:r>
      <w:r w:rsidR="00AD1416">
        <w:rPr>
          <w:rFonts w:ascii="Arial" w:hAnsi="Arial" w:cs="Arial"/>
        </w:rPr>
        <w:t xml:space="preserve"> with 2 technical replicates</w:t>
      </w:r>
      <w:r>
        <w:rPr>
          <w:rFonts w:ascii="Arial" w:hAnsi="Arial" w:cs="Arial"/>
        </w:rPr>
        <w:t>.</w:t>
      </w:r>
    </w:p>
    <w:p w14:paraId="1396E6DD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2A4BB6F4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35A4939C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1FCFBC5D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076BE605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0436700F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396AD394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0715DE70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2A14D005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0AB6EF16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1B6C79C8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3674862D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1A7884C5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7DC07BB7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126C75BE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69D27CEC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24388939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7F3A0037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4E335223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16CCC243" w14:textId="77777777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</w:p>
    <w:p w14:paraId="251040DB" w14:textId="16F5A952" w:rsidR="00B06CF7" w:rsidRDefault="00B06CF7" w:rsidP="00D53CF6">
      <w:pPr>
        <w:spacing w:line="48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14:ligatures w14:val="standardContextual"/>
        </w:rPr>
        <w:lastRenderedPageBreak/>
        <w:drawing>
          <wp:inline distT="0" distB="0" distL="0" distR="0" wp14:anchorId="696D7658" wp14:editId="7C053D44">
            <wp:extent cx="5943600" cy="7924800"/>
            <wp:effectExtent l="0" t="0" r="0" b="0"/>
            <wp:docPr id="2145083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83378" name="Picture 214508337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1B98" w14:textId="4845490D" w:rsidR="00D53CF6" w:rsidRPr="009C069D" w:rsidRDefault="00D53CF6" w:rsidP="00D53CF6">
      <w:pPr>
        <w:spacing w:line="480" w:lineRule="auto"/>
        <w:jc w:val="both"/>
        <w:rPr>
          <w:rFonts w:ascii="Arial" w:hAnsi="Arial" w:cs="Arial"/>
        </w:rPr>
      </w:pPr>
      <w:r w:rsidRPr="009C069D">
        <w:rPr>
          <w:rFonts w:ascii="Arial" w:hAnsi="Arial" w:cs="Arial"/>
          <w:u w:val="single"/>
        </w:rPr>
        <w:lastRenderedPageBreak/>
        <w:t xml:space="preserve">Supplementary Figure </w:t>
      </w:r>
      <w:r>
        <w:rPr>
          <w:rFonts w:ascii="Arial" w:hAnsi="Arial" w:cs="Arial"/>
          <w:u w:val="single"/>
        </w:rPr>
        <w:t>6</w:t>
      </w:r>
      <w:r w:rsidRPr="009C069D">
        <w:rPr>
          <w:rFonts w:ascii="Arial" w:hAnsi="Arial" w:cs="Arial"/>
          <w:u w:val="single"/>
        </w:rPr>
        <w:t xml:space="preserve">. Representative whole western blots for pERK1/2, total ERK, and βactin. </w:t>
      </w:r>
      <w:r w:rsidRPr="009C069D">
        <w:rPr>
          <w:rFonts w:ascii="Arial" w:hAnsi="Arial" w:cs="Arial"/>
        </w:rPr>
        <w:t xml:space="preserve">Representative blots for </w:t>
      </w:r>
      <w:r>
        <w:rPr>
          <w:rFonts w:ascii="Arial" w:hAnsi="Arial" w:cs="Arial"/>
        </w:rPr>
        <w:t>6419c5</w:t>
      </w:r>
      <w:r w:rsidRPr="009C069D">
        <w:rPr>
          <w:rFonts w:ascii="Arial" w:hAnsi="Arial" w:cs="Arial"/>
        </w:rPr>
        <w:t xml:space="preserve"> at 3 including pERK1/2, total ERK, and </w:t>
      </w:r>
      <w:r w:rsidRPr="009C069D">
        <w:rPr>
          <w:rFonts w:ascii="Arial" w:hAnsi="Arial" w:cs="Arial"/>
          <w:lang w:val="el-GR"/>
        </w:rPr>
        <w:t>β</w:t>
      </w:r>
      <w:r w:rsidRPr="009C069D">
        <w:rPr>
          <w:rFonts w:ascii="Arial" w:hAnsi="Arial" w:cs="Arial"/>
        </w:rPr>
        <w:t>actin</w:t>
      </w:r>
      <w:r>
        <w:rPr>
          <w:rFonts w:ascii="Arial" w:hAnsi="Arial" w:cs="Arial"/>
        </w:rPr>
        <w:t xml:space="preserve"> with 2 technical replicates.</w:t>
      </w:r>
    </w:p>
    <w:p w14:paraId="7F6A8A71" w14:textId="77777777" w:rsidR="00D53CF6" w:rsidRPr="009C069D" w:rsidRDefault="00D53CF6" w:rsidP="00BD0DC5">
      <w:pPr>
        <w:spacing w:line="480" w:lineRule="auto"/>
        <w:jc w:val="both"/>
        <w:rPr>
          <w:rFonts w:ascii="Arial" w:hAnsi="Arial" w:cs="Arial"/>
        </w:rPr>
      </w:pPr>
    </w:p>
    <w:p w14:paraId="270A3A2F" w14:textId="77777777" w:rsidR="00BD0DC5" w:rsidRDefault="00BD0DC5" w:rsidP="00BD0DC5">
      <w:pPr>
        <w:spacing w:line="480" w:lineRule="auto"/>
        <w:jc w:val="both"/>
        <w:rPr>
          <w:rFonts w:ascii="Arial" w:hAnsi="Arial" w:cs="Arial"/>
        </w:rPr>
      </w:pPr>
    </w:p>
    <w:p w14:paraId="4E66E06F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BBCE77A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9091566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6C86E157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D7FA70B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537FBC7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FC2F6A1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57C69B5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0F04242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C2AC168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6F4A8E0B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A381EFB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60934B5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A38066D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25B7B69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A9A2FA0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4BEAA29" w14:textId="77777777" w:rsidR="00BD0DC5" w:rsidRPr="00437400" w:rsidRDefault="00BD0DC5" w:rsidP="00BD0DC5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37400">
        <w:rPr>
          <w:rFonts w:ascii="Arial" w:hAnsi="Arial" w:cs="Arial"/>
          <w:b/>
          <w:bCs/>
          <w:sz w:val="28"/>
          <w:szCs w:val="28"/>
        </w:rPr>
        <w:lastRenderedPageBreak/>
        <w:t>Supplementary Tables</w:t>
      </w:r>
    </w:p>
    <w:p w14:paraId="7192B62A" w14:textId="77777777" w:rsidR="00BD0DC5" w:rsidRDefault="00BD0DC5" w:rsidP="00BD0DC5">
      <w:pPr>
        <w:spacing w:line="480" w:lineRule="auto"/>
        <w:jc w:val="both"/>
        <w:rPr>
          <w:rFonts w:ascii="Arial" w:hAnsi="Arial" w:cs="Arial"/>
          <w:b/>
          <w:bCs/>
        </w:rPr>
      </w:pPr>
      <w:r w:rsidRPr="001572BC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63AA2E" wp14:editId="708458FC">
                <wp:simplePos x="0" y="0"/>
                <wp:positionH relativeFrom="margin">
                  <wp:posOffset>323850</wp:posOffset>
                </wp:positionH>
                <wp:positionV relativeFrom="paragraph">
                  <wp:posOffset>268605</wp:posOffset>
                </wp:positionV>
                <wp:extent cx="6238875" cy="369332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9D041D-F583-7159-B5C8-FD521BA20E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6250D7" w14:textId="77777777" w:rsidR="00BD0DC5" w:rsidRPr="00437400" w:rsidRDefault="00BD0DC5" w:rsidP="00BD0D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43740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Supplementary Table 1. Western Blot Primary Antibodies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63AA2E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25.5pt;margin-top:21.15pt;width:491.25pt;height:29.1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8regAEAAOkCAAAOAAAAZHJzL2Uyb0RvYy54bWysUstu2zAQvAfoPxC8x/IDcVzBcpAHkkvR&#10;BEjyATRFWgJELrtLW/Lfd0k7dtDeglwoch+zszNa3gyuEzuD1IKv5GQ0lsJ4DXXrN5V8f3u8XEhB&#10;UfladeBNJfeG5M3qx8WyD6WZQgNdbVAwiKeyD5VsYgxlUZBujFM0gmA8Jy2gU5GfuClqVD2ju66Y&#10;jsfzogesA4I2RBx9OCTlKuNba3R8tpZMFF0lmVvMJ+Zznc5itVTlBlVoWn2kob7AwqnW89AT1IOK&#10;Smyx/Q/KtRqBwMaRBleAta02eQfeZjL+Z5vXRgWTd2FxKJxkou+D1b93r+EFRRzuYGADkyB9oJI4&#10;mPYZLLr0ZaaC8yzh/iSbGaLQHJxPZ4vF9ZUUmnOz+c/ZbJpginN3QIpPBpxIl0oi25LVUrtfFA+l&#10;HyVpmIfHtutS/Ewl3eKwHo781lDvmXbPzlWS/mwVGikwdveQjU4oFG63kZHygNR+6Dmisp6Z4tH7&#10;ZNjnd646/6GrvwAAAP//AwBQSwMEFAAGAAgAAAAhAA/iR4rdAAAACgEAAA8AAABkcnMvZG93bnJl&#10;di54bWxMj8FOwzAQRO9I/IO1SNyonYYgFOJUFVCJAxfacN/GJomI11G8bdK/r3OC26xmNfOm2Myu&#10;F2c7hs6ThmSlQFiqvemo0VAddg/PIAIjGew9WQ0XG2BT3t4UmBs/0Zc977kRMYRCjhpa5iGXMtSt&#10;dRhWfrAUvR8/OuR4jo00I04x3PVyrdSTdNhRbGhxsK+trX/3J6eB2WyTS/Xuwsf3/Pk2tarOsNL6&#10;/m7evoBgO/PfMyz4ER3KyHT0JzJB9BqyJE5hDY/rFMTiqzTNQBwXpTKQZSH/TyivAAAA//8DAFBL&#10;AQItABQABgAIAAAAIQC2gziS/gAAAOEBAAATAAAAAAAAAAAAAAAAAAAAAABbQ29udGVudF9UeXBl&#10;c10ueG1sUEsBAi0AFAAGAAgAAAAhADj9If/WAAAAlAEAAAsAAAAAAAAAAAAAAAAALwEAAF9yZWxz&#10;Ly5yZWxzUEsBAi0AFAAGAAgAAAAhAFdjyt6AAQAA6QIAAA4AAAAAAAAAAAAAAAAALgIAAGRycy9l&#10;Mm9Eb2MueG1sUEsBAi0AFAAGAAgAAAAhAA/iR4rdAAAACgEAAA8AAAAAAAAAAAAAAAAA2gMAAGRy&#10;cy9kb3ducmV2LnhtbFBLBQYAAAAABAAEAPMAAADkBAAAAAA=&#10;" filled="f" stroked="f">
                <v:textbox style="mso-fit-shape-to-text:t">
                  <w:txbxContent>
                    <w:p w14:paraId="526250D7" w14:textId="77777777" w:rsidR="00BD0DC5" w:rsidRPr="00437400" w:rsidRDefault="00BD0DC5" w:rsidP="00BD0D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43740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Supplementary Table 1. Western Blot Primary Antibodies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37035" w14:textId="77777777" w:rsidR="00BD0DC5" w:rsidRPr="000908E0" w:rsidRDefault="00BD0DC5" w:rsidP="00BD0DC5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1572B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056B72E" wp14:editId="39BE2E76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6312535" cy="1860550"/>
            <wp:effectExtent l="0" t="0" r="0" b="6350"/>
            <wp:wrapNone/>
            <wp:docPr id="4" name="table" descr="A table with text on i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88DB561-1451-B684-50F7-32210164B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 descr="A table with text on it&#10;&#10;AI-generated content may be incorrect.">
                      <a:extLst>
                        <a:ext uri="{FF2B5EF4-FFF2-40B4-BE49-F238E27FC236}">
                          <a16:creationId xmlns:a16="http://schemas.microsoft.com/office/drawing/2014/main" id="{A88DB561-1451-B684-50F7-32210164B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459FA" w14:textId="77777777" w:rsidR="00BD0DC5" w:rsidRDefault="00BD0DC5" w:rsidP="00BD0DC5">
      <w:pPr>
        <w:spacing w:line="480" w:lineRule="auto"/>
        <w:jc w:val="both"/>
        <w:rPr>
          <w:rFonts w:ascii="Arial" w:hAnsi="Arial" w:cs="Arial"/>
        </w:rPr>
      </w:pPr>
    </w:p>
    <w:p w14:paraId="0E8C928E" w14:textId="77777777" w:rsidR="00BD0DC5" w:rsidRPr="001572BC" w:rsidRDefault="00BD0DC5" w:rsidP="00BD0DC5">
      <w:pPr>
        <w:rPr>
          <w:rFonts w:ascii="Arial" w:hAnsi="Arial" w:cs="Arial"/>
        </w:rPr>
      </w:pPr>
    </w:p>
    <w:p w14:paraId="41DF170B" w14:textId="77777777" w:rsidR="00BD0DC5" w:rsidRPr="001572BC" w:rsidRDefault="00BD0DC5" w:rsidP="00BD0DC5">
      <w:pPr>
        <w:rPr>
          <w:rFonts w:ascii="Arial" w:hAnsi="Arial" w:cs="Arial"/>
        </w:rPr>
      </w:pPr>
    </w:p>
    <w:p w14:paraId="2683E973" w14:textId="77777777" w:rsidR="00BD0DC5" w:rsidRPr="001572BC" w:rsidRDefault="00BD0DC5" w:rsidP="00BD0DC5">
      <w:pPr>
        <w:rPr>
          <w:rFonts w:ascii="Arial" w:hAnsi="Arial" w:cs="Arial"/>
        </w:rPr>
      </w:pPr>
    </w:p>
    <w:p w14:paraId="2D9F9C32" w14:textId="77777777" w:rsidR="00BD0DC5" w:rsidRPr="001572BC" w:rsidRDefault="00BD0DC5" w:rsidP="00BD0DC5">
      <w:pPr>
        <w:rPr>
          <w:rFonts w:ascii="Arial" w:hAnsi="Arial" w:cs="Arial"/>
        </w:rPr>
      </w:pPr>
    </w:p>
    <w:p w14:paraId="5F380593" w14:textId="77777777" w:rsidR="00BD0DC5" w:rsidRPr="001572BC" w:rsidRDefault="00BD0DC5" w:rsidP="00BD0DC5">
      <w:pPr>
        <w:rPr>
          <w:rFonts w:ascii="Arial" w:hAnsi="Arial" w:cs="Arial"/>
        </w:rPr>
      </w:pPr>
    </w:p>
    <w:p w14:paraId="033AC953" w14:textId="77777777" w:rsidR="00BD0DC5" w:rsidRPr="001572BC" w:rsidRDefault="00BD0DC5" w:rsidP="00BD0DC5">
      <w:pPr>
        <w:rPr>
          <w:rFonts w:ascii="Arial" w:hAnsi="Arial" w:cs="Arial"/>
        </w:rPr>
      </w:pPr>
    </w:p>
    <w:p w14:paraId="014A1E5E" w14:textId="77777777" w:rsidR="00BD0DC5" w:rsidRPr="001572BC" w:rsidRDefault="00BD0DC5" w:rsidP="00BD0DC5">
      <w:pPr>
        <w:rPr>
          <w:rFonts w:ascii="Arial" w:hAnsi="Arial" w:cs="Arial"/>
        </w:rPr>
      </w:pPr>
    </w:p>
    <w:p w14:paraId="137BABE2" w14:textId="77777777" w:rsidR="00BD0DC5" w:rsidRPr="001572BC" w:rsidRDefault="00BD0DC5" w:rsidP="00BD0DC5">
      <w:pPr>
        <w:rPr>
          <w:rFonts w:ascii="Arial" w:hAnsi="Arial" w:cs="Arial"/>
        </w:rPr>
      </w:pPr>
    </w:p>
    <w:p w14:paraId="0A7DBC44" w14:textId="77777777" w:rsidR="00BD0DC5" w:rsidRPr="001572BC" w:rsidRDefault="00BD0DC5" w:rsidP="00BD0DC5">
      <w:pPr>
        <w:rPr>
          <w:rFonts w:ascii="Arial" w:hAnsi="Arial" w:cs="Arial"/>
        </w:rPr>
      </w:pPr>
    </w:p>
    <w:p w14:paraId="14AC21C7" w14:textId="77777777" w:rsidR="00BD0DC5" w:rsidRPr="001572BC" w:rsidRDefault="00BD0DC5" w:rsidP="00BD0DC5">
      <w:pPr>
        <w:rPr>
          <w:rFonts w:ascii="Arial" w:hAnsi="Arial" w:cs="Arial"/>
        </w:rPr>
      </w:pPr>
    </w:p>
    <w:p w14:paraId="2A98873F" w14:textId="77777777" w:rsidR="00BD0DC5" w:rsidRPr="001572BC" w:rsidRDefault="00BD0DC5" w:rsidP="00BD0DC5">
      <w:pPr>
        <w:rPr>
          <w:rFonts w:ascii="Arial" w:hAnsi="Arial" w:cs="Arial"/>
        </w:rPr>
      </w:pPr>
    </w:p>
    <w:p w14:paraId="38895183" w14:textId="77777777" w:rsidR="00BD0DC5" w:rsidRPr="001572BC" w:rsidRDefault="00BD0DC5" w:rsidP="00BD0DC5">
      <w:pPr>
        <w:rPr>
          <w:rFonts w:ascii="Arial" w:hAnsi="Arial" w:cs="Arial"/>
        </w:rPr>
      </w:pPr>
    </w:p>
    <w:p w14:paraId="0708E18A" w14:textId="77777777" w:rsidR="00BD0DC5" w:rsidRDefault="00BD0DC5" w:rsidP="00BD0DC5">
      <w:pPr>
        <w:rPr>
          <w:rFonts w:ascii="Arial" w:hAnsi="Arial" w:cs="Arial"/>
        </w:rPr>
      </w:pPr>
    </w:p>
    <w:p w14:paraId="7AC12187" w14:textId="77777777" w:rsidR="00BD0DC5" w:rsidRDefault="00BD0DC5" w:rsidP="00BD0DC5">
      <w:pPr>
        <w:rPr>
          <w:rFonts w:ascii="Arial" w:hAnsi="Arial" w:cs="Arial"/>
        </w:rPr>
      </w:pPr>
    </w:p>
    <w:p w14:paraId="5E30334C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A2CE32A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2713CC6D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3D964957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49885CFB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0F63E2E0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06036F1D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4CCA66CE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0BD6BA51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47B661DC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3AD503BF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18FD9386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53114D0D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59C5CF9A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14BA25A8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44436849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69049295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6F7844B4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73F0A0C7" w14:textId="77777777" w:rsidR="00BD0DC5" w:rsidRDefault="00BD0DC5" w:rsidP="00BD0DC5">
      <w:pPr>
        <w:tabs>
          <w:tab w:val="left" w:pos="915"/>
        </w:tabs>
        <w:rPr>
          <w:rFonts w:ascii="Arial" w:hAnsi="Arial" w:cs="Arial"/>
        </w:rPr>
      </w:pPr>
    </w:p>
    <w:p w14:paraId="7154E801" w14:textId="77777777" w:rsidR="00BD0DC5" w:rsidRDefault="00BD0DC5" w:rsidP="00BD0DC5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8B1A8A8" w14:textId="1B51905A" w:rsidR="0030331C" w:rsidRDefault="00BD0DC5">
      <w:r w:rsidRPr="001572B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843A8CF" wp14:editId="41FF1BAE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6858000" cy="8217535"/>
            <wp:effectExtent l="0" t="0" r="0" b="0"/>
            <wp:wrapNone/>
            <wp:docPr id="373858656" name="table" descr="A table with numbers and lette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9B7E610-D708-E4EB-9148-44E7A9C40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58656" name="table" descr="A table with numbers and letters&#10;&#10;AI-generated content may be incorrect.">
                      <a:extLst>
                        <a:ext uri="{FF2B5EF4-FFF2-40B4-BE49-F238E27FC236}">
                          <a16:creationId xmlns:a16="http://schemas.microsoft.com/office/drawing/2014/main" id="{09B7E610-D708-E4EB-9148-44E7A9C40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2B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AB46D2" wp14:editId="5186F8AE">
                <wp:simplePos x="0" y="0"/>
                <wp:positionH relativeFrom="margin">
                  <wp:posOffset>-219075</wp:posOffset>
                </wp:positionH>
                <wp:positionV relativeFrom="paragraph">
                  <wp:posOffset>-219075</wp:posOffset>
                </wp:positionV>
                <wp:extent cx="6819900" cy="368935"/>
                <wp:effectExtent l="0" t="0" r="0" b="0"/>
                <wp:wrapNone/>
                <wp:docPr id="178999110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C21646" w14:textId="77777777" w:rsidR="00BD0DC5" w:rsidRPr="00437400" w:rsidRDefault="00BD0DC5" w:rsidP="00BD0D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43740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Supplementary Table 2. FACS Antibody List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AB46D2" id="TextBox 3" o:spid="_x0000_s1027" type="#_x0000_t202" style="position:absolute;margin-left:-17.25pt;margin-top:-17.25pt;width:537pt;height:29.0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mCggEAAPACAAAOAAAAZHJzL2Uyb0RvYy54bWysUk1v2zAMvQ/ofxB0b+y0aJAYcYptRXcZ&#10;tgHtfoAiS7EAS1RJJXb+/SglS4rtNuxCSfx4fHzU+nHygzgYJAehlfNZLYUJGjoXdq38+fp8u5SC&#10;kgqdGiCYVh4NycfNzYf1GBtzBz0MnUHBIIGaMbayTyk2VUW6N17RDKIJHLSAXiV+4q7qUI2M7ofq&#10;rq4X1QjYRQRtiNj7dArKTcG31uj03VoySQytZG6pWCx2m221Watmhyr2Tp9pqH9g4ZUL3PQC9aSS&#10;Ent0f0F5pxEIbJpp8BVY67QpM/A08/qPaV56FU2ZhcWheJGJ/h+s/nZ4iT9QpOkTTLzALMgYqSF2&#10;5nkmiz6fzFRwnCU8XmQzUxKanYvlfLWqOaQ5dr9Yru4fMkx1rY5I6YsBL/KllchrKWqpw1dKp9Tf&#10;KblZgGc3DNl/pZJvadpOwnXvaG6hOzL7kRfYSnrbKzRSYBo+Q9l3BqP4cZ8YsPTJKKeaMzjLWpie&#10;v0De2/t3ybp+1M0vAAAA//8DAFBLAwQUAAYACAAAACEARH+Zc9wAAAALAQAADwAAAGRycy9kb3du&#10;cmV2LnhtbEyPy07DMBBF90j8gzVI7Fq7Da0gxKkqHhILNpSwn8ZDHBGPo9ht0r/HXSC6m8fRnTPF&#10;ZnKdONIQWs8aFnMFgrj2puVGQ/X5OrsHESKywc4zaThRgE15fVVgbvzIH3TcxUakEA45arAx9rmU&#10;obbkMMx9T5x2335wGFM7NNIMOKZw18mlUmvpsOV0wWJPT5bqn93BaYjRbBen6sWFt6/p/Xm0ql5h&#10;pfXtzbR9BBFpiv8wnPWTOpTJae8PbILoNMyyu1VC/4ozobKHNNprWGZrkGUhL38ofwEAAP//AwBQ&#10;SwECLQAUAAYACAAAACEAtoM4kv4AAADhAQAAEwAAAAAAAAAAAAAAAAAAAAAAW0NvbnRlbnRfVHlw&#10;ZXNdLnhtbFBLAQItABQABgAIAAAAIQA4/SH/1gAAAJQBAAALAAAAAAAAAAAAAAAAAC8BAABfcmVs&#10;cy8ucmVsc1BLAQItABQABgAIAAAAIQDgLWmCggEAAPACAAAOAAAAAAAAAAAAAAAAAC4CAABkcnMv&#10;ZTJvRG9jLnhtbFBLAQItABQABgAIAAAAIQBEf5lz3AAAAAsBAAAPAAAAAAAAAAAAAAAAANwDAABk&#10;cnMvZG93bnJldi54bWxQSwUGAAAAAAQABADzAAAA5QQAAAAA&#10;" filled="f" stroked="f">
                <v:textbox style="mso-fit-shape-to-text:t">
                  <w:txbxContent>
                    <w:p w14:paraId="60C21646" w14:textId="77777777" w:rsidR="00BD0DC5" w:rsidRPr="00437400" w:rsidRDefault="00BD0DC5" w:rsidP="00BD0DC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43740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Supplementary Table 2. FACS Antibody 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033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32336" w14:textId="77777777" w:rsidR="006618A3" w:rsidRDefault="006618A3" w:rsidP="00BD0DC5">
      <w:r>
        <w:separator/>
      </w:r>
    </w:p>
  </w:endnote>
  <w:endnote w:type="continuationSeparator" w:id="0">
    <w:p w14:paraId="3AAFE0A0" w14:textId="77777777" w:rsidR="006618A3" w:rsidRDefault="006618A3" w:rsidP="00BD0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0E6D0" w14:textId="77777777" w:rsidR="006618A3" w:rsidRDefault="006618A3" w:rsidP="00BD0DC5">
      <w:r>
        <w:separator/>
      </w:r>
    </w:p>
  </w:footnote>
  <w:footnote w:type="continuationSeparator" w:id="0">
    <w:p w14:paraId="4B099EC7" w14:textId="77777777" w:rsidR="006618A3" w:rsidRDefault="006618A3" w:rsidP="00BD0D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DC5"/>
    <w:rsid w:val="0030331C"/>
    <w:rsid w:val="00627DC5"/>
    <w:rsid w:val="00642D33"/>
    <w:rsid w:val="006618A3"/>
    <w:rsid w:val="007450C1"/>
    <w:rsid w:val="0076140B"/>
    <w:rsid w:val="007D005D"/>
    <w:rsid w:val="00AD1416"/>
    <w:rsid w:val="00B06CF7"/>
    <w:rsid w:val="00BD0DC5"/>
    <w:rsid w:val="00D53CF6"/>
    <w:rsid w:val="00FC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9C259"/>
  <w15:chartTrackingRefBased/>
  <w15:docId w15:val="{50F8E82A-6189-4D64-AB7B-D2AF28E1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DC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0DC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0DC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0DC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0DC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0DC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0DC5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0DC5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0DC5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0DC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0D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0D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0D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0D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0D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0D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0D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0D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0D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0D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D0D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0DC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D0D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0DC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D0D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0DC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D0D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0D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0D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0D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D0D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0DC5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D0D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0DC5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Foote, Jeremy B</dc:creator>
  <cp:keywords/>
  <dc:description/>
  <cp:lastModifiedBy>Foote, Jeremy B</cp:lastModifiedBy>
  <cp:revision>3</cp:revision>
  <dcterms:created xsi:type="dcterms:W3CDTF">2025-10-15T20:51:00Z</dcterms:created>
  <dcterms:modified xsi:type="dcterms:W3CDTF">2025-10-15T20:54:00Z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7542bc-63e5-412b-b0a0-d9586028a7d0_Enabled">
    <vt:lpwstr>true</vt:lpwstr>
  </property>
  <property fmtid="{D5CDD505-2E9C-101B-9397-08002B2CF9AE}" pid="3" name="MSIP_Label_ae7542bc-63e5-412b-b0a0-d9586028a7d0_SetDate">
    <vt:lpwstr>2025-09-04T19:06:15Z</vt:lpwstr>
  </property>
  <property fmtid="{D5CDD505-2E9C-101B-9397-08002B2CF9AE}" pid="4" name="MSIP_Label_ae7542bc-63e5-412b-b0a0-d9586028a7d0_Method">
    <vt:lpwstr>Standard</vt:lpwstr>
  </property>
  <property fmtid="{D5CDD505-2E9C-101B-9397-08002B2CF9AE}" pid="5" name="MSIP_Label_ae7542bc-63e5-412b-b0a0-d9586028a7d0_Name">
    <vt:lpwstr>Sensitive</vt:lpwstr>
  </property>
  <property fmtid="{D5CDD505-2E9C-101B-9397-08002B2CF9AE}" pid="6" name="MSIP_Label_ae7542bc-63e5-412b-b0a0-d9586028a7d0_SiteId">
    <vt:lpwstr>d8999fe4-76af-40b3-b435-1d8977abc08c</vt:lpwstr>
  </property>
  <property fmtid="{D5CDD505-2E9C-101B-9397-08002B2CF9AE}" pid="7" name="MSIP_Label_ae7542bc-63e5-412b-b0a0-d9586028a7d0_ActionId">
    <vt:lpwstr>a2da145e-32a7-42b7-9eae-446ecfacf22d</vt:lpwstr>
  </property>
  <property fmtid="{D5CDD505-2E9C-101B-9397-08002B2CF9AE}" pid="8" name="MSIP_Label_ae7542bc-63e5-412b-b0a0-d9586028a7d0_ContentBits">
    <vt:lpwstr>0</vt:lpwstr>
  </property>
  <property fmtid="{D5CDD505-2E9C-101B-9397-08002B2CF9AE}" pid="9" name="MSIP_Label_ae7542bc-63e5-412b-b0a0-d9586028a7d0_Tag">
    <vt:lpwstr>10, 3, 0, 1</vt:lpwstr>
  </property>
</Properties>
</file>