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D477" w14:textId="77777777" w:rsidR="00AB6B81" w:rsidRDefault="00AB6B81" w:rsidP="00AB6B81">
      <w:pPr>
        <w:spacing w:line="360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Supplementary information: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B6B81" w14:paraId="36C60532" w14:textId="77777777" w:rsidTr="009E6E5A">
        <w:tc>
          <w:tcPr>
            <w:tcW w:w="9350" w:type="dxa"/>
            <w:vAlign w:val="center"/>
          </w:tcPr>
          <w:p w14:paraId="28288D6B" w14:textId="77777777" w:rsidR="00AB6B81" w:rsidRDefault="00AB6B81" w:rsidP="009E6E5A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731D63FB" wp14:editId="4991918A">
                  <wp:extent cx="3503788" cy="3825240"/>
                  <wp:effectExtent l="0" t="0" r="0" b="0"/>
                  <wp:docPr id="23332667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684" cy="383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B81" w14:paraId="62F86097" w14:textId="77777777" w:rsidTr="009E6E5A">
        <w:tc>
          <w:tcPr>
            <w:tcW w:w="9350" w:type="dxa"/>
          </w:tcPr>
          <w:p w14:paraId="65C21DA6" w14:textId="77777777" w:rsidR="00AB6B81" w:rsidRPr="00552540" w:rsidRDefault="00AB6B81" w:rsidP="009E6E5A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552540">
              <w:rPr>
                <w:rStyle w:val="Strong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 xml:space="preserve">S.1. Cell characterization for 4 animals. </w:t>
            </w:r>
            <w:r w:rsidRPr="00552540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A) Phase-contrast imaging of the SVZ-NSC in each subject in t</w:t>
            </w:r>
            <w:r w:rsidRPr="00552540">
              <w:rPr>
                <w:rFonts w:asciiTheme="minorBidi" w:hAnsiTheme="minorBidi" w:cstheme="minorBidi"/>
                <w:sz w:val="20"/>
                <w:szCs w:val="20"/>
              </w:rPr>
              <w:t>ransplanted</w:t>
            </w:r>
            <w:r w:rsidRPr="00552540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 groups at passage four. B) Expression of NSC Markers (SOX2, NESTIN, and GFAP and co-expression of GFAP/NESTIN) for all animals in t</w:t>
            </w:r>
            <w:r w:rsidRPr="00552540">
              <w:rPr>
                <w:rFonts w:asciiTheme="minorBidi" w:hAnsiTheme="minorBidi" w:cstheme="minorBidi"/>
                <w:sz w:val="20"/>
                <w:szCs w:val="20"/>
              </w:rPr>
              <w:t>ransplantation</w:t>
            </w:r>
            <w:r w:rsidRPr="00552540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 groups. </w:t>
            </w:r>
          </w:p>
        </w:tc>
      </w:tr>
    </w:tbl>
    <w:p w14:paraId="6D9E6149" w14:textId="77777777" w:rsidR="00AB6B81" w:rsidRDefault="00AB6B81" w:rsidP="00AB6B81">
      <w:pPr>
        <w:spacing w:line="360" w:lineRule="auto"/>
        <w:jc w:val="both"/>
        <w:rPr>
          <w:rFonts w:asciiTheme="minorBidi" w:hAnsiTheme="minorBid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B6B81" w14:paraId="5D219329" w14:textId="77777777" w:rsidTr="009E6E5A">
        <w:tc>
          <w:tcPr>
            <w:tcW w:w="9350" w:type="dxa"/>
            <w:vAlign w:val="center"/>
          </w:tcPr>
          <w:p w14:paraId="700724F4" w14:textId="77777777" w:rsidR="00AB6B81" w:rsidRDefault="00AB6B81" w:rsidP="009E6E5A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708930A0" wp14:editId="5368359C">
                  <wp:extent cx="3282198" cy="3519805"/>
                  <wp:effectExtent l="0" t="0" r="0" b="4445"/>
                  <wp:docPr id="1583895494" name="Picture 19" descr="A collage of images of ce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95494" name="Picture 19" descr="A collage of images of cel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698" cy="3528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B81" w14:paraId="5292AE01" w14:textId="77777777" w:rsidTr="009E6E5A">
        <w:tc>
          <w:tcPr>
            <w:tcW w:w="9350" w:type="dxa"/>
          </w:tcPr>
          <w:p w14:paraId="6C1762BC" w14:textId="77777777" w:rsidR="00AB6B81" w:rsidRPr="00B73C3D" w:rsidRDefault="00AB6B81" w:rsidP="009E6E5A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inorBidi" w:hAnsiTheme="minorBidi" w:cstheme="minorBidi"/>
                <w:color w:val="1C1E29"/>
                <w:sz w:val="20"/>
                <w:szCs w:val="20"/>
              </w:rPr>
            </w:pPr>
            <w:r>
              <w:rPr>
                <w:rStyle w:val="Strong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 xml:space="preserve">S. </w:t>
            </w:r>
            <w:r w:rsidRPr="00B73C3D">
              <w:rPr>
                <w:rStyle w:val="Strong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>2. SVZ-NSCs multipotency </w:t>
            </w:r>
            <w:r>
              <w:rPr>
                <w:rStyle w:val="Emphasis"/>
                <w:rFonts w:asciiTheme="minorBidi" w:eastAsiaTheme="majorEastAsia" w:hAnsiTheme="minorBidi" w:cstheme="minorBidi"/>
                <w:b/>
                <w:bCs/>
                <w:color w:val="1C1E29"/>
                <w:sz w:val="20"/>
                <w:szCs w:val="20"/>
              </w:rPr>
              <w:t>i</w:t>
            </w:r>
            <w:r w:rsidRPr="00B73C3D">
              <w:rPr>
                <w:rStyle w:val="Emphasis"/>
                <w:rFonts w:asciiTheme="minorBidi" w:eastAsiaTheme="majorEastAsia" w:hAnsiTheme="minorBidi" w:cstheme="minorBidi"/>
                <w:b/>
                <w:bCs/>
                <w:color w:val="1C1E29"/>
                <w:sz w:val="20"/>
                <w:szCs w:val="20"/>
              </w:rPr>
              <w:t>n Vitro</w:t>
            </w:r>
            <w:r w:rsidRPr="00B73C3D">
              <w:rPr>
                <w:rStyle w:val="Strong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> evaluation. 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A) Spontaneous differentiation of SVZ-NSCs has </w:t>
            </w:r>
            <w:r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been 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assessed by immunolabeling for TUJ1, NeuN (co-expression), GLAST (as a glial marker), vGLUT1 (glutamatergic neuron’s marker) and NG2 (oligodendrocyte’s marker) for each animal. B) Quantification of all markers in part A did not show any difference in all animals except in NeuN (</w:t>
            </w:r>
            <w:r w:rsidRPr="00B73C3D">
              <w:rPr>
                <w:rStyle w:val="Emphasis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>p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 &lt; 0.05, one-way ANOVA, Tukey posttest).</w:t>
            </w:r>
          </w:p>
          <w:p w14:paraId="5833B424" w14:textId="77777777" w:rsidR="00AB6B81" w:rsidRDefault="00AB6B81" w:rsidP="009E6E5A">
            <w:pPr>
              <w:spacing w:line="36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14:paraId="602A4FE7" w14:textId="77777777" w:rsidR="00AB6B81" w:rsidRDefault="00AB6B81" w:rsidP="00AB6B81">
      <w:pPr>
        <w:spacing w:line="360" w:lineRule="auto"/>
        <w:jc w:val="both"/>
        <w:rPr>
          <w:rFonts w:asciiTheme="minorBidi" w:hAnsiTheme="minorBid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B6B81" w14:paraId="36216033" w14:textId="77777777" w:rsidTr="009E6E5A">
        <w:tc>
          <w:tcPr>
            <w:tcW w:w="9350" w:type="dxa"/>
            <w:vAlign w:val="center"/>
          </w:tcPr>
          <w:p w14:paraId="52482E34" w14:textId="77777777" w:rsidR="00AB6B81" w:rsidRDefault="00AB6B81" w:rsidP="009E6E5A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647DFBB8" wp14:editId="058C1CC0">
                  <wp:extent cx="2796499" cy="3561715"/>
                  <wp:effectExtent l="0" t="0" r="0" b="635"/>
                  <wp:docPr id="1330411127" name="Picture 20" descr="A screenshot of a computer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411127" name="Picture 20" descr="A screenshot of a computer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16" cy="3571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B81" w14:paraId="409A0AB7" w14:textId="77777777" w:rsidTr="009E6E5A">
        <w:tc>
          <w:tcPr>
            <w:tcW w:w="9350" w:type="dxa"/>
          </w:tcPr>
          <w:p w14:paraId="3974602A" w14:textId="77777777" w:rsidR="00AB6B81" w:rsidRPr="00EF7103" w:rsidRDefault="00AB6B81" w:rsidP="009E6E5A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inorBidi" w:hAnsiTheme="minorBidi" w:cstheme="minorBidi"/>
                <w:color w:val="1C1E29"/>
                <w:sz w:val="20"/>
                <w:szCs w:val="20"/>
              </w:rPr>
            </w:pPr>
            <w:r>
              <w:rPr>
                <w:rStyle w:val="Strong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 xml:space="preserve">S. </w:t>
            </w:r>
            <w:r w:rsidRPr="00B73C3D">
              <w:rPr>
                <w:rStyle w:val="Strong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>3. </w:t>
            </w:r>
            <w:r>
              <w:rPr>
                <w:rStyle w:val="Strong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 xml:space="preserve"> Flow cytometry and Karyotype assessment. 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A</w:t>
            </w:r>
            <w:r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, B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) Flow cytometry has demonstrated </w:t>
            </w:r>
            <w:r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NSC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 properties for all </w:t>
            </w:r>
            <w:r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4 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 xml:space="preserve">subjects. The individual histogram has been represented for NESTIN, GFAP, SOX2, and TUJ1. </w:t>
            </w:r>
            <w:r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C</w:t>
            </w:r>
            <w:r w:rsidRPr="00B73C3D">
              <w:rPr>
                <w:rFonts w:asciiTheme="minorBidi" w:hAnsiTheme="minorBidi" w:cstheme="minorBidi"/>
                <w:color w:val="1C1E29"/>
                <w:sz w:val="20"/>
                <w:szCs w:val="20"/>
              </w:rPr>
              <w:t>) Karyotype analysis did not show any chromosomal abnormality in number and structure after four passages </w:t>
            </w:r>
            <w:r w:rsidRPr="00B73C3D">
              <w:rPr>
                <w:rStyle w:val="Emphasis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>In Vitro</w:t>
            </w:r>
            <w:r>
              <w:rPr>
                <w:rStyle w:val="Emphasis"/>
                <w:rFonts w:asciiTheme="minorBidi" w:eastAsiaTheme="majorEastAsia" w:hAnsiTheme="minorBidi" w:cstheme="minorBidi"/>
                <w:color w:val="1C1E29"/>
                <w:sz w:val="20"/>
                <w:szCs w:val="20"/>
              </w:rPr>
              <w:t xml:space="preserve">. </w:t>
            </w:r>
          </w:p>
        </w:tc>
      </w:tr>
    </w:tbl>
    <w:p w14:paraId="7099F80D" w14:textId="77777777" w:rsidR="00AB6B81" w:rsidRDefault="00AB6B81" w:rsidP="00AB6B81">
      <w:pPr>
        <w:spacing w:line="360" w:lineRule="auto"/>
        <w:jc w:val="both"/>
        <w:rPr>
          <w:rFonts w:asciiTheme="minorBidi" w:hAnsiTheme="minorBid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B6B81" w14:paraId="44215C4C" w14:textId="77777777" w:rsidTr="009E6E5A">
        <w:tc>
          <w:tcPr>
            <w:tcW w:w="9350" w:type="dxa"/>
            <w:vAlign w:val="center"/>
          </w:tcPr>
          <w:p w14:paraId="5DCE084D" w14:textId="77777777" w:rsidR="00AB6B81" w:rsidRDefault="00AB6B81" w:rsidP="009E6E5A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27D7F195" wp14:editId="6B37B6AF">
                  <wp:extent cx="2860334" cy="3462020"/>
                  <wp:effectExtent l="0" t="0" r="0" b="5080"/>
                  <wp:docPr id="1797900185" name="Picture 22" descr="A collage of different types of measuremen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900185" name="Picture 22" descr="A collage of different types of measurement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70" cy="3467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B81" w14:paraId="4DA4A322" w14:textId="77777777" w:rsidTr="009E6E5A">
        <w:tc>
          <w:tcPr>
            <w:tcW w:w="9350" w:type="dxa"/>
          </w:tcPr>
          <w:p w14:paraId="4EDE9FC8" w14:textId="77777777" w:rsidR="00AB6B81" w:rsidRDefault="00AB6B81" w:rsidP="009E6E5A">
            <w:pPr>
              <w:spacing w:line="36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Style w:val="Strong"/>
                <w:rFonts w:asciiTheme="minorBidi" w:hAnsiTheme="minorBidi"/>
                <w:color w:val="1C1E29"/>
                <w:sz w:val="20"/>
                <w:szCs w:val="20"/>
              </w:rPr>
              <w:t>S. 4</w:t>
            </w:r>
            <w:r w:rsidRPr="00EF7103">
              <w:rPr>
                <w:rFonts w:asciiTheme="minorBidi" w:hAnsiTheme="minorBidi"/>
                <w:b/>
                <w:bCs/>
                <w:sz w:val="20"/>
                <w:szCs w:val="20"/>
              </w:rPr>
              <w:t>. Macrographs of fibrin hydrogels and compression testing workflow. A)</w:t>
            </w:r>
            <w:r w:rsidRPr="00EF7103">
              <w:rPr>
                <w:rFonts w:asciiTheme="minorBidi" w:hAnsiTheme="minorBidi"/>
                <w:sz w:val="20"/>
                <w:szCs w:val="20"/>
              </w:rPr>
              <w:t xml:space="preserve"> Side-view of F25-T25 and F50-T50 fibrin hydrogels equilibrated in PBS for 4 hours post-synthesis. </w:t>
            </w:r>
            <w:r w:rsidRPr="00EF7103">
              <w:rPr>
                <w:rFonts w:asciiTheme="minorBidi" w:hAnsiTheme="minorBidi"/>
                <w:b/>
                <w:bCs/>
                <w:sz w:val="20"/>
                <w:szCs w:val="20"/>
              </w:rPr>
              <w:t>(B)</w:t>
            </w:r>
            <w:r w:rsidRPr="00EF7103">
              <w:rPr>
                <w:rFonts w:asciiTheme="minorBidi" w:hAnsiTheme="minorBidi"/>
                <w:sz w:val="20"/>
                <w:szCs w:val="20"/>
              </w:rPr>
              <w:t xml:space="preserve"> Schematic illustration of the compression testing process. Hydrogels were equilibrated, measured for diameter and height, and subjected to uniaxial compression at a rate of 1 mm/min. The elastic modulus was extracted from the linear elastic region of the stress-strain curve. </w:t>
            </w:r>
            <w:r w:rsidRPr="00EF7103">
              <w:rPr>
                <w:rFonts w:asciiTheme="minorBidi" w:hAnsiTheme="minorBidi"/>
                <w:b/>
                <w:bCs/>
                <w:sz w:val="20"/>
                <w:szCs w:val="20"/>
              </w:rPr>
              <w:t>(C)</w:t>
            </w:r>
            <w:r w:rsidRPr="00EF7103">
              <w:rPr>
                <w:rFonts w:asciiTheme="minorBidi" w:hAnsiTheme="minorBidi"/>
                <w:sz w:val="20"/>
                <w:szCs w:val="20"/>
              </w:rPr>
              <w:t xml:space="preserve"> Stress-strain profiles of F50-T50 and F25-T25 fibrin hydrogels, capturing their mechanical behavior under increasing compressive strain. </w:t>
            </w:r>
          </w:p>
        </w:tc>
      </w:tr>
    </w:tbl>
    <w:p w14:paraId="40132346" w14:textId="77777777" w:rsidR="00AB6B81" w:rsidRDefault="00AB6B81" w:rsidP="00AB6B81">
      <w:pPr>
        <w:spacing w:line="360" w:lineRule="auto"/>
        <w:jc w:val="both"/>
        <w:rPr>
          <w:rFonts w:asciiTheme="minorBidi" w:hAnsiTheme="minorBidi"/>
          <w:sz w:val="20"/>
          <w:szCs w:val="20"/>
        </w:rPr>
      </w:pPr>
    </w:p>
    <w:p w14:paraId="393CF8B1" w14:textId="77777777" w:rsidR="00AB6B81" w:rsidRPr="005D3D53" w:rsidRDefault="00AB6B81" w:rsidP="00AB6B81">
      <w:pPr>
        <w:spacing w:line="360" w:lineRule="auto"/>
        <w:jc w:val="both"/>
        <w:rPr>
          <w:rFonts w:asciiTheme="minorBidi" w:hAnsiTheme="minorBidi"/>
          <w:sz w:val="20"/>
          <w:szCs w:val="20"/>
        </w:rPr>
      </w:pPr>
    </w:p>
    <w:p w14:paraId="77E5CA57" w14:textId="77777777" w:rsidR="00AB6B81" w:rsidRPr="00AB6B81" w:rsidRDefault="00AB6B81" w:rsidP="00AB6B81"/>
    <w:sectPr w:rsidR="00AB6B81" w:rsidRPr="00AB6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81"/>
    <w:rsid w:val="0025475A"/>
    <w:rsid w:val="00AB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A72683"/>
  <w15:chartTrackingRefBased/>
  <w15:docId w15:val="{ED5AAF8A-F46A-4AA3-925B-D0C5C32E6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B81"/>
  </w:style>
  <w:style w:type="paragraph" w:styleId="Heading1">
    <w:name w:val="heading 1"/>
    <w:basedOn w:val="Normal"/>
    <w:next w:val="Normal"/>
    <w:link w:val="Heading1Char"/>
    <w:uiPriority w:val="9"/>
    <w:qFormat/>
    <w:rsid w:val="00AB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B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B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B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B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B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B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B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6B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B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B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B8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B6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B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B6B81"/>
    <w:rPr>
      <w:b/>
      <w:bCs/>
    </w:rPr>
  </w:style>
  <w:style w:type="character" w:styleId="Emphasis">
    <w:name w:val="Emphasis"/>
    <w:basedOn w:val="DefaultParagraphFont"/>
    <w:uiPriority w:val="20"/>
    <w:qFormat/>
    <w:rsid w:val="00AB6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1414</Characters>
  <Application>Microsoft Office Word</Application>
  <DocSecurity>0</DocSecurity>
  <Lines>18</Lines>
  <Paragraphs>4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Razieh Jaberi</dc:creator>
  <cp:keywords/>
  <dc:description/>
  <cp:lastModifiedBy>Razieh Jaberi</cp:lastModifiedBy>
  <cp:revision>1</cp:revision>
  <dcterms:created xsi:type="dcterms:W3CDTF">2025-03-08T01:02:00Z</dcterms:created>
  <dcterms:modified xsi:type="dcterms:W3CDTF">2025-03-08T01:03:00Z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e1aa0f07-245b-4b8e-8114-f38e2276237d</vt:lpwstr>
  </property>
</Properties>
</file>