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24D1" w14:textId="77777777" w:rsidR="004E7EFB" w:rsidRPr="00300B5B" w:rsidRDefault="004E7EFB" w:rsidP="004E7EFB">
      <w:pPr>
        <w:jc w:val="center"/>
        <w:rPr>
          <w:b/>
          <w:bCs/>
          <w:sz w:val="28"/>
          <w:szCs w:val="28"/>
        </w:rPr>
      </w:pPr>
      <w:r w:rsidRPr="00300B5B">
        <w:rPr>
          <w:b/>
          <w:bCs/>
          <w:sz w:val="28"/>
          <w:szCs w:val="28"/>
        </w:rPr>
        <w:t>Supplement</w:t>
      </w:r>
    </w:p>
    <w:p w14:paraId="3F6F2AC9" w14:textId="77777777" w:rsidR="004E7EFB" w:rsidRDefault="004E7EFB" w:rsidP="004E7EFB">
      <w:pPr>
        <w:rPr>
          <w:b/>
          <w:bCs/>
        </w:rPr>
      </w:pPr>
      <w:r>
        <w:rPr>
          <w:b/>
          <w:bCs/>
        </w:rPr>
        <w:t>S1. Exclusion criteria</w:t>
      </w:r>
    </w:p>
    <w:p w14:paraId="26C93817" w14:textId="77777777" w:rsidR="004E7EFB" w:rsidRDefault="004E7EFB" w:rsidP="004E7EFB">
      <w:r w:rsidRPr="00AF70BE">
        <w:t xml:space="preserve">Potential participants were deemed ineligible if they: (1) had any major medical comorbid condition deemed by a study physician as adding additional risk to the participant, such as refractory hypertension, kidney disease, or liver disease; (2) were diagnosed with diabetes or taking medication for diabetes; (3) had an unstable seizure disorder, including any seizure within six months prior to baseline and/or change in anti-convulsant treatment within the 60 days prior to baseline; (4) had changes in psychotropic or anti-convulsant medication (where taken for reasons other than seizure control) within 30 days prior to baseline; (5) had significant changes in any educational, behavioral, and/or dietary interventions in the month prior to baseline, other than normal changes due to the school calendar; (6) planned initiation of new, or modification of ongoing, interventions during the study; (7) were unable or unwilling to take oral medication in the form of a whole capsule; (8) consumed liver enzyme inducers or inhibitors including foods such as grapefruit, pomegranate, or star fruit within three days prior to any study visit; (9) had baseline laboratory assessments such as aminotransferase, aspartate aminotransferase, total bilirubin, or serum creatinine &gt;1.5 x the upper limit of normal, or other clinically relevant laboratory abnormality; (10) had a clinically significant heart rate or blood pressure reading at baseline as judged by a study physician; (11) had received an investigational drug in any prior clinical study within 30 days or five half-lives (whichever is longer) prior to baseline. </w:t>
      </w:r>
    </w:p>
    <w:p w14:paraId="10798062" w14:textId="77777777" w:rsidR="004E7EFB" w:rsidRPr="00644801" w:rsidRDefault="004E7EFB" w:rsidP="004E7EFB"/>
    <w:p w14:paraId="203EE1A8" w14:textId="77777777" w:rsidR="004E7EFB" w:rsidRPr="00300B5B" w:rsidRDefault="004E7EFB" w:rsidP="004E7EFB">
      <w:pPr>
        <w:rPr>
          <w:b/>
          <w:bCs/>
        </w:rPr>
      </w:pPr>
      <w:r w:rsidRPr="00300B5B">
        <w:rPr>
          <w:b/>
          <w:bCs/>
        </w:rPr>
        <w:t>S</w:t>
      </w:r>
      <w:r>
        <w:rPr>
          <w:b/>
          <w:bCs/>
        </w:rPr>
        <w:t>2</w:t>
      </w:r>
      <w:r w:rsidRPr="00300B5B">
        <w:rPr>
          <w:b/>
          <w:bCs/>
        </w:rPr>
        <w:t>. Peak alpha presence rate</w:t>
      </w:r>
    </w:p>
    <w:p w14:paraId="2763AA65" w14:textId="77777777" w:rsidR="004E7EFB" w:rsidRDefault="004E7EFB" w:rsidP="004E7EFB">
      <w:pPr>
        <w:rPr>
          <w:rFonts w:eastAsia="Malgun Gothic"/>
          <w:lang w:eastAsia="ko-KR"/>
        </w:rPr>
      </w:pPr>
      <w:r w:rsidRPr="00BE14B9">
        <w:rPr>
          <w:rFonts w:eastAsia="Malgun Gothic"/>
          <w:lang w:eastAsia="ko-KR"/>
        </w:rPr>
        <w:t xml:space="preserve">We analyzed resting-state EEG data from the </w:t>
      </w:r>
      <w:r>
        <w:rPr>
          <w:rFonts w:eastAsia="Malgun Gothic" w:hint="eastAsia"/>
          <w:lang w:eastAsia="ko-KR"/>
        </w:rPr>
        <w:t xml:space="preserve">published </w:t>
      </w:r>
      <w:r w:rsidRPr="00E0266A">
        <w:rPr>
          <w:rFonts w:eastAsia="Malgun Gothic"/>
          <w:lang w:eastAsia="ko-KR"/>
        </w:rPr>
        <w:t>Leipzig Study for Mind-Body-Emotion Interactions (LEMON)</w:t>
      </w:r>
      <w:r w:rsidRPr="00BE14B9">
        <w:rPr>
          <w:rFonts w:eastAsia="Malgun Gothic"/>
          <w:lang w:eastAsia="ko-KR"/>
        </w:rPr>
        <w:t xml:space="preserve"> </w:t>
      </w:r>
      <w:r>
        <w:rPr>
          <w:rFonts w:eastAsia="Malgun Gothic" w:hint="eastAsia"/>
          <w:lang w:eastAsia="ko-KR"/>
        </w:rPr>
        <w:t>dataset</w:t>
      </w:r>
      <w:r w:rsidRPr="00BE14B9">
        <w:rPr>
          <w:rFonts w:eastAsia="Malgun Gothic"/>
          <w:lang w:eastAsia="ko-KR"/>
        </w:rPr>
        <w:t xml:space="preserve"> (Babayan et al., 2019) to illustrate the general prevalence of detectable alpha peaks. Power spectra were averaged across electrodes </w:t>
      </w:r>
      <w:r>
        <w:rPr>
          <w:rFonts w:eastAsia="Malgun Gothic" w:hint="eastAsia"/>
          <w:lang w:eastAsia="ko-KR"/>
        </w:rPr>
        <w:t xml:space="preserve">and </w:t>
      </w:r>
      <w:r w:rsidRPr="00BE14B9">
        <w:rPr>
          <w:rFonts w:eastAsia="Malgun Gothic"/>
          <w:lang w:eastAsia="ko-KR"/>
        </w:rPr>
        <w:t>participant</w:t>
      </w:r>
      <w:r>
        <w:rPr>
          <w:rFonts w:eastAsia="Malgun Gothic" w:hint="eastAsia"/>
          <w:lang w:eastAsia="ko-KR"/>
        </w:rPr>
        <w:t>s</w:t>
      </w:r>
      <w:r w:rsidRPr="00BE14B9">
        <w:rPr>
          <w:rFonts w:eastAsia="Malgun Gothic"/>
          <w:lang w:eastAsia="ko-KR"/>
        </w:rPr>
        <w:t xml:space="preserve"> for </w:t>
      </w:r>
      <w:r>
        <w:rPr>
          <w:rFonts w:eastAsia="Malgun Gothic" w:hint="eastAsia"/>
          <w:lang w:eastAsia="ko-KR"/>
        </w:rPr>
        <w:t xml:space="preserve">each </w:t>
      </w:r>
      <w:r w:rsidRPr="00BE14B9">
        <w:rPr>
          <w:rFonts w:eastAsia="Malgun Gothic"/>
          <w:lang w:eastAsia="ko-KR"/>
        </w:rPr>
        <w:t>condition (eyes open, eyes closed), and peaks within the 4</w:t>
      </w:r>
      <w:r>
        <w:rPr>
          <w:rFonts w:eastAsia="Malgun Gothic" w:hint="eastAsia"/>
          <w:lang w:eastAsia="ko-KR"/>
        </w:rPr>
        <w:t>-</w:t>
      </w:r>
      <w:r w:rsidRPr="00BE14B9">
        <w:rPr>
          <w:rFonts w:eastAsia="Malgun Gothic"/>
          <w:lang w:eastAsia="ko-KR"/>
        </w:rPr>
        <w:t>13</w:t>
      </w:r>
      <w:r w:rsidRPr="00BE14B9">
        <w:rPr>
          <w:rFonts w:ascii="Arial" w:eastAsia="Malgun Gothic" w:hAnsi="Arial" w:cs="Arial"/>
          <w:lang w:eastAsia="ko-KR"/>
        </w:rPr>
        <w:t> </w:t>
      </w:r>
      <w:r w:rsidRPr="00BE14B9">
        <w:rPr>
          <w:rFonts w:eastAsia="Malgun Gothic"/>
          <w:lang w:eastAsia="ko-KR"/>
        </w:rPr>
        <w:t xml:space="preserve">Hz range were identified. Alpha peaks were detected in </w:t>
      </w:r>
      <w:r>
        <w:rPr>
          <w:rFonts w:eastAsia="Malgun Gothic" w:hint="eastAsia"/>
          <w:lang w:eastAsia="ko-KR"/>
        </w:rPr>
        <w:t>76</w:t>
      </w:r>
      <w:r w:rsidRPr="00BE14B9">
        <w:rPr>
          <w:rFonts w:eastAsia="Malgun Gothic"/>
          <w:lang w:eastAsia="ko-KR"/>
        </w:rPr>
        <w:t>.</w:t>
      </w:r>
      <w:r>
        <w:rPr>
          <w:rFonts w:eastAsia="Malgun Gothic" w:hint="eastAsia"/>
          <w:lang w:eastAsia="ko-KR"/>
        </w:rPr>
        <w:t>4</w:t>
      </w:r>
      <w:r w:rsidRPr="00BE14B9">
        <w:rPr>
          <w:rFonts w:ascii="Arial" w:eastAsia="Malgun Gothic" w:hAnsi="Arial" w:cs="Arial"/>
          <w:lang w:eastAsia="ko-KR"/>
        </w:rPr>
        <w:t> </w:t>
      </w:r>
      <w:r w:rsidRPr="00BE14B9">
        <w:rPr>
          <w:rFonts w:ascii="Aptos" w:eastAsia="Malgun Gothic" w:hAnsi="Aptos" w:cs="Aptos"/>
          <w:lang w:eastAsia="ko-KR"/>
        </w:rPr>
        <w:t>±</w:t>
      </w:r>
      <w:r w:rsidRPr="00BE14B9">
        <w:rPr>
          <w:rFonts w:ascii="Arial" w:eastAsia="Malgun Gothic" w:hAnsi="Arial" w:cs="Arial"/>
          <w:lang w:eastAsia="ko-KR"/>
        </w:rPr>
        <w:t> </w:t>
      </w:r>
      <w:r>
        <w:rPr>
          <w:rFonts w:ascii="Arial" w:eastAsia="Malgun Gothic" w:hAnsi="Arial" w:cs="Arial" w:hint="eastAsia"/>
          <w:lang w:eastAsia="ko-KR"/>
        </w:rPr>
        <w:t>8</w:t>
      </w:r>
      <w:r w:rsidRPr="00BE14B9">
        <w:rPr>
          <w:rFonts w:eastAsia="Malgun Gothic"/>
          <w:lang w:eastAsia="ko-KR"/>
        </w:rPr>
        <w:t>.</w:t>
      </w:r>
      <w:r>
        <w:rPr>
          <w:rFonts w:eastAsia="Malgun Gothic" w:hint="eastAsia"/>
          <w:lang w:eastAsia="ko-KR"/>
        </w:rPr>
        <w:t>6</w:t>
      </w:r>
      <w:r w:rsidRPr="00BE14B9">
        <w:rPr>
          <w:rFonts w:eastAsia="Malgun Gothic"/>
          <w:lang w:eastAsia="ko-KR"/>
        </w:rPr>
        <w:t xml:space="preserve">% of participants during eyes-closed recordings and in </w:t>
      </w:r>
      <w:r>
        <w:rPr>
          <w:rFonts w:eastAsia="Malgun Gothic" w:hint="eastAsia"/>
          <w:lang w:eastAsia="ko-KR"/>
        </w:rPr>
        <w:t>47</w:t>
      </w:r>
      <w:r w:rsidRPr="00BE14B9">
        <w:rPr>
          <w:rFonts w:eastAsia="Malgun Gothic"/>
          <w:lang w:eastAsia="ko-KR"/>
        </w:rPr>
        <w:t>.</w:t>
      </w:r>
      <w:r>
        <w:rPr>
          <w:rFonts w:eastAsia="Malgun Gothic" w:hint="eastAsia"/>
          <w:lang w:eastAsia="ko-KR"/>
        </w:rPr>
        <w:t>1</w:t>
      </w:r>
      <w:r w:rsidRPr="00BE14B9">
        <w:rPr>
          <w:rFonts w:ascii="Arial" w:eastAsia="Malgun Gothic" w:hAnsi="Arial" w:cs="Arial"/>
          <w:lang w:eastAsia="ko-KR"/>
        </w:rPr>
        <w:t> </w:t>
      </w:r>
      <w:r w:rsidRPr="00BE14B9">
        <w:rPr>
          <w:rFonts w:ascii="Aptos" w:eastAsia="Malgun Gothic" w:hAnsi="Aptos" w:cs="Aptos"/>
          <w:lang w:eastAsia="ko-KR"/>
        </w:rPr>
        <w:t>±</w:t>
      </w:r>
      <w:r w:rsidRPr="00BE14B9">
        <w:rPr>
          <w:rFonts w:ascii="Arial" w:eastAsia="Malgun Gothic" w:hAnsi="Arial" w:cs="Arial"/>
          <w:lang w:eastAsia="ko-KR"/>
        </w:rPr>
        <w:t> </w:t>
      </w:r>
      <w:r w:rsidRPr="00BE14B9">
        <w:rPr>
          <w:rFonts w:eastAsia="Malgun Gothic"/>
          <w:lang w:eastAsia="ko-KR"/>
        </w:rPr>
        <w:t>10.</w:t>
      </w:r>
      <w:r>
        <w:rPr>
          <w:rFonts w:eastAsia="Malgun Gothic" w:hint="eastAsia"/>
          <w:lang w:eastAsia="ko-KR"/>
        </w:rPr>
        <w:t>5</w:t>
      </w:r>
      <w:r w:rsidRPr="00BE14B9">
        <w:rPr>
          <w:rFonts w:eastAsia="Malgun Gothic"/>
          <w:lang w:eastAsia="ko-KR"/>
        </w:rPr>
        <w:t>% during eyes-open recordings</w:t>
      </w:r>
      <w:r>
        <w:rPr>
          <w:rFonts w:eastAsia="Malgun Gothic" w:hint="eastAsia"/>
          <w:lang w:eastAsia="ko-KR"/>
        </w:rPr>
        <w:t>.</w:t>
      </w:r>
    </w:p>
    <w:p w14:paraId="358CBFA8" w14:textId="77777777" w:rsidR="004E7EFB" w:rsidRDefault="004E7EFB" w:rsidP="004E7EFB">
      <w:pPr>
        <w:rPr>
          <w:rFonts w:eastAsia="Malgun Gothic"/>
          <w:lang w:eastAsia="ko-KR"/>
        </w:rPr>
      </w:pPr>
    </w:p>
    <w:p w14:paraId="73A15723" w14:textId="77777777" w:rsidR="004E7EFB" w:rsidRPr="00940D39" w:rsidRDefault="004E7EFB" w:rsidP="004E7EFB">
      <w:pPr>
        <w:rPr>
          <w:rFonts w:eastAsia="Malgun Gothic"/>
          <w:lang w:eastAsia="ko-KR"/>
        </w:rPr>
      </w:pPr>
      <w:r w:rsidRPr="00940D39">
        <w:rPr>
          <w:rFonts w:eastAsia="Malgun Gothic"/>
          <w:noProof/>
          <w:lang w:eastAsia="ko-KR"/>
        </w:rPr>
        <w:lastRenderedPageBreak/>
        <w:drawing>
          <wp:inline distT="0" distB="0" distL="0" distR="0" wp14:anchorId="05A36F55" wp14:editId="69F2C6F3">
            <wp:extent cx="5943600" cy="3201035"/>
            <wp:effectExtent l="0" t="0" r="0" b="0"/>
            <wp:docPr id="1908145838" name="Picture 2" descr="A graph of a graph showing the number of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145838" name="Picture 2" descr="A graph of a graph showing the number of dat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8C205" w14:textId="77777777" w:rsidR="004E7EFB" w:rsidRPr="006E6D46" w:rsidRDefault="004E7EFB" w:rsidP="004E7EFB">
      <w:pPr>
        <w:rPr>
          <w:rFonts w:eastAsia="Malgun Gothic"/>
          <w:i/>
          <w:iCs/>
          <w:lang w:eastAsia="ko-KR"/>
        </w:rPr>
      </w:pPr>
      <w:r w:rsidRPr="006E6D46">
        <w:rPr>
          <w:rFonts w:eastAsia="Malgun Gothic"/>
          <w:b/>
          <w:bCs/>
          <w:i/>
          <w:iCs/>
          <w:lang w:eastAsia="ko-KR"/>
        </w:rPr>
        <w:t>Figure</w:t>
      </w:r>
      <w:r w:rsidRPr="006E6D46">
        <w:rPr>
          <w:rFonts w:eastAsia="Malgun Gothic" w:hint="eastAsia"/>
          <w:b/>
          <w:bCs/>
          <w:i/>
          <w:iCs/>
          <w:lang w:eastAsia="ko-KR"/>
        </w:rPr>
        <w:t xml:space="preserve"> S1</w:t>
      </w:r>
      <w:r w:rsidRPr="006E6D46">
        <w:rPr>
          <w:rFonts w:eastAsia="Malgun Gothic" w:hint="eastAsia"/>
          <w:i/>
          <w:iCs/>
          <w:lang w:eastAsia="ko-KR"/>
        </w:rPr>
        <w:t xml:space="preserve">. </w:t>
      </w:r>
      <w:r w:rsidRPr="006E6D46">
        <w:rPr>
          <w:rFonts w:eastAsia="Malgun Gothic"/>
          <w:i/>
          <w:iCs/>
          <w:lang w:eastAsia="ko-KR"/>
        </w:rPr>
        <w:t xml:space="preserve"> Alpha power and peak detection across eyes open and closed conditions.</w:t>
      </w:r>
      <w:r>
        <w:rPr>
          <w:rFonts w:eastAsia="Malgun Gothic" w:hint="eastAsia"/>
          <w:i/>
          <w:iCs/>
          <w:lang w:eastAsia="ko-KR"/>
        </w:rPr>
        <w:t xml:space="preserve"> </w:t>
      </w:r>
      <w:r w:rsidRPr="006E6D46">
        <w:rPr>
          <w:rFonts w:eastAsia="Malgun Gothic"/>
          <w:i/>
          <w:iCs/>
          <w:lang w:eastAsia="ko-KR"/>
        </w:rPr>
        <w:t xml:space="preserve">Left: Grand average power spectral density across all electrodes and participants (n = 208) </w:t>
      </w:r>
      <w:r w:rsidRPr="00E0266A">
        <w:rPr>
          <w:rFonts w:eastAsia="Malgun Gothic"/>
          <w:i/>
          <w:iCs/>
          <w:lang w:eastAsia="ko-KR"/>
        </w:rPr>
        <w:t>from the published Leipzig Study for Mind-Body-Emotion Interactions (LEMON) dataset</w:t>
      </w:r>
      <w:r w:rsidRPr="006E6D46">
        <w:rPr>
          <w:rFonts w:eastAsia="Malgun Gothic"/>
          <w:i/>
          <w:iCs/>
          <w:lang w:eastAsia="ko-KR"/>
        </w:rPr>
        <w:t>. A prominent alpha peak is observed, particularly in the eyes-closed condition.</w:t>
      </w:r>
      <w:r>
        <w:rPr>
          <w:rFonts w:eastAsia="Malgun Gothic" w:hint="eastAsia"/>
          <w:i/>
          <w:iCs/>
          <w:lang w:eastAsia="ko-KR"/>
        </w:rPr>
        <w:t xml:space="preserve"> </w:t>
      </w:r>
      <w:r w:rsidRPr="006E6D46">
        <w:rPr>
          <w:rFonts w:eastAsia="Malgun Gothic"/>
          <w:i/>
          <w:iCs/>
          <w:lang w:eastAsia="ko-KR"/>
        </w:rPr>
        <w:t>Right: Mean ± SD percentage of participants with a detectable alpha peak. Alpha peaks were more reliably detected in the eyes-closed condition (</w:t>
      </w:r>
      <w:r>
        <w:rPr>
          <w:rFonts w:eastAsia="Malgun Gothic" w:hint="eastAsia"/>
          <w:i/>
          <w:iCs/>
          <w:lang w:eastAsia="ko-KR"/>
        </w:rPr>
        <w:t>76</w:t>
      </w:r>
      <w:r w:rsidRPr="006E6D46">
        <w:rPr>
          <w:rFonts w:eastAsia="Malgun Gothic"/>
          <w:i/>
          <w:iCs/>
          <w:lang w:eastAsia="ko-KR"/>
        </w:rPr>
        <w:t>.</w:t>
      </w:r>
      <w:r>
        <w:rPr>
          <w:rFonts w:eastAsia="Malgun Gothic" w:hint="eastAsia"/>
          <w:i/>
          <w:iCs/>
          <w:lang w:eastAsia="ko-KR"/>
        </w:rPr>
        <w:t>4</w:t>
      </w:r>
      <w:r w:rsidRPr="006E6D46">
        <w:rPr>
          <w:rFonts w:ascii="Arial" w:eastAsia="Malgun Gothic" w:hAnsi="Arial" w:cs="Arial"/>
          <w:i/>
          <w:iCs/>
          <w:lang w:eastAsia="ko-KR"/>
        </w:rPr>
        <w:t> </w:t>
      </w:r>
      <w:r w:rsidRPr="006E6D46">
        <w:rPr>
          <w:rFonts w:ascii="Aptos" w:eastAsia="Malgun Gothic" w:hAnsi="Aptos" w:cs="Aptos"/>
          <w:i/>
          <w:iCs/>
          <w:lang w:eastAsia="ko-KR"/>
        </w:rPr>
        <w:t>±</w:t>
      </w:r>
      <w:r w:rsidRPr="006E6D46">
        <w:rPr>
          <w:rFonts w:ascii="Arial" w:eastAsia="Malgun Gothic" w:hAnsi="Arial" w:cs="Arial"/>
          <w:i/>
          <w:iCs/>
          <w:lang w:eastAsia="ko-KR"/>
        </w:rPr>
        <w:t> </w:t>
      </w:r>
      <w:r>
        <w:rPr>
          <w:rFonts w:eastAsia="Malgun Gothic" w:hint="eastAsia"/>
          <w:i/>
          <w:iCs/>
          <w:lang w:eastAsia="ko-KR"/>
        </w:rPr>
        <w:t>8</w:t>
      </w:r>
      <w:r w:rsidRPr="006E6D46">
        <w:rPr>
          <w:rFonts w:eastAsia="Malgun Gothic"/>
          <w:i/>
          <w:iCs/>
          <w:lang w:eastAsia="ko-KR"/>
        </w:rPr>
        <w:t>.</w:t>
      </w:r>
      <w:r>
        <w:rPr>
          <w:rFonts w:eastAsia="Malgun Gothic" w:hint="eastAsia"/>
          <w:i/>
          <w:iCs/>
          <w:lang w:eastAsia="ko-KR"/>
        </w:rPr>
        <w:t>6</w:t>
      </w:r>
      <w:r w:rsidRPr="006E6D46">
        <w:rPr>
          <w:rFonts w:eastAsia="Malgun Gothic"/>
          <w:i/>
          <w:iCs/>
          <w:lang w:eastAsia="ko-KR"/>
        </w:rPr>
        <w:t>%) than in the eyes-open condition (</w:t>
      </w:r>
      <w:r>
        <w:rPr>
          <w:rFonts w:eastAsia="Malgun Gothic" w:hint="eastAsia"/>
          <w:i/>
          <w:iCs/>
          <w:lang w:eastAsia="ko-KR"/>
        </w:rPr>
        <w:t>47</w:t>
      </w:r>
      <w:r w:rsidRPr="006E6D46">
        <w:rPr>
          <w:rFonts w:eastAsia="Malgun Gothic"/>
          <w:i/>
          <w:iCs/>
          <w:lang w:eastAsia="ko-KR"/>
        </w:rPr>
        <w:t>.</w:t>
      </w:r>
      <w:r>
        <w:rPr>
          <w:rFonts w:eastAsia="Malgun Gothic" w:hint="eastAsia"/>
          <w:i/>
          <w:iCs/>
          <w:lang w:eastAsia="ko-KR"/>
        </w:rPr>
        <w:t>1</w:t>
      </w:r>
      <w:r w:rsidRPr="006E6D46">
        <w:rPr>
          <w:rFonts w:ascii="Arial" w:eastAsia="Malgun Gothic" w:hAnsi="Arial" w:cs="Arial"/>
          <w:i/>
          <w:iCs/>
          <w:lang w:eastAsia="ko-KR"/>
        </w:rPr>
        <w:t> </w:t>
      </w:r>
      <w:r w:rsidRPr="006E6D46">
        <w:rPr>
          <w:rFonts w:ascii="Aptos" w:eastAsia="Malgun Gothic" w:hAnsi="Aptos" w:cs="Aptos"/>
          <w:i/>
          <w:iCs/>
          <w:lang w:eastAsia="ko-KR"/>
        </w:rPr>
        <w:t>±</w:t>
      </w:r>
      <w:r w:rsidRPr="006E6D46">
        <w:rPr>
          <w:rFonts w:ascii="Arial" w:eastAsia="Malgun Gothic" w:hAnsi="Arial" w:cs="Arial"/>
          <w:i/>
          <w:iCs/>
          <w:lang w:eastAsia="ko-KR"/>
        </w:rPr>
        <w:t> </w:t>
      </w:r>
      <w:r w:rsidRPr="006E6D46">
        <w:rPr>
          <w:rFonts w:eastAsia="Malgun Gothic"/>
          <w:i/>
          <w:iCs/>
          <w:lang w:eastAsia="ko-KR"/>
        </w:rPr>
        <w:t>10.</w:t>
      </w:r>
      <w:r>
        <w:rPr>
          <w:rFonts w:eastAsia="Malgun Gothic" w:hint="eastAsia"/>
          <w:i/>
          <w:iCs/>
          <w:lang w:eastAsia="ko-KR"/>
        </w:rPr>
        <w:t>5</w:t>
      </w:r>
      <w:r w:rsidRPr="006E6D46">
        <w:rPr>
          <w:rFonts w:eastAsia="Malgun Gothic"/>
          <w:i/>
          <w:iCs/>
          <w:lang w:eastAsia="ko-KR"/>
        </w:rPr>
        <w:t>%)</w:t>
      </w:r>
    </w:p>
    <w:p w14:paraId="7257E74C" w14:textId="77777777" w:rsidR="004E7EFB" w:rsidRDefault="004E7EFB" w:rsidP="004E7EFB">
      <w:pPr>
        <w:spacing w:after="240" w:line="440" w:lineRule="auto"/>
        <w:ind w:left="220" w:hanging="220"/>
        <w:rPr>
          <w:rFonts w:cstheme="minorHAnsi"/>
          <w:color w:val="000000"/>
        </w:rPr>
      </w:pPr>
    </w:p>
    <w:p w14:paraId="31513244" w14:textId="77777777" w:rsidR="004E7EFB" w:rsidRDefault="004E7EFB" w:rsidP="004E7EFB">
      <w:pPr>
        <w:spacing w:line="240" w:lineRule="auto"/>
        <w:ind w:left="216" w:hanging="216"/>
        <w:rPr>
          <w:rFonts w:cstheme="minorHAnsi"/>
          <w:b/>
          <w:bCs/>
          <w:color w:val="000000"/>
        </w:rPr>
      </w:pPr>
      <w:r w:rsidRPr="00300B5B">
        <w:rPr>
          <w:rFonts w:cstheme="minorHAnsi"/>
          <w:b/>
          <w:bCs/>
          <w:color w:val="000000"/>
        </w:rPr>
        <w:t>S</w:t>
      </w:r>
      <w:r>
        <w:rPr>
          <w:rFonts w:cstheme="minorHAnsi"/>
          <w:b/>
          <w:bCs/>
          <w:color w:val="000000"/>
        </w:rPr>
        <w:t>3</w:t>
      </w:r>
      <w:r w:rsidRPr="00300B5B">
        <w:rPr>
          <w:rFonts w:cstheme="minorHAnsi"/>
          <w:b/>
          <w:bCs/>
          <w:color w:val="000000"/>
        </w:rPr>
        <w:t xml:space="preserve">. </w:t>
      </w:r>
      <w:r w:rsidRPr="0046126F">
        <w:rPr>
          <w:rFonts w:cstheme="minorHAnsi"/>
          <w:b/>
          <w:bCs/>
          <w:color w:val="000000"/>
        </w:rPr>
        <w:t>Interaction</w:t>
      </w:r>
      <w:r w:rsidRPr="00300B5B">
        <w:rPr>
          <w:rFonts w:cstheme="minorHAnsi"/>
          <w:b/>
          <w:bCs/>
          <w:color w:val="000000"/>
        </w:rPr>
        <w:t xml:space="preserve"> between Dr</w:t>
      </w:r>
      <w:r>
        <w:rPr>
          <w:rFonts w:cstheme="minorHAnsi" w:hint="eastAsia"/>
          <w:b/>
          <w:bCs/>
          <w:color w:val="000000"/>
        </w:rPr>
        <w:t>u</w:t>
      </w:r>
      <w:r w:rsidRPr="00300B5B">
        <w:rPr>
          <w:rFonts w:cstheme="minorHAnsi"/>
          <w:b/>
          <w:bCs/>
          <w:color w:val="000000"/>
        </w:rPr>
        <w:t xml:space="preserve">g-Placebo and Lab-Home </w:t>
      </w:r>
    </w:p>
    <w:p w14:paraId="130224A9" w14:textId="77777777" w:rsidR="004E7EFB" w:rsidRDefault="004E7EFB" w:rsidP="004E7EFB">
      <w:pPr>
        <w:spacing w:after="120"/>
        <w:rPr>
          <w:rFonts w:cstheme="minorHAnsi"/>
          <w:color w:val="000000"/>
        </w:rPr>
      </w:pPr>
      <w:r w:rsidRPr="00300B5B">
        <w:rPr>
          <w:rFonts w:cstheme="minorHAnsi"/>
          <w:color w:val="000000"/>
        </w:rPr>
        <w:t>In the main text, we focused on the main effect of Drug-Placebo</w:t>
      </w:r>
      <w:r>
        <w:rPr>
          <w:rFonts w:cstheme="minorHAnsi" w:hint="eastAsia"/>
          <w:color w:val="000000"/>
        </w:rPr>
        <w:t xml:space="preserve">. Here, we report significant interaction between </w:t>
      </w:r>
      <w:r w:rsidRPr="00300B5B">
        <w:rPr>
          <w:rFonts w:cstheme="minorHAnsi"/>
          <w:color w:val="000000"/>
        </w:rPr>
        <w:t>Drug-Placebo and Lab-Home</w:t>
      </w:r>
      <w:r>
        <w:rPr>
          <w:rFonts w:cstheme="minorHAnsi" w:hint="eastAsia"/>
          <w:color w:val="000000"/>
        </w:rPr>
        <w:t xml:space="preserve"> found in seven electrodes. These results were not interpretable.</w:t>
      </w:r>
    </w:p>
    <w:p w14:paraId="54452596" w14:textId="77777777" w:rsidR="004E7EFB" w:rsidRDefault="004E7EFB" w:rsidP="004E7EFB">
      <w:pPr>
        <w:spacing w:after="240" w:line="440" w:lineRule="auto"/>
        <w:ind w:left="220" w:hanging="220"/>
        <w:rPr>
          <w:rFonts w:cstheme="minorHAnsi"/>
          <w:color w:val="000000"/>
        </w:rPr>
      </w:pPr>
      <w:r>
        <w:rPr>
          <w:rFonts w:cstheme="minorHAnsi" w:hint="eastAsia"/>
          <w:noProof/>
          <w:color w:val="000000"/>
        </w:rPr>
        <w:lastRenderedPageBreak/>
        <w:drawing>
          <wp:inline distT="0" distB="0" distL="0" distR="0" wp14:anchorId="21C74586" wp14:editId="74C2F912">
            <wp:extent cx="5943600" cy="3261360"/>
            <wp:effectExtent l="0" t="0" r="0" b="0"/>
            <wp:docPr id="1152020360" name="Picture 3" descr="A group of graphs showing the different types of cur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020360" name="Picture 3" descr="A group of graphs showing the different types of curv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FBC30" w14:textId="77777777" w:rsidR="004E7EFB" w:rsidRPr="00476FA2" w:rsidRDefault="004E7EFB" w:rsidP="004E7EFB">
      <w:pPr>
        <w:rPr>
          <w:rFonts w:cstheme="minorHAnsi"/>
          <w:color w:val="000000"/>
        </w:rPr>
      </w:pPr>
      <w:r w:rsidRPr="006E6D46">
        <w:rPr>
          <w:rFonts w:eastAsia="Malgun Gothic"/>
          <w:b/>
          <w:bCs/>
          <w:i/>
          <w:iCs/>
          <w:lang w:eastAsia="ko-KR"/>
        </w:rPr>
        <w:t>Figure</w:t>
      </w:r>
      <w:r w:rsidRPr="006E6D46">
        <w:rPr>
          <w:rFonts w:eastAsia="Malgun Gothic" w:hint="eastAsia"/>
          <w:b/>
          <w:bCs/>
          <w:i/>
          <w:iCs/>
          <w:lang w:eastAsia="ko-KR"/>
        </w:rPr>
        <w:t xml:space="preserve"> S</w:t>
      </w:r>
      <w:r>
        <w:rPr>
          <w:rFonts w:hint="eastAsia"/>
          <w:b/>
          <w:bCs/>
          <w:i/>
          <w:iCs/>
        </w:rPr>
        <w:t>2</w:t>
      </w:r>
      <w:r w:rsidRPr="006E6D46">
        <w:rPr>
          <w:rFonts w:eastAsia="Malgun Gothic" w:hint="eastAsia"/>
          <w:i/>
          <w:iCs/>
          <w:lang w:eastAsia="ko-KR"/>
        </w:rPr>
        <w:t xml:space="preserve">. </w:t>
      </w:r>
      <w:r w:rsidRPr="006E6D46">
        <w:rPr>
          <w:rFonts w:eastAsia="Malgun Gothic"/>
          <w:i/>
          <w:iCs/>
          <w:lang w:eastAsia="ko-KR"/>
        </w:rPr>
        <w:t xml:space="preserve"> </w:t>
      </w:r>
      <w:r w:rsidRPr="008C0076">
        <w:rPr>
          <w:rFonts w:ascii="Calibri" w:hAnsi="Calibri" w:cs="Calibri"/>
        </w:rPr>
        <w:t xml:space="preserve">Spectral exponent (SPEX) analysis for Lab-Home comparison for Placebo and Drug conditions using a 2 x 2 design. </w:t>
      </w:r>
      <w:r>
        <w:rPr>
          <w:rFonts w:ascii="Calibri" w:hAnsi="Calibri" w:cs="Calibri"/>
        </w:rPr>
        <w:t>S</w:t>
      </w:r>
      <w:r>
        <w:rPr>
          <w:rFonts w:ascii="Calibri" w:hAnsi="Calibri" w:cs="Calibri" w:hint="eastAsia"/>
        </w:rPr>
        <w:t>even electrode locations showed significant interactions.</w:t>
      </w:r>
    </w:p>
    <w:p w14:paraId="1D731274" w14:textId="77777777" w:rsidR="001E6C43" w:rsidRDefault="001E6C43"/>
    <w:sectPr w:rsidR="001E6C43" w:rsidSect="004E7EFB"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2E1B" w14:textId="77777777" w:rsidR="004E7EFB" w:rsidRDefault="004E7EFB">
    <w:pPr>
      <w:pStyle w:val="Footer"/>
      <w:jc w:val="center"/>
      <w:rPr>
        <w:rFonts w:ascii="Calibri" w:eastAsia="Calibri" w:hAnsi="Calibri" w:cs="Calibri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14:paraId="2B27CAB4" w14:textId="77777777" w:rsidR="004E7EFB" w:rsidRDefault="004E7EF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FB"/>
    <w:rsid w:val="00164917"/>
    <w:rsid w:val="001D1265"/>
    <w:rsid w:val="001E6C43"/>
    <w:rsid w:val="004A742B"/>
    <w:rsid w:val="004E7EFB"/>
    <w:rsid w:val="0055051C"/>
    <w:rsid w:val="0088005F"/>
    <w:rsid w:val="00942BDA"/>
    <w:rsid w:val="009A3DC3"/>
    <w:rsid w:val="00A21DDA"/>
    <w:rsid w:val="00EB7A04"/>
    <w:rsid w:val="00F10006"/>
    <w:rsid w:val="00F2543B"/>
    <w:rsid w:val="00F9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A06B"/>
  <w15:chartTrackingRefBased/>
  <w15:docId w15:val="{8CDB9B16-1C88-41A9-BE9E-A067226F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EFB"/>
    <w:pPr>
      <w:spacing w:line="259" w:lineRule="auto"/>
    </w:pPr>
    <w:rPr>
      <w:rFonts w:eastAsiaTheme="minorEastAsia"/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E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E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E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E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E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E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E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E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E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E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E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E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EF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E7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EFB"/>
    <w:pPr>
      <w:spacing w:line="278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4E7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EF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4E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E7EFB"/>
    <w:rPr>
      <w:rFonts w:eastAsiaTheme="minorEastAsia"/>
      <w:sz w:val="22"/>
      <w:szCs w:val="22"/>
      <w:lang w:eastAsia="ja-JP"/>
    </w:rPr>
  </w:style>
  <w:style w:type="character" w:styleId="LineNumber">
    <w:name w:val="line number"/>
    <w:basedOn w:val="DefaultParagraphFont"/>
    <w:uiPriority w:val="99"/>
    <w:semiHidden/>
    <w:unhideWhenUsed/>
    <w:rsid w:val="004E7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2704</Characters>
  <Application>Microsoft Office Word</Application>
  <DocSecurity>0</DocSecurity>
  <Lines>43</Lines>
  <Paragraphs>9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Stefano, Lisa</dc:creator>
  <cp:keywords/>
  <dc:description/>
  <cp:lastModifiedBy>De Stefano, Lisa</cp:lastModifiedBy>
  <cp:revision>2</cp:revision>
  <dcterms:created xsi:type="dcterms:W3CDTF">2025-10-15T13:09:00Z</dcterms:created>
  <dcterms:modified xsi:type="dcterms:W3CDTF">2025-10-15T14:15:00Z</dcterms:modified>
</cp:coreProperties>
</file>