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59338A" w14:textId="77777777" w:rsidR="008E6B62" w:rsidRDefault="008E6B62" w:rsidP="008E6B62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Supplementary Figures</w:t>
      </w:r>
    </w:p>
    <w:p w14:paraId="601AF4E5" w14:textId="77777777" w:rsidR="008E6B62" w:rsidRPr="009A69EE" w:rsidRDefault="008E6B62" w:rsidP="008E6B62">
      <w:pPr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  <w:noProof/>
        </w:rPr>
        <w:drawing>
          <wp:inline distT="0" distB="0" distL="0" distR="0" wp14:anchorId="70F9E560" wp14:editId="3DE186D1">
            <wp:extent cx="6670675" cy="4024630"/>
            <wp:effectExtent l="0" t="0" r="0" b="0"/>
            <wp:docPr id="24173965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0675" cy="4024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31E523" w14:textId="77777777" w:rsidR="008E6B62" w:rsidRDefault="008E6B62" w:rsidP="008E6B62">
      <w:pPr>
        <w:jc w:val="both"/>
        <w:rPr>
          <w:rFonts w:ascii="Arial" w:eastAsia="Arial" w:hAnsi="Arial" w:cs="Arial"/>
          <w:bCs/>
          <w:sz w:val="18"/>
          <w:szCs w:val="18"/>
        </w:rPr>
      </w:pPr>
      <w:r w:rsidRPr="009A69EE">
        <w:rPr>
          <w:rFonts w:ascii="Arial" w:eastAsia="Arial" w:hAnsi="Arial" w:cs="Arial"/>
          <w:b/>
          <w:bCs/>
          <w:sz w:val="18"/>
          <w:szCs w:val="18"/>
        </w:rPr>
        <w:t>Figure S</w:t>
      </w:r>
      <w:r>
        <w:rPr>
          <w:rFonts w:ascii="Arial" w:eastAsia="Arial" w:hAnsi="Arial" w:cs="Arial"/>
          <w:b/>
          <w:bCs/>
          <w:sz w:val="18"/>
          <w:szCs w:val="18"/>
        </w:rPr>
        <w:t>1</w:t>
      </w:r>
      <w:r w:rsidRPr="009A69EE">
        <w:rPr>
          <w:rFonts w:ascii="Arial" w:eastAsia="Arial" w:hAnsi="Arial" w:cs="Arial"/>
          <w:b/>
          <w:bCs/>
          <w:sz w:val="18"/>
          <w:szCs w:val="18"/>
        </w:rPr>
        <w:t xml:space="preserve">: </w:t>
      </w:r>
      <w:r w:rsidRPr="001301E5">
        <w:rPr>
          <w:rFonts w:ascii="Arial" w:eastAsia="Arial" w:hAnsi="Arial" w:cs="Arial"/>
          <w:b/>
          <w:sz w:val="18"/>
          <w:szCs w:val="18"/>
        </w:rPr>
        <w:t>Immune cell group scRNA-seq data. (A)</w:t>
      </w:r>
      <w:r>
        <w:rPr>
          <w:rFonts w:ascii="Arial" w:eastAsia="Arial" w:hAnsi="Arial" w:cs="Arial"/>
          <w:bCs/>
          <w:sz w:val="18"/>
          <w:szCs w:val="18"/>
        </w:rPr>
        <w:t xml:space="preserve"> Immune cell group UMAP and </w:t>
      </w:r>
      <w:r w:rsidRPr="009A69EE">
        <w:rPr>
          <w:rFonts w:ascii="Arial" w:eastAsia="Arial" w:hAnsi="Arial" w:cs="Arial"/>
          <w:sz w:val="18"/>
          <w:szCs w:val="18"/>
        </w:rPr>
        <w:t>bar chart depicting the ratio between the clusters in shNT and shLOX groups</w:t>
      </w:r>
      <w:r>
        <w:rPr>
          <w:rFonts w:ascii="Arial" w:eastAsia="Arial" w:hAnsi="Arial" w:cs="Arial"/>
          <w:sz w:val="18"/>
          <w:szCs w:val="18"/>
        </w:rPr>
        <w:t xml:space="preserve">. </w:t>
      </w:r>
      <w:r w:rsidRPr="001301E5">
        <w:rPr>
          <w:rFonts w:ascii="Arial" w:eastAsia="Arial" w:hAnsi="Arial" w:cs="Arial"/>
          <w:b/>
          <w:bCs/>
          <w:sz w:val="18"/>
          <w:szCs w:val="18"/>
        </w:rPr>
        <w:t>(B)</w:t>
      </w:r>
      <w:r>
        <w:rPr>
          <w:rFonts w:ascii="Arial" w:eastAsia="Arial" w:hAnsi="Arial" w:cs="Arial"/>
          <w:sz w:val="18"/>
          <w:szCs w:val="18"/>
        </w:rPr>
        <w:t xml:space="preserve"> Immune cell group heat map with marker genes. </w:t>
      </w:r>
      <w:r w:rsidRPr="001301E5">
        <w:rPr>
          <w:rFonts w:ascii="Arial" w:eastAsia="Arial" w:hAnsi="Arial" w:cs="Arial"/>
          <w:b/>
          <w:bCs/>
          <w:sz w:val="18"/>
          <w:szCs w:val="18"/>
        </w:rPr>
        <w:t xml:space="preserve">(C) </w:t>
      </w:r>
      <w:r>
        <w:rPr>
          <w:rFonts w:ascii="Arial" w:eastAsia="Arial" w:hAnsi="Arial" w:cs="Arial"/>
          <w:sz w:val="18"/>
          <w:szCs w:val="18"/>
        </w:rPr>
        <w:t xml:space="preserve">Immune cell group feature plot of Itgam and Ptprc. </w:t>
      </w:r>
      <w:r w:rsidRPr="001301E5">
        <w:rPr>
          <w:rFonts w:ascii="Arial" w:eastAsia="Arial" w:hAnsi="Arial" w:cs="Arial"/>
          <w:b/>
          <w:bCs/>
          <w:sz w:val="18"/>
          <w:szCs w:val="18"/>
        </w:rPr>
        <w:t xml:space="preserve">(D) </w:t>
      </w:r>
      <w:r>
        <w:rPr>
          <w:rFonts w:ascii="Arial" w:eastAsia="Arial" w:hAnsi="Arial" w:cs="Arial"/>
          <w:sz w:val="18"/>
          <w:szCs w:val="18"/>
        </w:rPr>
        <w:t xml:space="preserve">Immune cell group feature scatter plot and </w:t>
      </w:r>
      <w:r w:rsidRPr="001301E5">
        <w:rPr>
          <w:rFonts w:ascii="Arial" w:eastAsia="Arial" w:hAnsi="Arial" w:cs="Arial"/>
          <w:b/>
          <w:bCs/>
          <w:sz w:val="18"/>
          <w:szCs w:val="18"/>
        </w:rPr>
        <w:t>(E)</w:t>
      </w:r>
      <w:r>
        <w:rPr>
          <w:rFonts w:ascii="Arial" w:eastAsia="Arial" w:hAnsi="Arial" w:cs="Arial"/>
          <w:sz w:val="18"/>
          <w:szCs w:val="18"/>
        </w:rPr>
        <w:t xml:space="preserve"> Variable feature scatter plot.</w:t>
      </w:r>
    </w:p>
    <w:p w14:paraId="6630316D" w14:textId="77777777" w:rsidR="008E6B62" w:rsidRDefault="008E6B62" w:rsidP="008E6B62">
      <w:pPr>
        <w:jc w:val="both"/>
        <w:rPr>
          <w:rFonts w:ascii="Arial" w:eastAsia="Arial" w:hAnsi="Arial" w:cs="Arial"/>
          <w:bCs/>
          <w:sz w:val="18"/>
          <w:szCs w:val="18"/>
        </w:rPr>
      </w:pPr>
    </w:p>
    <w:p w14:paraId="61E507E6" w14:textId="77777777" w:rsidR="008E6B62" w:rsidRDefault="008E6B62" w:rsidP="008E6B62">
      <w:pPr>
        <w:jc w:val="both"/>
        <w:rPr>
          <w:rFonts w:ascii="Arial" w:eastAsia="Arial" w:hAnsi="Arial" w:cs="Arial"/>
          <w:bCs/>
          <w:sz w:val="18"/>
          <w:szCs w:val="18"/>
        </w:rPr>
      </w:pPr>
      <w:r>
        <w:rPr>
          <w:rFonts w:ascii="Arial" w:eastAsia="Arial" w:hAnsi="Arial" w:cs="Arial"/>
          <w:bCs/>
          <w:noProof/>
          <w:sz w:val="18"/>
          <w:szCs w:val="18"/>
        </w:rPr>
        <w:lastRenderedPageBreak/>
        <w:drawing>
          <wp:inline distT="0" distB="0" distL="0" distR="0" wp14:anchorId="0FFDCBFB" wp14:editId="16871DAC">
            <wp:extent cx="3859142" cy="5295900"/>
            <wp:effectExtent l="0" t="0" r="0" b="0"/>
            <wp:docPr id="58592647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3288" cy="530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6CF293" w14:textId="77777777" w:rsidR="008E6B62" w:rsidRDefault="008E6B62" w:rsidP="008E6B62">
      <w:pPr>
        <w:jc w:val="both"/>
        <w:rPr>
          <w:rFonts w:ascii="Arial" w:eastAsia="Arial" w:hAnsi="Arial" w:cs="Arial"/>
          <w:bCs/>
          <w:sz w:val="18"/>
          <w:szCs w:val="18"/>
        </w:rPr>
      </w:pPr>
      <w:r w:rsidRPr="00F36EDF">
        <w:rPr>
          <w:rFonts w:ascii="Arial" w:eastAsia="Arial" w:hAnsi="Arial" w:cs="Arial"/>
          <w:b/>
          <w:sz w:val="18"/>
          <w:szCs w:val="18"/>
        </w:rPr>
        <w:t xml:space="preserve">Fig S2: HTO-Breakdown and Keratin Feature Plots of Aged vs. Young ECM Tumors. (A) </w:t>
      </w:r>
      <w:r>
        <w:rPr>
          <w:rFonts w:ascii="Arial" w:eastAsia="Arial" w:hAnsi="Arial" w:cs="Arial"/>
          <w:bCs/>
          <w:sz w:val="18"/>
          <w:szCs w:val="18"/>
        </w:rPr>
        <w:t xml:space="preserve">RNA-Feature Chart. </w:t>
      </w:r>
      <w:r w:rsidRPr="00F36EDF">
        <w:rPr>
          <w:rFonts w:ascii="Arial" w:eastAsia="Arial" w:hAnsi="Arial" w:cs="Arial"/>
          <w:b/>
          <w:sz w:val="18"/>
          <w:szCs w:val="18"/>
        </w:rPr>
        <w:t>(B)</w:t>
      </w:r>
      <w:r>
        <w:rPr>
          <w:rFonts w:ascii="Arial" w:eastAsia="Arial" w:hAnsi="Arial" w:cs="Arial"/>
          <w:bCs/>
          <w:sz w:val="18"/>
          <w:szCs w:val="18"/>
        </w:rPr>
        <w:t xml:space="preserve"> RNA Count Chart. </w:t>
      </w:r>
    </w:p>
    <w:p w14:paraId="30A2BA16" w14:textId="77777777" w:rsidR="008E6B62" w:rsidRDefault="008E6B62" w:rsidP="008E6B62">
      <w:pPr>
        <w:jc w:val="both"/>
        <w:rPr>
          <w:rFonts w:ascii="Arial" w:eastAsia="Arial" w:hAnsi="Arial" w:cs="Arial"/>
          <w:bCs/>
          <w:sz w:val="18"/>
          <w:szCs w:val="18"/>
        </w:rPr>
      </w:pPr>
    </w:p>
    <w:p w14:paraId="6DC998CF" w14:textId="77777777" w:rsidR="008E6B62" w:rsidRDefault="008E6B62" w:rsidP="008E6B62">
      <w:pPr>
        <w:jc w:val="both"/>
        <w:rPr>
          <w:rFonts w:ascii="Arial" w:eastAsia="Arial" w:hAnsi="Arial" w:cs="Arial"/>
          <w:bCs/>
          <w:sz w:val="18"/>
          <w:szCs w:val="18"/>
        </w:rPr>
      </w:pPr>
      <w:r>
        <w:rPr>
          <w:rFonts w:ascii="Arial" w:eastAsia="Arial" w:hAnsi="Arial" w:cs="Arial"/>
          <w:bCs/>
          <w:noProof/>
          <w:sz w:val="18"/>
          <w:szCs w:val="18"/>
        </w:rPr>
        <w:lastRenderedPageBreak/>
        <w:drawing>
          <wp:inline distT="0" distB="0" distL="0" distR="0" wp14:anchorId="588A1FE2" wp14:editId="45F5F71F">
            <wp:extent cx="4533900" cy="5664139"/>
            <wp:effectExtent l="0" t="0" r="0" b="0"/>
            <wp:docPr id="12112085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0343" cy="5672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F82D97" w14:textId="77777777" w:rsidR="008E6B62" w:rsidRPr="001301E5" w:rsidRDefault="008E6B62" w:rsidP="008E6B62">
      <w:pPr>
        <w:jc w:val="both"/>
        <w:rPr>
          <w:rFonts w:ascii="Arial" w:eastAsia="Arial" w:hAnsi="Arial" w:cs="Arial"/>
          <w:b/>
          <w:sz w:val="18"/>
          <w:szCs w:val="18"/>
        </w:rPr>
      </w:pPr>
      <w:r w:rsidRPr="001301E5">
        <w:rPr>
          <w:rFonts w:ascii="Arial" w:eastAsia="Arial" w:hAnsi="Arial" w:cs="Arial"/>
          <w:b/>
          <w:sz w:val="18"/>
          <w:szCs w:val="18"/>
        </w:rPr>
        <w:t>Fig S3: Violin Plots with Significantly Upregulated Genes on the Aged ECM.</w:t>
      </w:r>
    </w:p>
    <w:p w14:paraId="62C73571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B62"/>
    <w:rsid w:val="003C2EF4"/>
    <w:rsid w:val="00446799"/>
    <w:rsid w:val="006A7E07"/>
    <w:rsid w:val="00701021"/>
    <w:rsid w:val="008E6B62"/>
    <w:rsid w:val="00921328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86F323"/>
  <w15:chartTrackingRefBased/>
  <w15:docId w15:val="{5294613F-D976-4E22-A15B-4EB9C3D4C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B62"/>
    <w:pPr>
      <w:spacing w:line="259" w:lineRule="auto"/>
    </w:pPr>
    <w:rPr>
      <w:rFonts w:ascii="Aptos" w:eastAsia="Aptos" w:hAnsi="Aptos" w:cs="Aptos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6B6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6B6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6B6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6B6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6B6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6B62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6B62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6B62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6B62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6B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6B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6B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6B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6B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6B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6B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6B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6B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6B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E6B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6B62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E6B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6B62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E6B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6B62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E6B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6B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6B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6B6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78</Words>
  <Characters>491</Characters>
  <Application>Microsoft Office Word</Application>
  <DocSecurity>0</DocSecurity>
  <Lines>7</Lines>
  <Paragraphs>1</Paragraphs>
  <ScaleCrop>false</ScaleCrop>
  <Company>Springer Nature</Company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2025-11-11T08:22:00Z</dcterms:created>
  <dcterms:modified xsi:type="dcterms:W3CDTF">2025-11-11T08:22:00Z</dcterms:modified>
</cp:coreProperties>
</file>