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4B92" w14:textId="4E543F4D" w:rsidR="00566898" w:rsidRDefault="00566898" w:rsidP="00566898">
      <w:pPr>
        <w:spacing w:line="360" w:lineRule="auto"/>
        <w:rPr>
          <w:rFonts w:ascii="Times New Roman" w:hAnsi="Times New Roman" w:cs="Times New Roman"/>
          <w:b/>
          <w:bCs/>
        </w:rPr>
      </w:pPr>
      <w:r w:rsidRPr="00566898">
        <w:rPr>
          <w:rFonts w:ascii="Times New Roman" w:hAnsi="Times New Roman" w:cs="Times New Roman"/>
          <w:b/>
          <w:bCs/>
        </w:rPr>
        <w:t xml:space="preserve">Supplementary </w:t>
      </w:r>
      <w:r w:rsidRPr="00566898">
        <w:rPr>
          <w:rFonts w:ascii="Times New Roman" w:hAnsi="Times New Roman" w:cs="Times New Roman"/>
          <w:b/>
          <w:bCs/>
        </w:rPr>
        <w:t>Materials</w:t>
      </w:r>
    </w:p>
    <w:p w14:paraId="110D483D" w14:textId="77777777" w:rsidR="00566898" w:rsidRPr="00566898" w:rsidRDefault="00566898" w:rsidP="00566898">
      <w:pPr>
        <w:spacing w:line="360" w:lineRule="auto"/>
        <w:rPr>
          <w:rFonts w:ascii="Times New Roman" w:hAnsi="Times New Roman" w:cs="Times New Roman"/>
          <w:b/>
          <w:bCs/>
        </w:rPr>
      </w:pPr>
    </w:p>
    <w:p w14:paraId="6FADF0DE" w14:textId="2398CA86" w:rsidR="00566898" w:rsidRPr="00E30846" w:rsidRDefault="00566898" w:rsidP="00566898">
      <w:pPr>
        <w:spacing w:line="360" w:lineRule="auto"/>
        <w:rPr>
          <w:rFonts w:ascii="Times New Roman" w:hAnsi="Times New Roman" w:cs="Times New Roman"/>
          <w:b/>
          <w:bCs/>
        </w:rPr>
      </w:pPr>
      <w:r w:rsidRPr="00566898">
        <w:rPr>
          <w:rFonts w:ascii="Times New Roman" w:hAnsi="Times New Roman" w:cs="Times New Roman"/>
          <w:b/>
          <w:bCs/>
        </w:rPr>
        <w:t>Supplementary</w:t>
      </w:r>
      <w:r w:rsidRPr="00E30846">
        <w:rPr>
          <w:rFonts w:ascii="Times New Roman" w:hAnsi="Times New Roman" w:cs="Times New Roman"/>
          <w:b/>
          <w:bCs/>
        </w:rPr>
        <w:t xml:space="preserve"> </w:t>
      </w:r>
      <w:r w:rsidRPr="00E30846">
        <w:rPr>
          <w:rFonts w:ascii="Times New Roman" w:hAnsi="Times New Roman" w:cs="Times New Roman"/>
          <w:b/>
          <w:bCs/>
        </w:rPr>
        <w:t>Table 1 The results of coagulation and thrombophilia screening</w:t>
      </w:r>
    </w:p>
    <w:tbl>
      <w:tblPr>
        <w:tblStyle w:val="a3"/>
        <w:tblW w:w="0" w:type="auto"/>
        <w:tblLook w:val="04A0" w:firstRow="1" w:lastRow="0" w:firstColumn="1" w:lastColumn="0" w:noHBand="0" w:noVBand="1"/>
      </w:tblPr>
      <w:tblGrid>
        <w:gridCol w:w="3351"/>
        <w:gridCol w:w="2312"/>
        <w:gridCol w:w="2576"/>
      </w:tblGrid>
      <w:tr w:rsidR="00566898" w:rsidRPr="00E30846" w14:paraId="34CDE821" w14:textId="77777777" w:rsidTr="00816C0A">
        <w:trPr>
          <w:trHeight w:val="298"/>
        </w:trPr>
        <w:tc>
          <w:tcPr>
            <w:tcW w:w="3351" w:type="dxa"/>
          </w:tcPr>
          <w:p w14:paraId="7EFE6CE8"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Coagulation screening</w:t>
            </w:r>
          </w:p>
        </w:tc>
        <w:tc>
          <w:tcPr>
            <w:tcW w:w="2312" w:type="dxa"/>
          </w:tcPr>
          <w:p w14:paraId="01A4EEA8"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Result</w:t>
            </w:r>
          </w:p>
        </w:tc>
        <w:tc>
          <w:tcPr>
            <w:tcW w:w="2576" w:type="dxa"/>
          </w:tcPr>
          <w:p w14:paraId="2F644593"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Reference interval</w:t>
            </w:r>
          </w:p>
        </w:tc>
      </w:tr>
      <w:tr w:rsidR="00566898" w:rsidRPr="00E30846" w14:paraId="0B1D19B2" w14:textId="77777777" w:rsidTr="00816C0A">
        <w:trPr>
          <w:trHeight w:val="298"/>
        </w:trPr>
        <w:tc>
          <w:tcPr>
            <w:tcW w:w="3351" w:type="dxa"/>
          </w:tcPr>
          <w:p w14:paraId="5A4F0328"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PT(s)</w:t>
            </w:r>
          </w:p>
        </w:tc>
        <w:tc>
          <w:tcPr>
            <w:tcW w:w="2312" w:type="dxa"/>
          </w:tcPr>
          <w:p w14:paraId="2438EA77"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13.4</w:t>
            </w:r>
          </w:p>
        </w:tc>
        <w:tc>
          <w:tcPr>
            <w:tcW w:w="2576" w:type="dxa"/>
          </w:tcPr>
          <w:p w14:paraId="3687999E"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10-16.7</w:t>
            </w:r>
          </w:p>
        </w:tc>
      </w:tr>
      <w:tr w:rsidR="00566898" w:rsidRPr="00E30846" w14:paraId="663B2CD2" w14:textId="77777777" w:rsidTr="00816C0A">
        <w:trPr>
          <w:trHeight w:val="307"/>
        </w:trPr>
        <w:tc>
          <w:tcPr>
            <w:tcW w:w="3351" w:type="dxa"/>
          </w:tcPr>
          <w:p w14:paraId="766F663A"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APTT(s)</w:t>
            </w:r>
          </w:p>
        </w:tc>
        <w:tc>
          <w:tcPr>
            <w:tcW w:w="2312" w:type="dxa"/>
          </w:tcPr>
          <w:p w14:paraId="2AB1B17D"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39.1</w:t>
            </w:r>
          </w:p>
        </w:tc>
        <w:tc>
          <w:tcPr>
            <w:tcW w:w="2576" w:type="dxa"/>
          </w:tcPr>
          <w:p w14:paraId="7DF2C9F8"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20-47</w:t>
            </w:r>
          </w:p>
        </w:tc>
      </w:tr>
      <w:tr w:rsidR="00566898" w:rsidRPr="00E30846" w14:paraId="420A5CF9" w14:textId="77777777" w:rsidTr="00816C0A">
        <w:trPr>
          <w:trHeight w:val="298"/>
        </w:trPr>
        <w:tc>
          <w:tcPr>
            <w:tcW w:w="3351" w:type="dxa"/>
          </w:tcPr>
          <w:p w14:paraId="07336CB4"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Fibrinogen(g/L)</w:t>
            </w:r>
          </w:p>
        </w:tc>
        <w:tc>
          <w:tcPr>
            <w:tcW w:w="2312" w:type="dxa"/>
          </w:tcPr>
          <w:p w14:paraId="5ADDE4E5"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2.56</w:t>
            </w:r>
          </w:p>
        </w:tc>
        <w:tc>
          <w:tcPr>
            <w:tcW w:w="2576" w:type="dxa"/>
          </w:tcPr>
          <w:p w14:paraId="0DA3052E"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2-4</w:t>
            </w:r>
          </w:p>
        </w:tc>
      </w:tr>
      <w:tr w:rsidR="00566898" w:rsidRPr="00E30846" w14:paraId="40BD5DBD" w14:textId="77777777" w:rsidTr="00816C0A">
        <w:trPr>
          <w:trHeight w:val="298"/>
        </w:trPr>
        <w:tc>
          <w:tcPr>
            <w:tcW w:w="3351" w:type="dxa"/>
          </w:tcPr>
          <w:p w14:paraId="229D9D31"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Thrombin time</w:t>
            </w:r>
          </w:p>
        </w:tc>
        <w:tc>
          <w:tcPr>
            <w:tcW w:w="2312" w:type="dxa"/>
          </w:tcPr>
          <w:p w14:paraId="13A42763"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17.3</w:t>
            </w:r>
          </w:p>
        </w:tc>
        <w:tc>
          <w:tcPr>
            <w:tcW w:w="2576" w:type="dxa"/>
          </w:tcPr>
          <w:p w14:paraId="1B87B87D"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14-21</w:t>
            </w:r>
          </w:p>
        </w:tc>
      </w:tr>
      <w:tr w:rsidR="00566898" w:rsidRPr="00E30846" w14:paraId="1DE11A91" w14:textId="77777777" w:rsidTr="00816C0A">
        <w:trPr>
          <w:trHeight w:val="298"/>
        </w:trPr>
        <w:tc>
          <w:tcPr>
            <w:tcW w:w="3351" w:type="dxa"/>
          </w:tcPr>
          <w:p w14:paraId="3BC1FCB1"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Thrombophilia screening</w:t>
            </w:r>
          </w:p>
        </w:tc>
        <w:tc>
          <w:tcPr>
            <w:tcW w:w="2312" w:type="dxa"/>
          </w:tcPr>
          <w:p w14:paraId="1C07F4C2"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Result</w:t>
            </w:r>
          </w:p>
        </w:tc>
        <w:tc>
          <w:tcPr>
            <w:tcW w:w="2576" w:type="dxa"/>
          </w:tcPr>
          <w:p w14:paraId="784583E0"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Reference interval</w:t>
            </w:r>
          </w:p>
        </w:tc>
      </w:tr>
      <w:tr w:rsidR="00566898" w:rsidRPr="00E30846" w14:paraId="017CA987" w14:textId="77777777" w:rsidTr="00816C0A">
        <w:trPr>
          <w:trHeight w:val="298"/>
        </w:trPr>
        <w:tc>
          <w:tcPr>
            <w:tcW w:w="3351" w:type="dxa"/>
          </w:tcPr>
          <w:p w14:paraId="5FC4FF9F"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Antithrombin activity (%)</w:t>
            </w:r>
          </w:p>
        </w:tc>
        <w:tc>
          <w:tcPr>
            <w:tcW w:w="2312" w:type="dxa"/>
          </w:tcPr>
          <w:p w14:paraId="238F5386"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103</w:t>
            </w:r>
          </w:p>
        </w:tc>
        <w:tc>
          <w:tcPr>
            <w:tcW w:w="2576" w:type="dxa"/>
          </w:tcPr>
          <w:p w14:paraId="4C841093"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80-120</w:t>
            </w:r>
          </w:p>
        </w:tc>
      </w:tr>
      <w:tr w:rsidR="00566898" w:rsidRPr="00E30846" w14:paraId="70338974" w14:textId="77777777" w:rsidTr="00816C0A">
        <w:trPr>
          <w:trHeight w:val="307"/>
        </w:trPr>
        <w:tc>
          <w:tcPr>
            <w:tcW w:w="3351" w:type="dxa"/>
          </w:tcPr>
          <w:p w14:paraId="26805685"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Protein C activity</w:t>
            </w:r>
          </w:p>
        </w:tc>
        <w:tc>
          <w:tcPr>
            <w:tcW w:w="2312" w:type="dxa"/>
          </w:tcPr>
          <w:p w14:paraId="2483E1D2"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41</w:t>
            </w:r>
          </w:p>
        </w:tc>
        <w:tc>
          <w:tcPr>
            <w:tcW w:w="2576" w:type="dxa"/>
          </w:tcPr>
          <w:p w14:paraId="727AE86D"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70-130</w:t>
            </w:r>
          </w:p>
        </w:tc>
      </w:tr>
      <w:tr w:rsidR="00566898" w:rsidRPr="00E30846" w14:paraId="7F6DC75E" w14:textId="77777777" w:rsidTr="00816C0A">
        <w:trPr>
          <w:trHeight w:val="298"/>
        </w:trPr>
        <w:tc>
          <w:tcPr>
            <w:tcW w:w="3351" w:type="dxa"/>
          </w:tcPr>
          <w:p w14:paraId="042D264C"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Protein S activity</w:t>
            </w:r>
          </w:p>
        </w:tc>
        <w:tc>
          <w:tcPr>
            <w:tcW w:w="2312" w:type="dxa"/>
          </w:tcPr>
          <w:p w14:paraId="5322EE86"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126.1</w:t>
            </w:r>
          </w:p>
        </w:tc>
        <w:tc>
          <w:tcPr>
            <w:tcW w:w="2576" w:type="dxa"/>
          </w:tcPr>
          <w:p w14:paraId="7E257E5E"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55-140</w:t>
            </w:r>
          </w:p>
        </w:tc>
      </w:tr>
    </w:tbl>
    <w:p w14:paraId="31865EA8" w14:textId="50802110" w:rsidR="002B7C8A" w:rsidRDefault="002B7C8A" w:rsidP="00566898">
      <w:pPr>
        <w:spacing w:line="360" w:lineRule="auto"/>
        <w:rPr>
          <w:rFonts w:ascii="Times New Roman" w:hAnsi="Times New Roman" w:cs="Times New Roman"/>
          <w:b/>
          <w:bCs/>
        </w:rPr>
      </w:pPr>
    </w:p>
    <w:p w14:paraId="5E8146B1" w14:textId="77777777" w:rsidR="002B7C8A" w:rsidRDefault="002B7C8A">
      <w:pPr>
        <w:rPr>
          <w:rFonts w:ascii="Times New Roman" w:hAnsi="Times New Roman" w:cs="Times New Roman"/>
          <w:b/>
          <w:bCs/>
        </w:rPr>
      </w:pPr>
      <w:r>
        <w:rPr>
          <w:rFonts w:ascii="Times New Roman" w:hAnsi="Times New Roman" w:cs="Times New Roman"/>
          <w:b/>
          <w:bCs/>
        </w:rPr>
        <w:br w:type="page"/>
      </w:r>
    </w:p>
    <w:p w14:paraId="50786A58" w14:textId="230B0202" w:rsidR="00566898" w:rsidRPr="00E30846" w:rsidRDefault="00566898" w:rsidP="00566898">
      <w:r w:rsidRPr="00566898">
        <w:rPr>
          <w:rFonts w:ascii="Times New Roman" w:hAnsi="Times New Roman" w:cs="Times New Roman"/>
          <w:b/>
          <w:bCs/>
        </w:rPr>
        <w:lastRenderedPageBreak/>
        <w:t>Supplementary</w:t>
      </w:r>
      <w:r w:rsidRPr="00E30846">
        <w:rPr>
          <w:rFonts w:ascii="Times New Roman" w:hAnsi="Times New Roman" w:cs="Times New Roman"/>
          <w:b/>
          <w:bCs/>
        </w:rPr>
        <w:t xml:space="preserve"> </w:t>
      </w:r>
      <w:r w:rsidRPr="00E30846">
        <w:rPr>
          <w:rFonts w:ascii="Times New Roman" w:hAnsi="Times New Roman" w:cs="Times New Roman"/>
          <w:b/>
          <w:bCs/>
        </w:rPr>
        <w:t>Table 2 Genetic analysis reported a heterozygous mutation</w:t>
      </w:r>
      <w:r>
        <w:rPr>
          <w:rFonts w:ascii="Times New Roman" w:hAnsi="Times New Roman" w:cs="Times New Roman"/>
          <w:b/>
          <w:bCs/>
        </w:rPr>
        <w:t xml:space="preserve"> </w:t>
      </w:r>
      <w:r>
        <w:rPr>
          <w:rFonts w:ascii="Times New Roman" w:hAnsi="Times New Roman" w:cs="Times New Roman" w:hint="eastAsia"/>
          <w:b/>
          <w:bCs/>
        </w:rPr>
        <w:t>in</w:t>
      </w:r>
      <w:r>
        <w:rPr>
          <w:rFonts w:ascii="Times New Roman" w:hAnsi="Times New Roman" w:cs="Times New Roman"/>
          <w:b/>
          <w:bCs/>
        </w:rPr>
        <w:t xml:space="preserve"> </w:t>
      </w:r>
      <w:r>
        <w:rPr>
          <w:rFonts w:ascii="Times New Roman" w:hAnsi="Times New Roman" w:cs="Times New Roman" w:hint="eastAsia"/>
          <w:b/>
          <w:bCs/>
        </w:rPr>
        <w:t>PROC</w:t>
      </w:r>
    </w:p>
    <w:p w14:paraId="369494F3" w14:textId="77777777" w:rsidR="00566898" w:rsidRPr="00E30846" w:rsidRDefault="00566898" w:rsidP="00566898">
      <w:pPr>
        <w:spacing w:line="360" w:lineRule="auto"/>
        <w:rPr>
          <w:rFonts w:ascii="Times New Roman" w:hAnsi="Times New Roman" w:cs="Times New Roman"/>
          <w:b/>
          <w:bCs/>
        </w:rPr>
      </w:pPr>
    </w:p>
    <w:tbl>
      <w:tblPr>
        <w:tblStyle w:val="a3"/>
        <w:tblW w:w="0" w:type="auto"/>
        <w:tblLook w:val="04A0" w:firstRow="1" w:lastRow="0" w:firstColumn="1" w:lastColumn="0" w:noHBand="0" w:noVBand="1"/>
      </w:tblPr>
      <w:tblGrid>
        <w:gridCol w:w="4148"/>
        <w:gridCol w:w="4148"/>
      </w:tblGrid>
      <w:tr w:rsidR="00566898" w:rsidRPr="00E30846" w14:paraId="43AD9C10" w14:textId="77777777" w:rsidTr="00816C0A">
        <w:tc>
          <w:tcPr>
            <w:tcW w:w="8296" w:type="dxa"/>
            <w:gridSpan w:val="2"/>
          </w:tcPr>
          <w:p w14:paraId="7D230617"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Genetic analysis report</w:t>
            </w:r>
          </w:p>
        </w:tc>
      </w:tr>
      <w:tr w:rsidR="00566898" w:rsidRPr="00E30846" w14:paraId="0041B446" w14:textId="77777777" w:rsidTr="00816C0A">
        <w:tc>
          <w:tcPr>
            <w:tcW w:w="4148" w:type="dxa"/>
          </w:tcPr>
          <w:p w14:paraId="7648E774"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Gene</w:t>
            </w:r>
          </w:p>
        </w:tc>
        <w:tc>
          <w:tcPr>
            <w:tcW w:w="4148" w:type="dxa"/>
          </w:tcPr>
          <w:p w14:paraId="65E43E95"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PROC</w:t>
            </w:r>
          </w:p>
        </w:tc>
      </w:tr>
      <w:tr w:rsidR="00566898" w:rsidRPr="00E30846" w14:paraId="2EA8CEB8" w14:textId="77777777" w:rsidTr="00816C0A">
        <w:tc>
          <w:tcPr>
            <w:tcW w:w="4148" w:type="dxa"/>
          </w:tcPr>
          <w:p w14:paraId="73AD823F"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 xml:space="preserve">Transcript Exon </w:t>
            </w:r>
          </w:p>
        </w:tc>
        <w:tc>
          <w:tcPr>
            <w:tcW w:w="4148" w:type="dxa"/>
          </w:tcPr>
          <w:p w14:paraId="626A9A28"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NM_000312 exon9</w:t>
            </w:r>
          </w:p>
        </w:tc>
      </w:tr>
      <w:tr w:rsidR="00566898" w:rsidRPr="00E30846" w14:paraId="1D2A9338" w14:textId="77777777" w:rsidTr="00816C0A">
        <w:tc>
          <w:tcPr>
            <w:tcW w:w="4148" w:type="dxa"/>
          </w:tcPr>
          <w:p w14:paraId="1D0F28AF"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The change of Nucleotide and Amino acid</w:t>
            </w:r>
          </w:p>
        </w:tc>
        <w:tc>
          <w:tcPr>
            <w:tcW w:w="4148" w:type="dxa"/>
          </w:tcPr>
          <w:p w14:paraId="6998921F"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c. 1015G&gt;A   p. V339M</w:t>
            </w:r>
          </w:p>
        </w:tc>
      </w:tr>
      <w:tr w:rsidR="00566898" w:rsidRPr="00E30846" w14:paraId="18CA847C" w14:textId="77777777" w:rsidTr="00816C0A">
        <w:tc>
          <w:tcPr>
            <w:tcW w:w="4148" w:type="dxa"/>
          </w:tcPr>
          <w:p w14:paraId="055E8AA9"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Chromosomal location</w:t>
            </w:r>
          </w:p>
        </w:tc>
        <w:tc>
          <w:tcPr>
            <w:tcW w:w="4148" w:type="dxa"/>
          </w:tcPr>
          <w:p w14:paraId="16FA3B88"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Chr2.128186151</w:t>
            </w:r>
          </w:p>
        </w:tc>
      </w:tr>
      <w:tr w:rsidR="00566898" w:rsidRPr="00E30846" w14:paraId="6ED2E0A2" w14:textId="77777777" w:rsidTr="00816C0A">
        <w:tc>
          <w:tcPr>
            <w:tcW w:w="4148" w:type="dxa"/>
          </w:tcPr>
          <w:p w14:paraId="2C4945BE" w14:textId="77777777" w:rsidR="00566898" w:rsidRPr="00E30846" w:rsidRDefault="00566898" w:rsidP="00816C0A">
            <w:pPr>
              <w:spacing w:line="360" w:lineRule="auto"/>
              <w:rPr>
                <w:rFonts w:ascii="Times New Roman" w:hAnsi="Times New Roman" w:cs="Times New Roman"/>
                <w:b/>
                <w:bCs/>
              </w:rPr>
            </w:pPr>
            <w:r w:rsidRPr="00E30846">
              <w:rPr>
                <w:rFonts w:ascii="Times New Roman" w:hAnsi="Times New Roman" w:cs="Times New Roman"/>
                <w:b/>
                <w:bCs/>
              </w:rPr>
              <w:t>Genotype</w:t>
            </w:r>
          </w:p>
        </w:tc>
        <w:tc>
          <w:tcPr>
            <w:tcW w:w="4148" w:type="dxa"/>
          </w:tcPr>
          <w:p w14:paraId="12054273"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Heterozygote</w:t>
            </w:r>
          </w:p>
        </w:tc>
      </w:tr>
    </w:tbl>
    <w:p w14:paraId="2B00A329" w14:textId="77777777" w:rsidR="00566898" w:rsidRPr="00E30846" w:rsidRDefault="00566898" w:rsidP="00566898">
      <w:pPr>
        <w:spacing w:line="360" w:lineRule="auto"/>
        <w:rPr>
          <w:rFonts w:ascii="Times New Roman" w:hAnsi="Times New Roman" w:cs="Times New Roman"/>
        </w:rPr>
      </w:pPr>
    </w:p>
    <w:p w14:paraId="52801C8F" w14:textId="7858DB64" w:rsidR="00566898" w:rsidRDefault="00566898" w:rsidP="00566898">
      <w:pPr>
        <w:rPr>
          <w:rFonts w:ascii="Times New Roman" w:hAnsi="Times New Roman" w:cs="Times New Roman"/>
          <w:b/>
          <w:bCs/>
        </w:rPr>
      </w:pPr>
    </w:p>
    <w:p w14:paraId="2F88E458" w14:textId="77777777" w:rsidR="002B7C8A" w:rsidRDefault="002B7C8A">
      <w:pPr>
        <w:rPr>
          <w:rFonts w:ascii="Times New Roman" w:hAnsi="Times New Roman" w:cs="Times New Roman"/>
          <w:b/>
          <w:bCs/>
        </w:rPr>
      </w:pPr>
      <w:r>
        <w:rPr>
          <w:rFonts w:ascii="Times New Roman" w:hAnsi="Times New Roman" w:cs="Times New Roman"/>
          <w:b/>
          <w:bCs/>
        </w:rPr>
        <w:br w:type="page"/>
      </w:r>
    </w:p>
    <w:p w14:paraId="17D46A6D" w14:textId="2081D303" w:rsidR="00566898" w:rsidRPr="00E30846" w:rsidRDefault="00566898" w:rsidP="00566898">
      <w:pPr>
        <w:spacing w:line="360" w:lineRule="auto"/>
        <w:rPr>
          <w:rFonts w:ascii="Times New Roman" w:hAnsi="Times New Roman" w:cs="Times New Roman"/>
        </w:rPr>
      </w:pPr>
      <w:r w:rsidRPr="00566898">
        <w:rPr>
          <w:rFonts w:ascii="Times New Roman" w:hAnsi="Times New Roman" w:cs="Times New Roman"/>
          <w:b/>
          <w:bCs/>
        </w:rPr>
        <w:lastRenderedPageBreak/>
        <w:t>Supplementary</w:t>
      </w:r>
      <w:r w:rsidRPr="00E30846">
        <w:rPr>
          <w:rFonts w:ascii="Times New Roman" w:hAnsi="Times New Roman" w:cs="Times New Roman"/>
          <w:b/>
          <w:bCs/>
        </w:rPr>
        <w:t xml:space="preserve"> </w:t>
      </w:r>
      <w:r w:rsidRPr="00E30846">
        <w:rPr>
          <w:rFonts w:ascii="Times New Roman" w:hAnsi="Times New Roman" w:cs="Times New Roman"/>
          <w:b/>
          <w:bCs/>
        </w:rPr>
        <w:t>Table 3 Report of genetic testing for individualized anticoagulant drug use guidance</w:t>
      </w:r>
    </w:p>
    <w:tbl>
      <w:tblPr>
        <w:tblStyle w:val="a3"/>
        <w:tblW w:w="8296" w:type="dxa"/>
        <w:tblLayout w:type="fixed"/>
        <w:tblLook w:val="04A0" w:firstRow="1" w:lastRow="0" w:firstColumn="1" w:lastColumn="0" w:noHBand="0" w:noVBand="1"/>
      </w:tblPr>
      <w:tblGrid>
        <w:gridCol w:w="1413"/>
        <w:gridCol w:w="1134"/>
        <w:gridCol w:w="1276"/>
        <w:gridCol w:w="992"/>
        <w:gridCol w:w="2122"/>
        <w:gridCol w:w="1359"/>
      </w:tblGrid>
      <w:tr w:rsidR="00566898" w:rsidRPr="00E30846" w14:paraId="6273E424" w14:textId="77777777" w:rsidTr="00816C0A">
        <w:trPr>
          <w:trHeight w:val="218"/>
        </w:trPr>
        <w:tc>
          <w:tcPr>
            <w:tcW w:w="8296" w:type="dxa"/>
            <w:gridSpan w:val="6"/>
          </w:tcPr>
          <w:p w14:paraId="4B038E38"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Report of genetic testing for individualized anticoagulant drug use guidance</w:t>
            </w:r>
          </w:p>
        </w:tc>
      </w:tr>
      <w:tr w:rsidR="00566898" w:rsidRPr="00E30846" w14:paraId="4E92D0BC" w14:textId="77777777" w:rsidTr="00816C0A">
        <w:trPr>
          <w:trHeight w:val="218"/>
        </w:trPr>
        <w:tc>
          <w:tcPr>
            <w:tcW w:w="1413" w:type="dxa"/>
          </w:tcPr>
          <w:p w14:paraId="13042534"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Drug name</w:t>
            </w:r>
          </w:p>
        </w:tc>
        <w:tc>
          <w:tcPr>
            <w:tcW w:w="1134" w:type="dxa"/>
          </w:tcPr>
          <w:p w14:paraId="2113F37D"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Gene</w:t>
            </w:r>
          </w:p>
        </w:tc>
        <w:tc>
          <w:tcPr>
            <w:tcW w:w="1276" w:type="dxa"/>
          </w:tcPr>
          <w:p w14:paraId="1570D3B6"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Detection sites</w:t>
            </w:r>
          </w:p>
        </w:tc>
        <w:tc>
          <w:tcPr>
            <w:tcW w:w="992" w:type="dxa"/>
          </w:tcPr>
          <w:p w14:paraId="2476A3AB"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Gene</w:t>
            </w:r>
          </w:p>
          <w:p w14:paraId="76719396"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b/>
                <w:bCs/>
              </w:rPr>
              <w:t>type</w:t>
            </w:r>
          </w:p>
        </w:tc>
        <w:tc>
          <w:tcPr>
            <w:tcW w:w="2122" w:type="dxa"/>
          </w:tcPr>
          <w:p w14:paraId="7E37D1BB"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Clinical significance</w:t>
            </w:r>
          </w:p>
        </w:tc>
        <w:tc>
          <w:tcPr>
            <w:tcW w:w="1359" w:type="dxa"/>
          </w:tcPr>
          <w:p w14:paraId="3E75F708" w14:textId="77777777" w:rsidR="00566898" w:rsidRPr="00E30846" w:rsidRDefault="00566898" w:rsidP="00816C0A">
            <w:pPr>
              <w:spacing w:line="360" w:lineRule="auto"/>
              <w:jc w:val="center"/>
              <w:rPr>
                <w:rFonts w:ascii="Times New Roman" w:hAnsi="Times New Roman" w:cs="Times New Roman"/>
                <w:b/>
                <w:bCs/>
              </w:rPr>
            </w:pPr>
            <w:r w:rsidRPr="00E30846">
              <w:rPr>
                <w:rFonts w:ascii="Times New Roman" w:hAnsi="Times New Roman" w:cs="Times New Roman"/>
                <w:b/>
                <w:bCs/>
              </w:rPr>
              <w:t>Medication suggestion</w:t>
            </w:r>
          </w:p>
        </w:tc>
      </w:tr>
      <w:tr w:rsidR="00566898" w:rsidRPr="00E30846" w14:paraId="67F4DE24" w14:textId="77777777" w:rsidTr="00816C0A">
        <w:trPr>
          <w:trHeight w:val="625"/>
        </w:trPr>
        <w:tc>
          <w:tcPr>
            <w:tcW w:w="1413" w:type="dxa"/>
            <w:vMerge w:val="restart"/>
          </w:tcPr>
          <w:p w14:paraId="715EAC89" w14:textId="77777777" w:rsidR="00566898" w:rsidRPr="00E30846" w:rsidRDefault="00566898" w:rsidP="00816C0A">
            <w:pPr>
              <w:spacing w:line="360" w:lineRule="auto"/>
              <w:jc w:val="center"/>
              <w:rPr>
                <w:rFonts w:ascii="Times New Roman" w:hAnsi="Times New Roman" w:cs="Times New Roman"/>
              </w:rPr>
            </w:pPr>
          </w:p>
          <w:p w14:paraId="580E07B8"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Warfarin</w:t>
            </w:r>
          </w:p>
        </w:tc>
        <w:tc>
          <w:tcPr>
            <w:tcW w:w="1134" w:type="dxa"/>
            <w:vMerge w:val="restart"/>
          </w:tcPr>
          <w:p w14:paraId="2D4AF2BD"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CYP2C9</w:t>
            </w:r>
          </w:p>
        </w:tc>
        <w:tc>
          <w:tcPr>
            <w:tcW w:w="1276" w:type="dxa"/>
          </w:tcPr>
          <w:p w14:paraId="2F4F0EC8"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rs1799853</w:t>
            </w:r>
          </w:p>
          <w:p w14:paraId="06F6EB7F"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(*2)</w:t>
            </w:r>
          </w:p>
        </w:tc>
        <w:tc>
          <w:tcPr>
            <w:tcW w:w="992" w:type="dxa"/>
            <w:vMerge w:val="restart"/>
          </w:tcPr>
          <w:p w14:paraId="49B51CA3"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*1/*1</w:t>
            </w:r>
            <w:r w:rsidRPr="00E30846">
              <w:rPr>
                <w:rFonts w:ascii="Times New Roman" w:hAnsi="Times New Roman" w:cs="Times New Roman"/>
              </w:rPr>
              <w:t>（</w:t>
            </w:r>
            <w:r w:rsidRPr="00E30846">
              <w:rPr>
                <w:rFonts w:ascii="Times New Roman" w:hAnsi="Times New Roman" w:cs="Times New Roman"/>
              </w:rPr>
              <w:t>EM</w:t>
            </w:r>
            <w:r w:rsidRPr="00E30846">
              <w:rPr>
                <w:rFonts w:ascii="Times New Roman" w:hAnsi="Times New Roman" w:cs="Times New Roman"/>
              </w:rPr>
              <w:t>）</w:t>
            </w:r>
          </w:p>
        </w:tc>
        <w:tc>
          <w:tcPr>
            <w:tcW w:w="2122" w:type="dxa"/>
            <w:vMerge w:val="restart"/>
          </w:tcPr>
          <w:p w14:paraId="44186737"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CYP2C9*1/*1 fast metabolizers (EM) may have a lower risk of hypercoagulability and bleeding and are routinely prescribed</w:t>
            </w:r>
          </w:p>
        </w:tc>
        <w:tc>
          <w:tcPr>
            <w:tcW w:w="1359" w:type="dxa"/>
            <w:vMerge w:val="restart"/>
          </w:tcPr>
          <w:p w14:paraId="773C8630"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Conventional dosage</w:t>
            </w:r>
          </w:p>
        </w:tc>
      </w:tr>
      <w:tr w:rsidR="00566898" w:rsidRPr="00E30846" w14:paraId="6B954345" w14:textId="77777777" w:rsidTr="00816C0A">
        <w:trPr>
          <w:trHeight w:val="625"/>
        </w:trPr>
        <w:tc>
          <w:tcPr>
            <w:tcW w:w="1413" w:type="dxa"/>
            <w:vMerge/>
          </w:tcPr>
          <w:p w14:paraId="37FAEAEA" w14:textId="77777777" w:rsidR="00566898" w:rsidRPr="00E30846" w:rsidRDefault="00566898" w:rsidP="00816C0A">
            <w:pPr>
              <w:spacing w:line="360" w:lineRule="auto"/>
              <w:jc w:val="center"/>
              <w:rPr>
                <w:rFonts w:ascii="Times New Roman" w:hAnsi="Times New Roman" w:cs="Times New Roman"/>
              </w:rPr>
            </w:pPr>
          </w:p>
        </w:tc>
        <w:tc>
          <w:tcPr>
            <w:tcW w:w="1134" w:type="dxa"/>
            <w:vMerge/>
          </w:tcPr>
          <w:p w14:paraId="3012D2B3" w14:textId="77777777" w:rsidR="00566898" w:rsidRPr="00E30846" w:rsidRDefault="00566898" w:rsidP="00816C0A">
            <w:pPr>
              <w:spacing w:line="360" w:lineRule="auto"/>
              <w:jc w:val="center"/>
              <w:rPr>
                <w:rFonts w:ascii="Times New Roman" w:hAnsi="Times New Roman" w:cs="Times New Roman"/>
              </w:rPr>
            </w:pPr>
          </w:p>
        </w:tc>
        <w:tc>
          <w:tcPr>
            <w:tcW w:w="1276" w:type="dxa"/>
          </w:tcPr>
          <w:p w14:paraId="5D29DFA3"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rs1057910</w:t>
            </w:r>
          </w:p>
          <w:p w14:paraId="2A755C6A"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(*3)</w:t>
            </w:r>
          </w:p>
        </w:tc>
        <w:tc>
          <w:tcPr>
            <w:tcW w:w="992" w:type="dxa"/>
            <w:vMerge/>
          </w:tcPr>
          <w:p w14:paraId="73670D12" w14:textId="77777777" w:rsidR="00566898" w:rsidRPr="00E30846" w:rsidRDefault="00566898" w:rsidP="00816C0A">
            <w:pPr>
              <w:spacing w:line="360" w:lineRule="auto"/>
              <w:jc w:val="center"/>
              <w:rPr>
                <w:rFonts w:ascii="Times New Roman" w:hAnsi="Times New Roman" w:cs="Times New Roman"/>
              </w:rPr>
            </w:pPr>
          </w:p>
        </w:tc>
        <w:tc>
          <w:tcPr>
            <w:tcW w:w="2122" w:type="dxa"/>
            <w:vMerge/>
          </w:tcPr>
          <w:p w14:paraId="536D5F14" w14:textId="77777777" w:rsidR="00566898" w:rsidRPr="00E30846" w:rsidRDefault="00566898" w:rsidP="00816C0A">
            <w:pPr>
              <w:spacing w:line="360" w:lineRule="auto"/>
              <w:rPr>
                <w:rFonts w:ascii="Times New Roman" w:hAnsi="Times New Roman" w:cs="Times New Roman"/>
              </w:rPr>
            </w:pPr>
          </w:p>
        </w:tc>
        <w:tc>
          <w:tcPr>
            <w:tcW w:w="1359" w:type="dxa"/>
            <w:vMerge/>
          </w:tcPr>
          <w:p w14:paraId="25E55FB4" w14:textId="77777777" w:rsidR="00566898" w:rsidRPr="00E30846" w:rsidRDefault="00566898" w:rsidP="00816C0A">
            <w:pPr>
              <w:spacing w:line="360" w:lineRule="auto"/>
              <w:rPr>
                <w:rFonts w:ascii="Times New Roman" w:hAnsi="Times New Roman" w:cs="Times New Roman"/>
              </w:rPr>
            </w:pPr>
          </w:p>
        </w:tc>
      </w:tr>
      <w:tr w:rsidR="00566898" w:rsidRPr="00E30846" w14:paraId="6D34D29B" w14:textId="77777777" w:rsidTr="00816C0A">
        <w:trPr>
          <w:trHeight w:val="225"/>
        </w:trPr>
        <w:tc>
          <w:tcPr>
            <w:tcW w:w="1413" w:type="dxa"/>
            <w:vMerge/>
          </w:tcPr>
          <w:p w14:paraId="5842A7D3" w14:textId="77777777" w:rsidR="00566898" w:rsidRPr="00E30846" w:rsidRDefault="00566898" w:rsidP="00816C0A">
            <w:pPr>
              <w:spacing w:line="360" w:lineRule="auto"/>
              <w:jc w:val="center"/>
              <w:rPr>
                <w:rFonts w:ascii="Times New Roman" w:hAnsi="Times New Roman" w:cs="Times New Roman"/>
              </w:rPr>
            </w:pPr>
          </w:p>
        </w:tc>
        <w:tc>
          <w:tcPr>
            <w:tcW w:w="1134" w:type="dxa"/>
          </w:tcPr>
          <w:p w14:paraId="102D29F0"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VKORC1</w:t>
            </w:r>
          </w:p>
        </w:tc>
        <w:tc>
          <w:tcPr>
            <w:tcW w:w="1276" w:type="dxa"/>
          </w:tcPr>
          <w:p w14:paraId="2FAE9F53"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rs9923231</w:t>
            </w:r>
          </w:p>
        </w:tc>
        <w:tc>
          <w:tcPr>
            <w:tcW w:w="992" w:type="dxa"/>
          </w:tcPr>
          <w:p w14:paraId="59230366"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TT</w:t>
            </w:r>
          </w:p>
        </w:tc>
        <w:tc>
          <w:tcPr>
            <w:tcW w:w="2122" w:type="dxa"/>
          </w:tcPr>
          <w:p w14:paraId="2F464E80"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TT type patients with excessive anticoagulation and increased risk of bleeding, the time to reach the target INR can be shortened, it is recommended to adjust the dosage by referring to the formula</w:t>
            </w:r>
          </w:p>
        </w:tc>
        <w:tc>
          <w:tcPr>
            <w:tcW w:w="1359" w:type="dxa"/>
          </w:tcPr>
          <w:p w14:paraId="373E544D"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To adjust the dosage by referring to the formula</w:t>
            </w:r>
          </w:p>
        </w:tc>
      </w:tr>
      <w:tr w:rsidR="00566898" w:rsidRPr="00E30846" w14:paraId="1728E508" w14:textId="77777777" w:rsidTr="00816C0A">
        <w:trPr>
          <w:trHeight w:val="225"/>
        </w:trPr>
        <w:tc>
          <w:tcPr>
            <w:tcW w:w="1413" w:type="dxa"/>
            <w:vMerge/>
          </w:tcPr>
          <w:p w14:paraId="1E806CD6" w14:textId="77777777" w:rsidR="00566898" w:rsidRPr="00E30846" w:rsidRDefault="00566898" w:rsidP="00816C0A">
            <w:pPr>
              <w:spacing w:line="360" w:lineRule="auto"/>
              <w:jc w:val="center"/>
              <w:rPr>
                <w:rFonts w:ascii="Times New Roman" w:hAnsi="Times New Roman" w:cs="Times New Roman"/>
              </w:rPr>
            </w:pPr>
          </w:p>
        </w:tc>
        <w:tc>
          <w:tcPr>
            <w:tcW w:w="1134" w:type="dxa"/>
          </w:tcPr>
          <w:p w14:paraId="3FDC1034"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CYP4F2</w:t>
            </w:r>
          </w:p>
        </w:tc>
        <w:tc>
          <w:tcPr>
            <w:tcW w:w="1276" w:type="dxa"/>
          </w:tcPr>
          <w:p w14:paraId="78667926"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rs2108622</w:t>
            </w:r>
          </w:p>
        </w:tc>
        <w:tc>
          <w:tcPr>
            <w:tcW w:w="992" w:type="dxa"/>
          </w:tcPr>
          <w:p w14:paraId="0E4293FB"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CC</w:t>
            </w:r>
          </w:p>
        </w:tc>
        <w:tc>
          <w:tcPr>
            <w:tcW w:w="2122" w:type="dxa"/>
          </w:tcPr>
          <w:p w14:paraId="2B33AA53"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 xml:space="preserve">Patients with CC type may be at higher risk of </w:t>
            </w:r>
            <w:r w:rsidRPr="00E30846">
              <w:rPr>
                <w:rFonts w:ascii="Times New Roman" w:hAnsi="Times New Roman" w:cs="Times New Roman"/>
              </w:rPr>
              <w:lastRenderedPageBreak/>
              <w:t>excessive anticoagulation, and it is recommended to adjust the dosage by referring to the formula</w:t>
            </w:r>
          </w:p>
        </w:tc>
        <w:tc>
          <w:tcPr>
            <w:tcW w:w="1359" w:type="dxa"/>
          </w:tcPr>
          <w:p w14:paraId="7819F715"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lastRenderedPageBreak/>
              <w:t xml:space="preserve">To adjust the dosage by referring </w:t>
            </w:r>
            <w:r w:rsidRPr="00E30846">
              <w:rPr>
                <w:rFonts w:ascii="Times New Roman" w:hAnsi="Times New Roman" w:cs="Times New Roman"/>
              </w:rPr>
              <w:lastRenderedPageBreak/>
              <w:t>to the formula</w:t>
            </w:r>
          </w:p>
        </w:tc>
      </w:tr>
      <w:tr w:rsidR="00566898" w:rsidRPr="00E30846" w14:paraId="4BB1CD99" w14:textId="77777777" w:rsidTr="00816C0A">
        <w:trPr>
          <w:trHeight w:val="218"/>
        </w:trPr>
        <w:tc>
          <w:tcPr>
            <w:tcW w:w="1413" w:type="dxa"/>
            <w:vMerge w:val="restart"/>
          </w:tcPr>
          <w:p w14:paraId="16E715E3"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lastRenderedPageBreak/>
              <w:t>Rivaroxaban</w:t>
            </w:r>
          </w:p>
        </w:tc>
        <w:tc>
          <w:tcPr>
            <w:tcW w:w="1134" w:type="dxa"/>
            <w:vMerge w:val="restart"/>
          </w:tcPr>
          <w:p w14:paraId="3A3F5EDC" w14:textId="77777777" w:rsidR="00566898" w:rsidRPr="00E30846" w:rsidRDefault="00566898" w:rsidP="00816C0A">
            <w:pPr>
              <w:spacing w:line="360" w:lineRule="auto"/>
              <w:ind w:firstLineChars="50" w:firstLine="120"/>
              <w:rPr>
                <w:rFonts w:ascii="Times New Roman" w:hAnsi="Times New Roman" w:cs="Times New Roman"/>
              </w:rPr>
            </w:pPr>
            <w:r w:rsidRPr="00E30846">
              <w:rPr>
                <w:rFonts w:ascii="Times New Roman" w:hAnsi="Times New Roman" w:cs="Times New Roman"/>
              </w:rPr>
              <w:t>ABCB1</w:t>
            </w:r>
          </w:p>
        </w:tc>
        <w:tc>
          <w:tcPr>
            <w:tcW w:w="1276" w:type="dxa"/>
          </w:tcPr>
          <w:p w14:paraId="2C26FD02" w14:textId="77777777" w:rsidR="00566898" w:rsidRPr="00E30846" w:rsidRDefault="00566898" w:rsidP="00816C0A">
            <w:pPr>
              <w:spacing w:line="360" w:lineRule="auto"/>
              <w:ind w:firstLineChars="50" w:firstLine="120"/>
              <w:rPr>
                <w:rFonts w:ascii="Times New Roman" w:hAnsi="Times New Roman" w:cs="Times New Roman"/>
              </w:rPr>
            </w:pPr>
            <w:r w:rsidRPr="00E30846">
              <w:rPr>
                <w:rFonts w:ascii="Times New Roman" w:hAnsi="Times New Roman" w:cs="Times New Roman"/>
              </w:rPr>
              <w:t>rs1045642</w:t>
            </w:r>
          </w:p>
        </w:tc>
        <w:tc>
          <w:tcPr>
            <w:tcW w:w="992" w:type="dxa"/>
          </w:tcPr>
          <w:p w14:paraId="6EC4FC75"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GG</w:t>
            </w:r>
          </w:p>
        </w:tc>
        <w:tc>
          <w:tcPr>
            <w:tcW w:w="2122" w:type="dxa"/>
            <w:vMerge w:val="restart"/>
          </w:tcPr>
          <w:p w14:paraId="16160054"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Patients with GG/CC type may have an increased risk of thromboembolic events when using rivaroxaban, and should be wary of insufficient efficacy</w:t>
            </w:r>
          </w:p>
        </w:tc>
        <w:tc>
          <w:tcPr>
            <w:tcW w:w="1359" w:type="dxa"/>
            <w:vMerge w:val="restart"/>
          </w:tcPr>
          <w:p w14:paraId="651758AD"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Increasing the dose or switching to alternative medication</w:t>
            </w:r>
          </w:p>
        </w:tc>
      </w:tr>
      <w:tr w:rsidR="00566898" w:rsidRPr="00E30846" w14:paraId="4DD8DDBE" w14:textId="77777777" w:rsidTr="00816C0A">
        <w:trPr>
          <w:trHeight w:val="718"/>
        </w:trPr>
        <w:tc>
          <w:tcPr>
            <w:tcW w:w="1413" w:type="dxa"/>
            <w:vMerge/>
          </w:tcPr>
          <w:p w14:paraId="7F293DDF" w14:textId="77777777" w:rsidR="00566898" w:rsidRPr="00E30846" w:rsidRDefault="00566898" w:rsidP="00816C0A">
            <w:pPr>
              <w:spacing w:line="360" w:lineRule="auto"/>
              <w:jc w:val="center"/>
              <w:rPr>
                <w:rFonts w:ascii="Times New Roman" w:hAnsi="Times New Roman" w:cs="Times New Roman"/>
              </w:rPr>
            </w:pPr>
          </w:p>
        </w:tc>
        <w:tc>
          <w:tcPr>
            <w:tcW w:w="1134" w:type="dxa"/>
            <w:vMerge/>
          </w:tcPr>
          <w:p w14:paraId="6C37854D" w14:textId="77777777" w:rsidR="00566898" w:rsidRPr="00E30846" w:rsidRDefault="00566898" w:rsidP="00816C0A">
            <w:pPr>
              <w:spacing w:line="360" w:lineRule="auto"/>
              <w:jc w:val="center"/>
              <w:rPr>
                <w:rFonts w:ascii="Times New Roman" w:hAnsi="Times New Roman" w:cs="Times New Roman"/>
              </w:rPr>
            </w:pPr>
          </w:p>
        </w:tc>
        <w:tc>
          <w:tcPr>
            <w:tcW w:w="1276" w:type="dxa"/>
          </w:tcPr>
          <w:p w14:paraId="2901CD64"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rs2032582</w:t>
            </w:r>
          </w:p>
        </w:tc>
        <w:tc>
          <w:tcPr>
            <w:tcW w:w="992" w:type="dxa"/>
          </w:tcPr>
          <w:p w14:paraId="453136E4"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CC</w:t>
            </w:r>
          </w:p>
        </w:tc>
        <w:tc>
          <w:tcPr>
            <w:tcW w:w="2122" w:type="dxa"/>
            <w:vMerge/>
          </w:tcPr>
          <w:p w14:paraId="0C13A033" w14:textId="77777777" w:rsidR="00566898" w:rsidRPr="00E30846" w:rsidRDefault="00566898" w:rsidP="00816C0A">
            <w:pPr>
              <w:spacing w:line="360" w:lineRule="auto"/>
              <w:rPr>
                <w:rFonts w:ascii="Times New Roman" w:hAnsi="Times New Roman" w:cs="Times New Roman"/>
              </w:rPr>
            </w:pPr>
          </w:p>
        </w:tc>
        <w:tc>
          <w:tcPr>
            <w:tcW w:w="1359" w:type="dxa"/>
            <w:vMerge/>
          </w:tcPr>
          <w:p w14:paraId="67F5700F" w14:textId="77777777" w:rsidR="00566898" w:rsidRPr="00E30846" w:rsidRDefault="00566898" w:rsidP="00816C0A">
            <w:pPr>
              <w:spacing w:line="360" w:lineRule="auto"/>
              <w:jc w:val="center"/>
              <w:rPr>
                <w:rFonts w:ascii="Times New Roman" w:hAnsi="Times New Roman" w:cs="Times New Roman"/>
              </w:rPr>
            </w:pPr>
          </w:p>
        </w:tc>
      </w:tr>
      <w:tr w:rsidR="00566898" w:rsidRPr="00E30846" w14:paraId="39089A83" w14:textId="77777777" w:rsidTr="00816C0A">
        <w:trPr>
          <w:trHeight w:val="218"/>
        </w:trPr>
        <w:tc>
          <w:tcPr>
            <w:tcW w:w="1413" w:type="dxa"/>
            <w:vMerge w:val="restart"/>
          </w:tcPr>
          <w:p w14:paraId="13BFAA40"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Apixaban</w:t>
            </w:r>
          </w:p>
        </w:tc>
        <w:tc>
          <w:tcPr>
            <w:tcW w:w="1134" w:type="dxa"/>
            <w:vMerge w:val="restart"/>
          </w:tcPr>
          <w:p w14:paraId="3AF32621"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ABCG2</w:t>
            </w:r>
          </w:p>
          <w:p w14:paraId="1D0A8167"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CYP3A5</w:t>
            </w:r>
          </w:p>
        </w:tc>
        <w:tc>
          <w:tcPr>
            <w:tcW w:w="1276" w:type="dxa"/>
          </w:tcPr>
          <w:p w14:paraId="371315D9"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rs2231142</w:t>
            </w:r>
          </w:p>
        </w:tc>
        <w:tc>
          <w:tcPr>
            <w:tcW w:w="992" w:type="dxa"/>
          </w:tcPr>
          <w:p w14:paraId="7239FFF8"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GT</w:t>
            </w:r>
          </w:p>
        </w:tc>
        <w:tc>
          <w:tcPr>
            <w:tcW w:w="2122" w:type="dxa"/>
          </w:tcPr>
          <w:p w14:paraId="361DBAA4"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Patients with GT type exhibit increased clearance of apixaban, leading to decreased blood concentration of the drug.</w:t>
            </w:r>
          </w:p>
        </w:tc>
        <w:tc>
          <w:tcPr>
            <w:tcW w:w="1359" w:type="dxa"/>
          </w:tcPr>
          <w:p w14:paraId="2D8DEEA2"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 xml:space="preserve">Conventional dosage </w:t>
            </w:r>
          </w:p>
        </w:tc>
      </w:tr>
      <w:tr w:rsidR="00566898" w:rsidRPr="00E30846" w14:paraId="38A1A96E" w14:textId="77777777" w:rsidTr="00816C0A">
        <w:trPr>
          <w:trHeight w:val="305"/>
        </w:trPr>
        <w:tc>
          <w:tcPr>
            <w:tcW w:w="1413" w:type="dxa"/>
            <w:vMerge/>
          </w:tcPr>
          <w:p w14:paraId="1A1C6F61" w14:textId="77777777" w:rsidR="00566898" w:rsidRPr="00E30846" w:rsidRDefault="00566898" w:rsidP="00816C0A">
            <w:pPr>
              <w:spacing w:line="360" w:lineRule="auto"/>
              <w:jc w:val="center"/>
              <w:rPr>
                <w:rFonts w:ascii="Times New Roman" w:hAnsi="Times New Roman" w:cs="Times New Roman"/>
              </w:rPr>
            </w:pPr>
          </w:p>
        </w:tc>
        <w:tc>
          <w:tcPr>
            <w:tcW w:w="1134" w:type="dxa"/>
            <w:vMerge/>
          </w:tcPr>
          <w:p w14:paraId="4FE9A345" w14:textId="77777777" w:rsidR="00566898" w:rsidRPr="00E30846" w:rsidRDefault="00566898" w:rsidP="00816C0A">
            <w:pPr>
              <w:spacing w:line="360" w:lineRule="auto"/>
              <w:jc w:val="center"/>
              <w:rPr>
                <w:rFonts w:ascii="Times New Roman" w:hAnsi="Times New Roman" w:cs="Times New Roman"/>
              </w:rPr>
            </w:pPr>
          </w:p>
        </w:tc>
        <w:tc>
          <w:tcPr>
            <w:tcW w:w="1276" w:type="dxa"/>
          </w:tcPr>
          <w:p w14:paraId="51296F66"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rs776746</w:t>
            </w:r>
          </w:p>
          <w:p w14:paraId="3DA37405"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(*3)</w:t>
            </w:r>
          </w:p>
        </w:tc>
        <w:tc>
          <w:tcPr>
            <w:tcW w:w="992" w:type="dxa"/>
          </w:tcPr>
          <w:p w14:paraId="42A6C719"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*3/*3</w:t>
            </w:r>
            <w:r w:rsidRPr="00E30846">
              <w:rPr>
                <w:rFonts w:ascii="Times New Roman" w:hAnsi="Times New Roman" w:cs="Times New Roman"/>
              </w:rPr>
              <w:t>（</w:t>
            </w:r>
            <w:r w:rsidRPr="00E30846">
              <w:rPr>
                <w:rFonts w:ascii="Times New Roman" w:hAnsi="Times New Roman" w:cs="Times New Roman"/>
              </w:rPr>
              <w:t>PM</w:t>
            </w:r>
            <w:r w:rsidRPr="00E30846">
              <w:rPr>
                <w:rFonts w:ascii="Times New Roman" w:hAnsi="Times New Roman" w:cs="Times New Roman"/>
              </w:rPr>
              <w:t>）</w:t>
            </w:r>
          </w:p>
        </w:tc>
        <w:tc>
          <w:tcPr>
            <w:tcW w:w="2122" w:type="dxa"/>
          </w:tcPr>
          <w:p w14:paraId="1330D769"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 xml:space="preserve">Patients with CYP3A5*3/*3 genotype, classified as poor </w:t>
            </w:r>
            <w:r w:rsidRPr="00E30846">
              <w:rPr>
                <w:rFonts w:ascii="Times New Roman" w:hAnsi="Times New Roman" w:cs="Times New Roman"/>
              </w:rPr>
              <w:lastRenderedPageBreak/>
              <w:t>metabolizers (PM), experience decreased clearance of apixaban, resulting in increased blood concentration of the drug, potentially elevating the risk of adverse reactions. It is recommended to avoid high doses of apixaban, as well as to refrain from co-administrating other drugs metabolized by CYP3A5 or CYP3A5 inhibitors.</w:t>
            </w:r>
          </w:p>
        </w:tc>
        <w:tc>
          <w:tcPr>
            <w:tcW w:w="1359" w:type="dxa"/>
          </w:tcPr>
          <w:p w14:paraId="53C49C01"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lastRenderedPageBreak/>
              <w:t>Pay attention to blood concentrati</w:t>
            </w:r>
            <w:r w:rsidRPr="00E30846">
              <w:rPr>
                <w:rFonts w:ascii="Times New Roman" w:hAnsi="Times New Roman" w:cs="Times New Roman"/>
              </w:rPr>
              <w:lastRenderedPageBreak/>
              <w:t>on to be alert to increased risk of adverse reactions</w:t>
            </w:r>
          </w:p>
        </w:tc>
      </w:tr>
      <w:tr w:rsidR="00566898" w:rsidRPr="00E30846" w14:paraId="78163B62" w14:textId="77777777" w:rsidTr="00816C0A">
        <w:trPr>
          <w:trHeight w:val="218"/>
        </w:trPr>
        <w:tc>
          <w:tcPr>
            <w:tcW w:w="1413" w:type="dxa"/>
          </w:tcPr>
          <w:p w14:paraId="2CEDBD59"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Dabigatran ester</w:t>
            </w:r>
          </w:p>
        </w:tc>
        <w:tc>
          <w:tcPr>
            <w:tcW w:w="1134" w:type="dxa"/>
          </w:tcPr>
          <w:p w14:paraId="3785D7C0"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ABCB1</w:t>
            </w:r>
          </w:p>
        </w:tc>
        <w:tc>
          <w:tcPr>
            <w:tcW w:w="1276" w:type="dxa"/>
          </w:tcPr>
          <w:p w14:paraId="24B2A11E"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rs1045642</w:t>
            </w:r>
          </w:p>
        </w:tc>
        <w:tc>
          <w:tcPr>
            <w:tcW w:w="992" w:type="dxa"/>
          </w:tcPr>
          <w:p w14:paraId="73DBB07F"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GG</w:t>
            </w:r>
          </w:p>
        </w:tc>
        <w:tc>
          <w:tcPr>
            <w:tcW w:w="2122" w:type="dxa"/>
          </w:tcPr>
          <w:p w14:paraId="4E0EE59B" w14:textId="77777777" w:rsidR="00566898" w:rsidRPr="00E30846" w:rsidRDefault="00566898" w:rsidP="00816C0A">
            <w:pPr>
              <w:spacing w:line="360" w:lineRule="auto"/>
              <w:rPr>
                <w:rFonts w:ascii="Times New Roman" w:hAnsi="Times New Roman" w:cs="Times New Roman"/>
              </w:rPr>
            </w:pPr>
            <w:r w:rsidRPr="00E30846">
              <w:rPr>
                <w:rFonts w:ascii="Times New Roman" w:hAnsi="Times New Roman" w:cs="Times New Roman"/>
              </w:rPr>
              <w:t>Patients with GG type may have a lower risk of severe bleeding events than patients with AA and AG type</w:t>
            </w:r>
          </w:p>
        </w:tc>
        <w:tc>
          <w:tcPr>
            <w:tcW w:w="1359" w:type="dxa"/>
          </w:tcPr>
          <w:p w14:paraId="2C8B53AF" w14:textId="77777777" w:rsidR="00566898" w:rsidRPr="00E30846" w:rsidRDefault="00566898" w:rsidP="00816C0A">
            <w:pPr>
              <w:spacing w:line="360" w:lineRule="auto"/>
              <w:jc w:val="center"/>
              <w:rPr>
                <w:rFonts w:ascii="Times New Roman" w:hAnsi="Times New Roman" w:cs="Times New Roman"/>
              </w:rPr>
            </w:pPr>
            <w:r w:rsidRPr="00E30846">
              <w:rPr>
                <w:rFonts w:ascii="Times New Roman" w:hAnsi="Times New Roman" w:cs="Times New Roman"/>
              </w:rPr>
              <w:t>Conventional dosage</w:t>
            </w:r>
          </w:p>
        </w:tc>
      </w:tr>
    </w:tbl>
    <w:p w14:paraId="07F12481" w14:textId="77777777" w:rsidR="00566898" w:rsidRPr="00E30846" w:rsidRDefault="00566898" w:rsidP="00566898">
      <w:pPr>
        <w:spacing w:line="360" w:lineRule="auto"/>
        <w:rPr>
          <w:rFonts w:ascii="Times New Roman" w:hAnsi="Times New Roman" w:cs="Times New Roman"/>
        </w:rPr>
      </w:pPr>
      <w:r w:rsidRPr="00E30846">
        <w:rPr>
          <w:rFonts w:ascii="Times New Roman" w:hAnsi="Times New Roman" w:cs="Times New Roman"/>
        </w:rPr>
        <w:t>EM</w:t>
      </w:r>
      <w:r w:rsidRPr="00E30846">
        <w:rPr>
          <w:rFonts w:ascii="Times New Roman" w:hAnsi="Times New Roman" w:cs="Times New Roman"/>
        </w:rPr>
        <w:t>：</w:t>
      </w:r>
      <w:r w:rsidRPr="00E30846">
        <w:rPr>
          <w:rFonts w:ascii="Times New Roman" w:hAnsi="Times New Roman" w:cs="Times New Roman"/>
        </w:rPr>
        <w:t>extensive metabolizers   PM</w:t>
      </w:r>
      <w:r w:rsidRPr="00E30846">
        <w:rPr>
          <w:rFonts w:ascii="Times New Roman" w:hAnsi="Times New Roman" w:cs="Times New Roman"/>
        </w:rPr>
        <w:t>：</w:t>
      </w:r>
      <w:r w:rsidRPr="00E30846">
        <w:rPr>
          <w:rFonts w:ascii="Times New Roman" w:hAnsi="Times New Roman" w:cs="Times New Roman"/>
        </w:rPr>
        <w:t>poor metabolizers</w:t>
      </w:r>
    </w:p>
    <w:p w14:paraId="49120CC1" w14:textId="77777777" w:rsidR="00566898" w:rsidRPr="00E30846" w:rsidRDefault="00566898" w:rsidP="00566898">
      <w:pPr>
        <w:spacing w:line="360" w:lineRule="auto"/>
        <w:rPr>
          <w:rFonts w:ascii="Times New Roman" w:hAnsi="Times New Roman" w:cs="Times New Roman"/>
        </w:rPr>
      </w:pPr>
      <w:r w:rsidRPr="00E30846">
        <w:rPr>
          <w:rFonts w:ascii="Times New Roman" w:hAnsi="Times New Roman" w:cs="Times New Roman"/>
        </w:rPr>
        <w:lastRenderedPageBreak/>
        <w:t>Warfarin dosage calculation formula based on Chinese population:</w:t>
      </w:r>
    </w:p>
    <w:p w14:paraId="5480222D" w14:textId="77777777" w:rsidR="00566898" w:rsidRPr="00E30846" w:rsidRDefault="00566898" w:rsidP="00566898">
      <w:pPr>
        <w:spacing w:line="360" w:lineRule="auto"/>
        <w:rPr>
          <w:rFonts w:ascii="Times New Roman" w:hAnsi="Times New Roman" w:cs="Times New Roman"/>
        </w:rPr>
      </w:pPr>
      <w:r w:rsidRPr="00E30846">
        <w:rPr>
          <w:rFonts w:ascii="Times New Roman" w:hAnsi="Times New Roman" w:cs="Times New Roman"/>
        </w:rPr>
        <w:t xml:space="preserve">Steady dose of warfarin D (mg/day) = [1.432+0.338 × (VKORC1 -1639AG) + 0.579 × (VKORC1-1639GG) </w:t>
      </w:r>
      <w:r w:rsidRPr="00E30846">
        <w:rPr>
          <w:rFonts w:ascii="Times New Roman" w:eastAsia="MS Gothic" w:hAnsi="Times New Roman" w:cs="Times New Roman"/>
        </w:rPr>
        <w:t>‒</w:t>
      </w:r>
      <w:r w:rsidRPr="00E30846">
        <w:rPr>
          <w:rFonts w:ascii="Times New Roman" w:hAnsi="Times New Roman" w:cs="Times New Roman"/>
        </w:rPr>
        <w:t xml:space="preserve"> 0.263</w:t>
      </w:r>
      <w:r w:rsidRPr="00E30846">
        <w:rPr>
          <w:rFonts w:ascii="Times New Roman" w:eastAsia="DengXian" w:hAnsi="Times New Roman" w:cs="Times New Roman"/>
        </w:rPr>
        <w:t>×</w:t>
      </w:r>
      <w:r w:rsidRPr="00E30846">
        <w:rPr>
          <w:rFonts w:ascii="Times New Roman" w:hAnsi="Times New Roman" w:cs="Times New Roman"/>
        </w:rPr>
        <w:t xml:space="preserve">(CYP2C9*1*3) </w:t>
      </w:r>
      <w:r w:rsidRPr="00E30846">
        <w:rPr>
          <w:rFonts w:ascii="Times New Roman" w:eastAsia="MS Gothic" w:hAnsi="Times New Roman" w:cs="Times New Roman"/>
        </w:rPr>
        <w:t>‒</w:t>
      </w:r>
      <w:r w:rsidRPr="00E30846">
        <w:rPr>
          <w:rFonts w:ascii="Times New Roman" w:hAnsi="Times New Roman" w:cs="Times New Roman"/>
        </w:rPr>
        <w:t xml:space="preserve"> 0.852</w:t>
      </w:r>
      <w:r w:rsidRPr="00E30846">
        <w:rPr>
          <w:rFonts w:ascii="Times New Roman" w:eastAsia="DengXian" w:hAnsi="Times New Roman" w:cs="Times New Roman"/>
        </w:rPr>
        <w:t>×</w:t>
      </w:r>
      <w:r w:rsidRPr="00E30846">
        <w:rPr>
          <w:rFonts w:ascii="Times New Roman" w:hAnsi="Times New Roman" w:cs="Times New Roman"/>
        </w:rPr>
        <w:t xml:space="preserve"> (CYP2C9*3*3) - 0.004 Age + 0.264 × BSA +0.057 × AVR + 0.065 × Sex + 0.085 × Smoking habit + 0.057 × Atrial fibrillation + 0.132×Aspirin -0.0592 × Amiodarone] 2</w:t>
      </w:r>
    </w:p>
    <w:p w14:paraId="67048127" w14:textId="31ACDE09" w:rsidR="004D0D62" w:rsidRPr="002B7C8A" w:rsidRDefault="00566898" w:rsidP="002B7C8A">
      <w:pPr>
        <w:spacing w:line="360" w:lineRule="auto"/>
        <w:rPr>
          <w:rFonts w:ascii="Times New Roman" w:hAnsi="Times New Roman" w:cs="Times New Roman" w:hint="eastAsia"/>
        </w:rPr>
      </w:pPr>
      <w:r w:rsidRPr="00E30846">
        <w:rPr>
          <w:rFonts w:ascii="Times New Roman" w:hAnsi="Times New Roman" w:cs="Times New Roman"/>
        </w:rPr>
        <w:t>Note: VKORC1-1639GG is assigned a value of 1 for patients with -1639GG genotype and 0 for those with -1639AA or -1639AG genotypes. CYP2C913 is designated as 1 for the CYP2C913 genotype, and 0 for CYP2C911 or CYP2C933 genotypes. CYP2C933 is assigned a value of 1 for CYP2C933 genotype, and 0 for CYP2C911 or CYP2C913 genotypes. Age refers to the patient's age. BSA represents body surface area, calculated as BSA = 0.0061 × height + 0.0128 × weight - 0.1529. AVR is designated as 1 when the patient has had an aortic valve replaced. Sex is assigned a value of 1 for male patients and 0 for female patients. Smoking habit indicates 1 for a history of smoking and 0 for non-smokers. Atrial fibrillation is given a value of 1 when present and 0 when absent. Aspirin is recorded as 1 for patients taking aspirin concurrently and 0 for those not taking aspirin. Amiodarone is assigned a value of 1 for patients currently taking amiodarone and 0 for those not taking amiodarone.</w:t>
      </w:r>
    </w:p>
    <w:sectPr w:rsidR="004D0D62" w:rsidRPr="002B7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98"/>
    <w:rsid w:val="00006493"/>
    <w:rsid w:val="000069E2"/>
    <w:rsid w:val="00007FF2"/>
    <w:rsid w:val="00011E7A"/>
    <w:rsid w:val="00021EED"/>
    <w:rsid w:val="00036B9F"/>
    <w:rsid w:val="00051674"/>
    <w:rsid w:val="0005349D"/>
    <w:rsid w:val="00054FCB"/>
    <w:rsid w:val="000570E4"/>
    <w:rsid w:val="0006097B"/>
    <w:rsid w:val="00062966"/>
    <w:rsid w:val="00067F86"/>
    <w:rsid w:val="00076AD4"/>
    <w:rsid w:val="00082891"/>
    <w:rsid w:val="000D2EE9"/>
    <w:rsid w:val="000D51A3"/>
    <w:rsid w:val="000D658C"/>
    <w:rsid w:val="000E7E1E"/>
    <w:rsid w:val="000F5445"/>
    <w:rsid w:val="0013118A"/>
    <w:rsid w:val="00137D66"/>
    <w:rsid w:val="00146E3A"/>
    <w:rsid w:val="00147BB6"/>
    <w:rsid w:val="00150A77"/>
    <w:rsid w:val="00150DAB"/>
    <w:rsid w:val="001518A9"/>
    <w:rsid w:val="001565C3"/>
    <w:rsid w:val="00164C59"/>
    <w:rsid w:val="00170150"/>
    <w:rsid w:val="00176DE3"/>
    <w:rsid w:val="00180649"/>
    <w:rsid w:val="001860B4"/>
    <w:rsid w:val="00192869"/>
    <w:rsid w:val="001E5909"/>
    <w:rsid w:val="001F40F5"/>
    <w:rsid w:val="001F7C64"/>
    <w:rsid w:val="002106CE"/>
    <w:rsid w:val="00213C5A"/>
    <w:rsid w:val="00214961"/>
    <w:rsid w:val="00215C1F"/>
    <w:rsid w:val="00230148"/>
    <w:rsid w:val="00245070"/>
    <w:rsid w:val="002527D1"/>
    <w:rsid w:val="00264A4E"/>
    <w:rsid w:val="002736EF"/>
    <w:rsid w:val="00283C92"/>
    <w:rsid w:val="00285E3C"/>
    <w:rsid w:val="002A005E"/>
    <w:rsid w:val="002A288D"/>
    <w:rsid w:val="002B09D1"/>
    <w:rsid w:val="002B7C8A"/>
    <w:rsid w:val="002C14C9"/>
    <w:rsid w:val="002C5D6E"/>
    <w:rsid w:val="002C7333"/>
    <w:rsid w:val="002D2954"/>
    <w:rsid w:val="002E21E7"/>
    <w:rsid w:val="002E6F3E"/>
    <w:rsid w:val="002F6357"/>
    <w:rsid w:val="0030292B"/>
    <w:rsid w:val="003033EF"/>
    <w:rsid w:val="00306C4E"/>
    <w:rsid w:val="00307067"/>
    <w:rsid w:val="0032126B"/>
    <w:rsid w:val="00331F3C"/>
    <w:rsid w:val="003354F7"/>
    <w:rsid w:val="00336B2D"/>
    <w:rsid w:val="00345CDC"/>
    <w:rsid w:val="00350363"/>
    <w:rsid w:val="00350E98"/>
    <w:rsid w:val="00366F3F"/>
    <w:rsid w:val="00374F56"/>
    <w:rsid w:val="003915BA"/>
    <w:rsid w:val="003945B1"/>
    <w:rsid w:val="003A4A10"/>
    <w:rsid w:val="003B1BC8"/>
    <w:rsid w:val="003B47B2"/>
    <w:rsid w:val="003B53E1"/>
    <w:rsid w:val="003C26B1"/>
    <w:rsid w:val="003D2CF2"/>
    <w:rsid w:val="003F26FD"/>
    <w:rsid w:val="004154B5"/>
    <w:rsid w:val="00423E6B"/>
    <w:rsid w:val="00425117"/>
    <w:rsid w:val="00435DE6"/>
    <w:rsid w:val="00464C44"/>
    <w:rsid w:val="004706DB"/>
    <w:rsid w:val="004772C2"/>
    <w:rsid w:val="004862FE"/>
    <w:rsid w:val="00487DF5"/>
    <w:rsid w:val="004938F1"/>
    <w:rsid w:val="004957A1"/>
    <w:rsid w:val="004A11B5"/>
    <w:rsid w:val="004B1D15"/>
    <w:rsid w:val="004B53BA"/>
    <w:rsid w:val="004C1D95"/>
    <w:rsid w:val="004D0D62"/>
    <w:rsid w:val="004D5C39"/>
    <w:rsid w:val="004F3871"/>
    <w:rsid w:val="004F423A"/>
    <w:rsid w:val="00505C65"/>
    <w:rsid w:val="00517C44"/>
    <w:rsid w:val="00520AA0"/>
    <w:rsid w:val="00520EC1"/>
    <w:rsid w:val="00523018"/>
    <w:rsid w:val="00535528"/>
    <w:rsid w:val="00543533"/>
    <w:rsid w:val="005538B2"/>
    <w:rsid w:val="00557BC3"/>
    <w:rsid w:val="005605AC"/>
    <w:rsid w:val="00566898"/>
    <w:rsid w:val="00575CA0"/>
    <w:rsid w:val="0058394D"/>
    <w:rsid w:val="00585CC1"/>
    <w:rsid w:val="00587DFD"/>
    <w:rsid w:val="005B0B96"/>
    <w:rsid w:val="005B35FB"/>
    <w:rsid w:val="005B4E57"/>
    <w:rsid w:val="005F3E8A"/>
    <w:rsid w:val="005F4DAA"/>
    <w:rsid w:val="005F742E"/>
    <w:rsid w:val="00601779"/>
    <w:rsid w:val="006031D0"/>
    <w:rsid w:val="00610A28"/>
    <w:rsid w:val="00622898"/>
    <w:rsid w:val="00626A8A"/>
    <w:rsid w:val="006333B1"/>
    <w:rsid w:val="006443F3"/>
    <w:rsid w:val="00652715"/>
    <w:rsid w:val="00664382"/>
    <w:rsid w:val="00673E2C"/>
    <w:rsid w:val="0068508B"/>
    <w:rsid w:val="006B12A5"/>
    <w:rsid w:val="006B227C"/>
    <w:rsid w:val="006C52E4"/>
    <w:rsid w:val="006D13C5"/>
    <w:rsid w:val="006D3D2D"/>
    <w:rsid w:val="006E08CF"/>
    <w:rsid w:val="006E2DC6"/>
    <w:rsid w:val="006E3CCA"/>
    <w:rsid w:val="006F37EA"/>
    <w:rsid w:val="006F793C"/>
    <w:rsid w:val="007134CC"/>
    <w:rsid w:val="00716896"/>
    <w:rsid w:val="00740814"/>
    <w:rsid w:val="007446C0"/>
    <w:rsid w:val="0075020D"/>
    <w:rsid w:val="00753750"/>
    <w:rsid w:val="00754AE1"/>
    <w:rsid w:val="00756B2E"/>
    <w:rsid w:val="00763F33"/>
    <w:rsid w:val="00772A3B"/>
    <w:rsid w:val="00774D06"/>
    <w:rsid w:val="007B2EF6"/>
    <w:rsid w:val="00800B2D"/>
    <w:rsid w:val="00811B8A"/>
    <w:rsid w:val="00813B55"/>
    <w:rsid w:val="00834AEE"/>
    <w:rsid w:val="00843874"/>
    <w:rsid w:val="008446AE"/>
    <w:rsid w:val="00853CC6"/>
    <w:rsid w:val="00854B55"/>
    <w:rsid w:val="0085524B"/>
    <w:rsid w:val="00860E74"/>
    <w:rsid w:val="0086585D"/>
    <w:rsid w:val="00866445"/>
    <w:rsid w:val="00881BD6"/>
    <w:rsid w:val="00885379"/>
    <w:rsid w:val="00893665"/>
    <w:rsid w:val="008A41A3"/>
    <w:rsid w:val="008A6B02"/>
    <w:rsid w:val="008B2E24"/>
    <w:rsid w:val="008B333D"/>
    <w:rsid w:val="008D5F3E"/>
    <w:rsid w:val="008D7E6D"/>
    <w:rsid w:val="008F2FA0"/>
    <w:rsid w:val="008F7C07"/>
    <w:rsid w:val="00902F4F"/>
    <w:rsid w:val="0091217B"/>
    <w:rsid w:val="009202A8"/>
    <w:rsid w:val="00921ADF"/>
    <w:rsid w:val="00926FE4"/>
    <w:rsid w:val="00942311"/>
    <w:rsid w:val="009460AE"/>
    <w:rsid w:val="00952550"/>
    <w:rsid w:val="00954AD2"/>
    <w:rsid w:val="009765FF"/>
    <w:rsid w:val="00982E73"/>
    <w:rsid w:val="00987558"/>
    <w:rsid w:val="0099163B"/>
    <w:rsid w:val="00997ADD"/>
    <w:rsid w:val="009A12F7"/>
    <w:rsid w:val="009A5AC9"/>
    <w:rsid w:val="009C4115"/>
    <w:rsid w:val="009F4E27"/>
    <w:rsid w:val="009F5F77"/>
    <w:rsid w:val="00A068D4"/>
    <w:rsid w:val="00A705C0"/>
    <w:rsid w:val="00A71545"/>
    <w:rsid w:val="00A95095"/>
    <w:rsid w:val="00AC2561"/>
    <w:rsid w:val="00AC74F6"/>
    <w:rsid w:val="00AE26D1"/>
    <w:rsid w:val="00AE67F4"/>
    <w:rsid w:val="00AF66C3"/>
    <w:rsid w:val="00AF7BDB"/>
    <w:rsid w:val="00B00A95"/>
    <w:rsid w:val="00B10C5B"/>
    <w:rsid w:val="00B33153"/>
    <w:rsid w:val="00B45056"/>
    <w:rsid w:val="00B558EB"/>
    <w:rsid w:val="00B65770"/>
    <w:rsid w:val="00B81422"/>
    <w:rsid w:val="00B952FC"/>
    <w:rsid w:val="00BA028E"/>
    <w:rsid w:val="00BB6B8B"/>
    <w:rsid w:val="00BB7F2D"/>
    <w:rsid w:val="00BC7DF8"/>
    <w:rsid w:val="00BF400F"/>
    <w:rsid w:val="00C032F9"/>
    <w:rsid w:val="00C0349D"/>
    <w:rsid w:val="00C07C82"/>
    <w:rsid w:val="00C17A86"/>
    <w:rsid w:val="00C2310A"/>
    <w:rsid w:val="00C76232"/>
    <w:rsid w:val="00C8683A"/>
    <w:rsid w:val="00CC0CE8"/>
    <w:rsid w:val="00CD6B37"/>
    <w:rsid w:val="00CF7D0D"/>
    <w:rsid w:val="00D007ED"/>
    <w:rsid w:val="00D01782"/>
    <w:rsid w:val="00D06CA5"/>
    <w:rsid w:val="00D154B1"/>
    <w:rsid w:val="00D23205"/>
    <w:rsid w:val="00D32A93"/>
    <w:rsid w:val="00D32D4C"/>
    <w:rsid w:val="00D603F7"/>
    <w:rsid w:val="00D77E2B"/>
    <w:rsid w:val="00DD4EE0"/>
    <w:rsid w:val="00DE05A5"/>
    <w:rsid w:val="00DE0FBC"/>
    <w:rsid w:val="00DF49CA"/>
    <w:rsid w:val="00DF74AD"/>
    <w:rsid w:val="00E021EC"/>
    <w:rsid w:val="00E07AFB"/>
    <w:rsid w:val="00E11C62"/>
    <w:rsid w:val="00E1514A"/>
    <w:rsid w:val="00E161D5"/>
    <w:rsid w:val="00E20896"/>
    <w:rsid w:val="00E2317D"/>
    <w:rsid w:val="00E4131A"/>
    <w:rsid w:val="00E45621"/>
    <w:rsid w:val="00E4720D"/>
    <w:rsid w:val="00E51A71"/>
    <w:rsid w:val="00E65081"/>
    <w:rsid w:val="00E6670C"/>
    <w:rsid w:val="00E72807"/>
    <w:rsid w:val="00E76204"/>
    <w:rsid w:val="00E81B5E"/>
    <w:rsid w:val="00E86A33"/>
    <w:rsid w:val="00EA1196"/>
    <w:rsid w:val="00EA5F47"/>
    <w:rsid w:val="00EC3EFA"/>
    <w:rsid w:val="00ED60E9"/>
    <w:rsid w:val="00F07F44"/>
    <w:rsid w:val="00F10DBA"/>
    <w:rsid w:val="00F54ADF"/>
    <w:rsid w:val="00F568E2"/>
    <w:rsid w:val="00F60EAD"/>
    <w:rsid w:val="00F62218"/>
    <w:rsid w:val="00F66B03"/>
    <w:rsid w:val="00F85506"/>
    <w:rsid w:val="00FA40CF"/>
    <w:rsid w:val="00FC324A"/>
    <w:rsid w:val="00FC3646"/>
    <w:rsid w:val="00FC6A8A"/>
    <w:rsid w:val="00FD099D"/>
    <w:rsid w:val="00FD4EEC"/>
    <w:rsid w:val="00FF3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14E2D8"/>
  <w15:chartTrackingRefBased/>
  <w15:docId w15:val="{4CAF3A3D-7812-2E4C-B530-B2E2CE5E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898"/>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8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yan</dc:creator>
  <cp:keywords/>
  <dc:description/>
  <cp:lastModifiedBy>wan yan</cp:lastModifiedBy>
  <cp:revision>13</cp:revision>
  <dcterms:created xsi:type="dcterms:W3CDTF">2024-11-15T13:25:00Z</dcterms:created>
  <dcterms:modified xsi:type="dcterms:W3CDTF">2024-11-15T13:30:00Z</dcterms:modified>
</cp:coreProperties>
</file>