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PlainTable2"/>
        <w:tblpPr w:leftFromText="180" w:rightFromText="180" w:horzAnchor="margin" w:tblpY="1155"/>
        <w:tblW w:w="13578" w:type="dxa"/>
        <w:tblLayout w:type="fixed"/>
        <w:tblLook w:val="04A0"/>
      </w:tblPr>
      <w:tblGrid>
        <w:gridCol w:w="1620"/>
        <w:gridCol w:w="1170"/>
        <w:gridCol w:w="1008"/>
        <w:gridCol w:w="1620"/>
        <w:gridCol w:w="2880"/>
        <w:gridCol w:w="1230"/>
        <w:gridCol w:w="2820"/>
        <w:gridCol w:w="1230"/>
      </w:tblGrid>
      <w:tr w:rsidR="0012484E" w:rsidRPr="003C4D6C" w:rsidTr="0012484E">
        <w:trPr>
          <w:cnfStyle w:val="100000000000"/>
        </w:trPr>
        <w:tc>
          <w:tcPr>
            <w:cnfStyle w:val="001000000000"/>
            <w:tcW w:w="2790" w:type="dxa"/>
            <w:gridSpan w:val="2"/>
            <w:vMerge w:val="restart"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Variable </w:t>
            </w:r>
          </w:p>
        </w:tc>
        <w:tc>
          <w:tcPr>
            <w:tcW w:w="2628" w:type="dxa"/>
            <w:gridSpan w:val="2"/>
          </w:tcPr>
          <w:p w:rsidR="00FF4CF8" w:rsidRPr="003C4D6C" w:rsidRDefault="00FF4CF8" w:rsidP="0012484E">
            <w:pPr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Regimen Modificati</w:t>
            </w: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on </w:t>
            </w:r>
          </w:p>
        </w:tc>
        <w:tc>
          <w:tcPr>
            <w:tcW w:w="2880" w:type="dxa"/>
            <w:vMerge w:val="restart"/>
          </w:tcPr>
          <w:p w:rsidR="00FF4CF8" w:rsidRPr="003C4D6C" w:rsidRDefault="00FF4CF8" w:rsidP="0012484E">
            <w:pPr>
              <w:ind w:left="432"/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Crude HR  (95% </w:t>
            </w: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CI)</w:t>
            </w:r>
          </w:p>
        </w:tc>
        <w:tc>
          <w:tcPr>
            <w:tcW w:w="1230" w:type="dxa"/>
            <w:vMerge w:val="restart"/>
          </w:tcPr>
          <w:p w:rsidR="00FF4CF8" w:rsidRPr="003C4D6C" w:rsidRDefault="00FF4CF8" w:rsidP="0012484E">
            <w:pPr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P-value </w:t>
            </w:r>
          </w:p>
        </w:tc>
        <w:tc>
          <w:tcPr>
            <w:tcW w:w="2820" w:type="dxa"/>
            <w:vMerge w:val="restart"/>
          </w:tcPr>
          <w:p w:rsidR="00FF4CF8" w:rsidRPr="003C4D6C" w:rsidRDefault="00FF4CF8" w:rsidP="0012484E">
            <w:pPr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Adjusted HR (95% CI)</w:t>
            </w:r>
          </w:p>
        </w:tc>
        <w:tc>
          <w:tcPr>
            <w:tcW w:w="1230" w:type="dxa"/>
            <w:vMerge w:val="restart"/>
          </w:tcPr>
          <w:p w:rsidR="00FF4CF8" w:rsidRPr="003C4D6C" w:rsidRDefault="00FF4CF8" w:rsidP="0012484E">
            <w:pPr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P- value</w:t>
            </w: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2790" w:type="dxa"/>
            <w:gridSpan w:val="2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Yes 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No  </w:t>
            </w:r>
          </w:p>
        </w:tc>
        <w:tc>
          <w:tcPr>
            <w:tcW w:w="2880" w:type="dxa"/>
            <w:vMerge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  <w:vMerge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20" w:type="dxa"/>
            <w:vMerge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  <w:vMerge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84E" w:rsidRPr="003C4D6C" w:rsidTr="0012484E">
        <w:tc>
          <w:tcPr>
            <w:cnfStyle w:val="001000000000"/>
            <w:tcW w:w="1620" w:type="dxa"/>
            <w:vMerge w:val="restart"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Female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ind w:left="432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Male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ind w:left="432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1.120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[0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.676,</w:t>
            </w: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1.856</w:t>
            </w: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0.659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c>
          <w:tcPr>
            <w:cnfStyle w:val="001000000000"/>
            <w:tcW w:w="1620" w:type="dxa"/>
            <w:vMerge w:val="restart"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Age (years)</w:t>
            </w: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&lt; 30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ind w:firstLine="432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≥ 30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left="432"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0.843 [0.512,</w:t>
            </w: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1.387]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0.502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84E" w:rsidRPr="003C4D6C" w:rsidTr="0012484E">
        <w:tc>
          <w:tcPr>
            <w:cnfStyle w:val="001000000000"/>
            <w:tcW w:w="1620" w:type="dxa"/>
            <w:vMerge w:val="restart"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left="60" w:right="60"/>
              <w:jc w:val="right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Unmarried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1.240 [0.615,</w:t>
            </w: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2.500]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0.548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84E" w:rsidRPr="003C4D6C" w:rsidTr="0012484E">
        <w:tc>
          <w:tcPr>
            <w:cnfStyle w:val="001000000000"/>
            <w:tcW w:w="1620" w:type="dxa"/>
            <w:vMerge w:val="restart"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Educational status </w:t>
            </w: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No formal education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0.663 [0.276,</w:t>
            </w: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1.593]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0.358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Primary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0.525 [0.203, 1.354]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0.183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84E" w:rsidRPr="003C4D6C" w:rsidTr="0012484E"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Secondary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0.805 [0.298, 2.180]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0.670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Tertiary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rPr>
          <w:trHeight w:val="305"/>
        </w:trPr>
        <w:tc>
          <w:tcPr>
            <w:cnfStyle w:val="001000000000"/>
            <w:tcW w:w="1620" w:type="dxa"/>
            <w:vMerge w:val="restart"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Occupation </w:t>
            </w: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Farmer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left="60" w:right="60"/>
              <w:jc w:val="right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rPr>
          <w:cnfStyle w:val="000000100000"/>
          <w:trHeight w:val="305"/>
        </w:trPr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House wife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1.284 [0.595, 2.771]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0.524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84E" w:rsidRPr="003C4D6C" w:rsidTr="0012484E">
        <w:trPr>
          <w:trHeight w:val="494"/>
        </w:trPr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Daily laborer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1.027 [0.449, 2.348]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0.951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84E" w:rsidRPr="003C4D6C" w:rsidTr="0012484E">
        <w:trPr>
          <w:cnfStyle w:val="000000100000"/>
          <w:trHeight w:val="485"/>
        </w:trPr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Government  employed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1.756 [0.835, 3.691]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0.137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84E" w:rsidRPr="003C4D6C" w:rsidTr="0012484E"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Merchant 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1.673 [0.715, 3.917]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0.235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Others*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1.014 [0.229, 4.497]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0.985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84E" w:rsidRPr="003C4D6C" w:rsidTr="0012484E">
        <w:tc>
          <w:tcPr>
            <w:cnfStyle w:val="001000000000"/>
            <w:tcW w:w="1620" w:type="dxa"/>
            <w:vMerge w:val="restart"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Residence</w:t>
            </w: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Rural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left="60" w:right="60"/>
              <w:jc w:val="right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Urban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1.759 [1.045, 2.960]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0.034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2484E" w:rsidRPr="003C4D6C" w:rsidTr="0012484E">
        <w:tc>
          <w:tcPr>
            <w:cnfStyle w:val="001000000000"/>
            <w:tcW w:w="1620" w:type="dxa"/>
            <w:vMerge w:val="restart"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Adherence </w:t>
            </w: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Good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left="60" w:right="60"/>
              <w:jc w:val="right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Fair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2.491 [0.895, 6.931]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0.080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84E" w:rsidRPr="003C4D6C" w:rsidTr="0012484E"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Poor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1.455 [0.755, 2.807]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0.263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1620" w:type="dxa"/>
            <w:vMerge w:val="restart"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Disclosure status </w:t>
            </w: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Disclosed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Not disclosed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1.925 [1.129, 3.280]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1620" w:type="dxa"/>
            <w:vMerge w:val="restart"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Baseline WHO clinical stage </w:t>
            </w: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Stage I/II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Stage III/IV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3.948 [2.057, 7.577]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2.393 [1.228, 4.663]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0.010</w:t>
            </w: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1620" w:type="dxa"/>
            <w:vMerge w:val="restart"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Past OI</w:t>
            </w: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1.063 [0.643, 1.759]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0.810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left="60" w:right="60"/>
              <w:jc w:val="right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1620" w:type="dxa"/>
            <w:vMerge w:val="restart"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Functional status </w:t>
            </w: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Working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Ambulatory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1.421 [0.755, 2.674]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0.276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Bed ridden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1.239 [0.171, 8.996]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0.832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84E" w:rsidRPr="003C4D6C" w:rsidTr="0012484E">
        <w:tc>
          <w:tcPr>
            <w:cnfStyle w:val="001000000000"/>
            <w:tcW w:w="1620" w:type="dxa"/>
            <w:vMerge w:val="restart"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Tuberculosis </w:t>
            </w: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2.036 [1.103, 3.756]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323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c>
          <w:tcPr>
            <w:cnfStyle w:val="001000000000"/>
            <w:tcW w:w="1620" w:type="dxa"/>
            <w:vMerge w:val="restart"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Initial NRTI backbone </w:t>
            </w: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AZT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6.550 [3.885, 11.044]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sz w:val="24"/>
                <w:szCs w:val="24"/>
              </w:rPr>
              <w:t>8.188 [4.551, 14.732]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sz w:val="24"/>
                <w:szCs w:val="24"/>
              </w:rPr>
              <w:t>0.000</w:t>
            </w: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TDF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c>
          <w:tcPr>
            <w:cnfStyle w:val="001000000000"/>
            <w:tcW w:w="1620" w:type="dxa"/>
            <w:vMerge w:val="restart"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Initial NNRTI </w:t>
            </w: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NVP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3.503 [2.101, 5.840]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EFV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288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c>
          <w:tcPr>
            <w:cnfStyle w:val="001000000000"/>
            <w:tcW w:w="1620" w:type="dxa"/>
            <w:vMerge w:val="restart"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CPT prophylaxis</w:t>
            </w: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2.405 [0.961, 6.017]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0.061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c>
          <w:tcPr>
            <w:cnfStyle w:val="001000000000"/>
            <w:tcW w:w="1620" w:type="dxa"/>
            <w:vMerge w:val="restart"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INH prophylaxis</w:t>
            </w: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0.634 [0.383, 1.050]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0.076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c>
          <w:tcPr>
            <w:cnfStyle w:val="001000000000"/>
            <w:tcW w:w="1620" w:type="dxa"/>
            <w:vMerge w:val="restart"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Fluconazole</w:t>
            </w:r>
            <w:proofErr w:type="spellEnd"/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3.343 [1.336, 8.369]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c>
          <w:tcPr>
            <w:cnfStyle w:val="001000000000"/>
            <w:tcW w:w="1620" w:type="dxa"/>
            <w:vMerge w:val="restart"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Co-medication </w:t>
            </w: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2.260 [1.360, 3.755]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sz w:val="24"/>
                <w:szCs w:val="24"/>
              </w:rPr>
              <w:t>1.728 [1.034, 2.889]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sz w:val="24"/>
                <w:szCs w:val="24"/>
              </w:rPr>
              <w:t>0.037</w:t>
            </w: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c>
          <w:tcPr>
            <w:cnfStyle w:val="001000000000"/>
            <w:tcW w:w="1620" w:type="dxa"/>
            <w:vMerge w:val="restart"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CD4 count</w:t>
            </w: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&lt; 200 cell/mm3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1.105 [0.669, 1.826]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0.696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≥ 200 cell/mm3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c>
          <w:tcPr>
            <w:cnfStyle w:val="001000000000"/>
            <w:tcW w:w="1620" w:type="dxa"/>
            <w:vMerge w:val="restart"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Baseline weight </w:t>
            </w: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&lt;50 kg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left="60" w:right="60"/>
              <w:jc w:val="right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≥ 50 kg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1.001 [0.605, 1.655]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0.391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4E" w:rsidRPr="003C4D6C" w:rsidTr="0012484E">
        <w:tc>
          <w:tcPr>
            <w:cnfStyle w:val="001000000000"/>
            <w:tcW w:w="1620" w:type="dxa"/>
            <w:vMerge w:val="restart"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 xml:space="preserve">Baseline </w:t>
            </w:r>
            <w:proofErr w:type="spellStart"/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Hgb</w:t>
            </w:r>
            <w:proofErr w:type="spellEnd"/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&lt; 7 g/</w:t>
            </w:r>
            <w:proofErr w:type="spellStart"/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gl</w:t>
            </w:r>
            <w:proofErr w:type="spellEnd"/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3.397 [0.782, 14.754]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6.319 [1.397, 28.585]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0.017</w:t>
            </w: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7-9.9 g/dl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2.279 [1.123, 4.626]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4.212 [1.924, 9.221]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0.000</w:t>
            </w:r>
          </w:p>
        </w:tc>
      </w:tr>
      <w:tr w:rsidR="0012484E" w:rsidRPr="003C4D6C" w:rsidTr="0012484E"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10-12.9 g/dl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1.071 [0.589, 1.950]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0.822</w:t>
            </w:r>
          </w:p>
        </w:tc>
        <w:tc>
          <w:tcPr>
            <w:tcW w:w="282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84E" w:rsidRPr="003C4D6C" w:rsidTr="0012484E">
        <w:trPr>
          <w:cnfStyle w:val="000000100000"/>
        </w:trPr>
        <w:tc>
          <w:tcPr>
            <w:cnfStyle w:val="001000000000"/>
            <w:tcW w:w="1620" w:type="dxa"/>
            <w:vMerge/>
          </w:tcPr>
          <w:p w:rsidR="00FF4CF8" w:rsidRPr="003C4D6C" w:rsidRDefault="00FF4CF8" w:rsidP="00124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≥ 13 g/dl</w:t>
            </w:r>
          </w:p>
        </w:tc>
        <w:tc>
          <w:tcPr>
            <w:tcW w:w="1008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6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288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3C4D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F4CF8" w:rsidRPr="003C4D6C" w:rsidRDefault="00FF4CF8" w:rsidP="0012484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132B5" w:rsidRPr="003C4D6C" w:rsidRDefault="000132B5" w:rsidP="000132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4D6C">
        <w:rPr>
          <w:rFonts w:ascii="Times New Roman" w:hAnsi="Times New Roman" w:cs="Times New Roman"/>
          <w:sz w:val="24"/>
          <w:szCs w:val="24"/>
        </w:rPr>
        <w:t xml:space="preserve">*drivers, soldiers, custodians; </w:t>
      </w:r>
    </w:p>
    <w:p w:rsidR="00397FB5" w:rsidRDefault="00397FB5"/>
    <w:sectPr w:rsidR="00397FB5" w:rsidSect="00FF4CF8">
      <w:head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2560" w:rsidRDefault="00802560" w:rsidP="0012484E">
      <w:pPr>
        <w:spacing w:after="0" w:line="240" w:lineRule="auto"/>
      </w:pPr>
      <w:r>
        <w:separator/>
      </w:r>
    </w:p>
  </w:endnote>
  <w:endnote w:type="continuationSeparator" w:id="0">
    <w:p w:rsidR="00802560" w:rsidRDefault="00802560" w:rsidP="001248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P7B72">
    <w:altName w:val="Calibri"/>
    <w:charset w:val="00"/>
    <w:family w:val="auto"/>
    <w:pitch w:val="variable"/>
    <w:sig w:usb0="00000001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2560" w:rsidRDefault="00802560" w:rsidP="0012484E">
      <w:pPr>
        <w:spacing w:after="0" w:line="240" w:lineRule="auto"/>
      </w:pPr>
      <w:r>
        <w:separator/>
      </w:r>
    </w:p>
  </w:footnote>
  <w:footnote w:type="continuationSeparator" w:id="0">
    <w:p w:rsidR="00802560" w:rsidRDefault="00802560" w:rsidP="001248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484E" w:rsidRDefault="0012484E" w:rsidP="0012484E">
    <w:pPr>
      <w:pStyle w:val="Caption"/>
      <w:keepNext/>
      <w:spacing w:line="360" w:lineRule="auto"/>
      <w:jc w:val="both"/>
      <w:rPr>
        <w:rStyle w:val="fontstyle01"/>
        <w:b/>
        <w:i w:val="0"/>
      </w:rPr>
    </w:pPr>
  </w:p>
  <w:p w:rsidR="0012484E" w:rsidRPr="00E66F04" w:rsidRDefault="0012484E" w:rsidP="0012484E">
    <w:pPr>
      <w:pStyle w:val="Caption"/>
      <w:keepNext/>
      <w:spacing w:line="360" w:lineRule="auto"/>
      <w:jc w:val="both"/>
      <w:rPr>
        <w:rStyle w:val="fontstyle01"/>
        <w:b/>
        <w:i w:val="0"/>
      </w:rPr>
    </w:pPr>
    <w:r>
      <w:rPr>
        <w:rStyle w:val="fontstyle01"/>
        <w:b/>
        <w:i w:val="0"/>
      </w:rPr>
      <w:t>Table 4:</w:t>
    </w:r>
    <w:r w:rsidRPr="00E66F04">
      <w:rPr>
        <w:rStyle w:val="fontstyle01"/>
        <w:b/>
        <w:i w:val="0"/>
      </w:rPr>
      <w:t xml:space="preserve"> </w:t>
    </w:r>
    <w:proofErr w:type="spellStart"/>
    <w:r w:rsidRPr="00E66F04">
      <w:rPr>
        <w:rStyle w:val="fontstyle01"/>
        <w:b/>
        <w:i w:val="0"/>
      </w:rPr>
      <w:t>Bivariate</w:t>
    </w:r>
    <w:proofErr w:type="spellEnd"/>
    <w:r w:rsidRPr="00E66F04">
      <w:rPr>
        <w:rStyle w:val="fontstyle01"/>
        <w:b/>
        <w:i w:val="0"/>
      </w:rPr>
      <w:t xml:space="preserve"> and multivariable Cox regression analysis for predictors of initial </w:t>
    </w:r>
    <w:proofErr w:type="spellStart"/>
    <w:r w:rsidRPr="00E66F04">
      <w:rPr>
        <w:rStyle w:val="fontstyle01"/>
        <w:b/>
        <w:i w:val="0"/>
      </w:rPr>
      <w:t>cART</w:t>
    </w:r>
    <w:proofErr w:type="spellEnd"/>
    <w:r w:rsidRPr="00E66F04">
      <w:rPr>
        <w:rStyle w:val="fontstyle01"/>
        <w:b/>
        <w:i w:val="0"/>
      </w:rPr>
      <w:t xml:space="preserve"> regimen modification among adult HIV positive patients at </w:t>
    </w:r>
    <w:proofErr w:type="spellStart"/>
    <w:r w:rsidRPr="00E66F04">
      <w:rPr>
        <w:rStyle w:val="fontstyle01"/>
        <w:b/>
        <w:i w:val="0"/>
      </w:rPr>
      <w:t>Pawe</w:t>
    </w:r>
    <w:proofErr w:type="spellEnd"/>
    <w:r w:rsidRPr="00E66F04">
      <w:rPr>
        <w:rStyle w:val="fontstyle01"/>
        <w:b/>
        <w:i w:val="0"/>
      </w:rPr>
      <w:t xml:space="preserve"> General Hospital, January 2012 to December, 2016 (n </w:t>
    </w:r>
    <w:r w:rsidRPr="00E66F04">
      <w:rPr>
        <w:rStyle w:val="fontstyle21"/>
        <w:rFonts w:ascii="Times New Roman" w:hAnsi="Times New Roman" w:cs="Times New Roman"/>
        <w:b/>
        <w:i w:val="0"/>
        <w:sz w:val="24"/>
        <w:szCs w:val="24"/>
      </w:rPr>
      <w:t xml:space="preserve">= </w:t>
    </w:r>
    <w:r w:rsidRPr="00E66F04">
      <w:rPr>
        <w:rStyle w:val="fontstyle01"/>
        <w:b/>
        <w:i w:val="0"/>
      </w:rPr>
      <w:t>428)</w:t>
    </w:r>
  </w:p>
  <w:p w:rsidR="0012484E" w:rsidRDefault="0012484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F4CF8"/>
    <w:rsid w:val="000132B5"/>
    <w:rsid w:val="0012484E"/>
    <w:rsid w:val="00397FB5"/>
    <w:rsid w:val="00802560"/>
    <w:rsid w:val="00BE194F"/>
    <w:rsid w:val="00FF4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4CF8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">
    <w:name w:val="Plain Table 2"/>
    <w:basedOn w:val="TableNormal"/>
    <w:uiPriority w:val="42"/>
    <w:rsid w:val="00FF4CF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semiHidden/>
    <w:unhideWhenUsed/>
    <w:rsid w:val="001248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2484E"/>
    <w:rPr>
      <w:rFonts w:eastAsiaTheme="minorEastAsia"/>
    </w:rPr>
  </w:style>
  <w:style w:type="paragraph" w:styleId="Footer">
    <w:name w:val="footer"/>
    <w:basedOn w:val="Normal"/>
    <w:link w:val="FooterChar"/>
    <w:uiPriority w:val="99"/>
    <w:semiHidden/>
    <w:unhideWhenUsed/>
    <w:rsid w:val="001248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2484E"/>
    <w:rPr>
      <w:rFonts w:eastAsiaTheme="minorEastAsia"/>
    </w:rPr>
  </w:style>
  <w:style w:type="character" w:customStyle="1" w:styleId="fontstyle01">
    <w:name w:val="fontstyle01"/>
    <w:basedOn w:val="DefaultParagraphFont"/>
    <w:rsid w:val="0012484E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12484E"/>
    <w:rPr>
      <w:rFonts w:ascii="AdvP7B72" w:hAnsi="AdvP7B72" w:hint="default"/>
      <w:b w:val="0"/>
      <w:bCs w:val="0"/>
      <w:i w:val="0"/>
      <w:iCs w:val="0"/>
      <w:color w:val="000000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12484E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364</Words>
  <Characters>2079</Characters>
  <Application>Microsoft Office Word</Application>
  <DocSecurity>0</DocSecurity>
  <Lines>17</Lines>
  <Paragraphs>4</Paragraphs>
  <ScaleCrop>false</ScaleCrop>
  <Company/>
  <LinksUpToDate>false</LinksUpToDate>
  <CharactersWithSpaces>2439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Girma</dc:creator>
  <cp:lastModifiedBy>Girma</cp:lastModifiedBy>
  <cp:revision>8</cp:revision>
  <dcterms:created xsi:type="dcterms:W3CDTF">2020-09-14T14:35:00Z</dcterms:created>
  <dcterms:modified xsi:type="dcterms:W3CDTF">2020-09-14T15:13:00Z</dcterms:modified>
</cp:coreProperties>
</file>