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F1D5B" w:rsidRPr="00D37D3E" w:rsidRDefault="00000000">
      <w:pPr>
        <w:jc w:val="center"/>
        <w:rPr>
          <w:rFonts w:ascii="Times New Roman" w:hAnsi="Times New Roman" w:cs="Times New Roman"/>
          <w:b/>
          <w:color w:val="000000" w:themeColor="text1"/>
          <w:sz w:val="28"/>
          <w:szCs w:val="32"/>
          <w:lang w:val="en-US"/>
        </w:rPr>
      </w:pPr>
      <w:r w:rsidRPr="00D37D3E">
        <w:rPr>
          <w:rFonts w:ascii="Times New Roman" w:hAnsi="Times New Roman" w:cs="Times New Roman"/>
          <w:b/>
          <w:color w:val="000000" w:themeColor="text1"/>
          <w:sz w:val="28"/>
          <w:szCs w:val="32"/>
          <w:lang w:val="en-US"/>
        </w:rPr>
        <w:t>2D/2D Heterojunction Interfaces of 1T-MoS</w:t>
      </w:r>
      <w:r w:rsidRPr="00D37D3E">
        <w:rPr>
          <w:rFonts w:ascii="Times New Roman" w:hAnsi="Times New Roman" w:cs="Times New Roman"/>
          <w:b/>
          <w:color w:val="000000" w:themeColor="text1"/>
          <w:sz w:val="28"/>
          <w:szCs w:val="32"/>
          <w:vertAlign w:val="subscript"/>
          <w:lang w:val="en-US"/>
        </w:rPr>
        <w:t>2</w:t>
      </w:r>
      <w:r w:rsidRPr="00D37D3E">
        <w:rPr>
          <w:rFonts w:ascii="Times New Roman" w:hAnsi="Times New Roman" w:cs="Times New Roman"/>
          <w:b/>
          <w:color w:val="000000" w:themeColor="text1"/>
          <w:sz w:val="28"/>
          <w:szCs w:val="32"/>
          <w:lang w:val="en-US"/>
        </w:rPr>
        <w:t xml:space="preserve"> and Ti</w:t>
      </w:r>
      <w:r w:rsidRPr="00D37D3E">
        <w:rPr>
          <w:rFonts w:ascii="Times New Roman" w:hAnsi="Times New Roman" w:cs="Times New Roman"/>
          <w:b/>
          <w:color w:val="000000" w:themeColor="text1"/>
          <w:sz w:val="28"/>
          <w:szCs w:val="32"/>
          <w:vertAlign w:val="subscript"/>
          <w:lang w:val="en-US"/>
        </w:rPr>
        <w:t>3</w:t>
      </w:r>
      <w:r w:rsidRPr="00D37D3E">
        <w:rPr>
          <w:rFonts w:ascii="Times New Roman" w:hAnsi="Times New Roman" w:cs="Times New Roman"/>
          <w:b/>
          <w:color w:val="000000" w:themeColor="text1"/>
          <w:sz w:val="28"/>
          <w:szCs w:val="32"/>
          <w:lang w:val="en-US"/>
        </w:rPr>
        <w:t>C</w:t>
      </w:r>
      <w:r w:rsidRPr="00D37D3E">
        <w:rPr>
          <w:rFonts w:ascii="Times New Roman" w:hAnsi="Times New Roman" w:cs="Times New Roman"/>
          <w:b/>
          <w:color w:val="000000" w:themeColor="text1"/>
          <w:sz w:val="28"/>
          <w:szCs w:val="32"/>
          <w:vertAlign w:val="subscript"/>
          <w:lang w:val="en-US"/>
        </w:rPr>
        <w:t>2</w:t>
      </w:r>
      <w:r w:rsidRPr="00D37D3E">
        <w:rPr>
          <w:rFonts w:ascii="Times New Roman" w:hAnsi="Times New Roman" w:cs="Times New Roman"/>
          <w:b/>
          <w:color w:val="000000" w:themeColor="text1"/>
          <w:sz w:val="28"/>
          <w:szCs w:val="32"/>
          <w:lang w:val="en-US"/>
        </w:rPr>
        <w:t xml:space="preserve"> MXene: Designing High-Performance Catalyst for the Hydrogen Evolution Reaction</w:t>
      </w:r>
    </w:p>
    <w:p w:rsidR="008F1D5B" w:rsidRPr="00D37D3E" w:rsidRDefault="008F1D5B">
      <w:pPr>
        <w:jc w:val="center"/>
        <w:rPr>
          <w:rFonts w:ascii="Times New Roman" w:hAnsi="Times New Roman" w:cs="Times New Roman"/>
          <w:b/>
          <w:color w:val="000000" w:themeColor="text1"/>
          <w:sz w:val="28"/>
          <w:szCs w:val="32"/>
          <w:lang w:val="en-US"/>
        </w:rPr>
      </w:pPr>
    </w:p>
    <w:p w:rsidR="00AE407A" w:rsidRPr="00D37D3E" w:rsidRDefault="00AE407A" w:rsidP="00AE407A">
      <w:pPr>
        <w:jc w:val="center"/>
        <w:rPr>
          <w:rFonts w:ascii="Times New Roman" w:hAnsi="Times New Roman" w:cs="Times New Roman"/>
          <w:i/>
          <w:color w:val="000000" w:themeColor="text1"/>
          <w:szCs w:val="32"/>
          <w:lang w:val="en-US"/>
        </w:rPr>
      </w:pPr>
      <w:r w:rsidRPr="00D37D3E">
        <w:rPr>
          <w:rFonts w:ascii="Times New Roman" w:hAnsi="Times New Roman" w:cs="Times New Roman"/>
          <w:i/>
          <w:color w:val="000000" w:themeColor="text1"/>
          <w:szCs w:val="32"/>
          <w:lang w:val="en-US"/>
        </w:rPr>
        <w:t>Sana Akir</w:t>
      </w:r>
      <w:r w:rsidRPr="00D37D3E">
        <w:rPr>
          <w:rFonts w:ascii="Times New Roman" w:hAnsi="Times New Roman" w:cs="Times New Roman"/>
          <w:i/>
          <w:color w:val="000000" w:themeColor="text1"/>
          <w:szCs w:val="32"/>
          <w:vertAlign w:val="superscript"/>
          <w:lang w:val="en-US"/>
        </w:rPr>
        <w:t>1*</w:t>
      </w:r>
      <w:r w:rsidRPr="00D37D3E">
        <w:rPr>
          <w:rFonts w:ascii="Times New Roman" w:hAnsi="Times New Roman" w:cs="Times New Roman"/>
          <w:i/>
          <w:color w:val="000000" w:themeColor="text1"/>
          <w:szCs w:val="32"/>
          <w:lang w:val="en-US"/>
        </w:rPr>
        <w:t>, Bastian Schmiedecke</w:t>
      </w:r>
      <w:r w:rsidRPr="00D37D3E">
        <w:rPr>
          <w:rFonts w:ascii="Times New Roman" w:hAnsi="Times New Roman" w:cs="Times New Roman"/>
          <w:i/>
          <w:color w:val="000000" w:themeColor="text1"/>
          <w:szCs w:val="32"/>
          <w:vertAlign w:val="superscript"/>
          <w:lang w:val="en-US"/>
        </w:rPr>
        <w:t>1</w:t>
      </w:r>
      <w:r w:rsidRPr="00D37D3E">
        <w:rPr>
          <w:rFonts w:ascii="Times New Roman" w:hAnsi="Times New Roman" w:cs="Times New Roman"/>
          <w:i/>
          <w:color w:val="000000" w:themeColor="text1"/>
          <w:szCs w:val="32"/>
          <w:lang w:val="en-US"/>
        </w:rPr>
        <w:t>, Debabrata Bagchi</w:t>
      </w:r>
      <w:r w:rsidRPr="00D37D3E">
        <w:rPr>
          <w:rFonts w:ascii="Times New Roman" w:hAnsi="Times New Roman" w:cs="Times New Roman"/>
          <w:i/>
          <w:color w:val="000000" w:themeColor="text1"/>
          <w:szCs w:val="32"/>
          <w:vertAlign w:val="superscript"/>
          <w:lang w:val="en-US"/>
        </w:rPr>
        <w:t>2</w:t>
      </w:r>
      <w:r w:rsidRPr="00D37D3E">
        <w:rPr>
          <w:rFonts w:ascii="Times New Roman" w:hAnsi="Times New Roman" w:cs="Times New Roman"/>
          <w:i/>
          <w:color w:val="000000" w:themeColor="text1"/>
          <w:szCs w:val="32"/>
          <w:lang w:val="en-US"/>
        </w:rPr>
        <w:t>, Jan Plutnar</w:t>
      </w:r>
      <w:r w:rsidRPr="00D37D3E">
        <w:rPr>
          <w:rFonts w:ascii="Times New Roman" w:hAnsi="Times New Roman" w:cs="Times New Roman"/>
          <w:i/>
          <w:color w:val="000000" w:themeColor="text1"/>
          <w:szCs w:val="32"/>
          <w:vertAlign w:val="superscript"/>
          <w:lang w:val="en-US"/>
        </w:rPr>
        <w:t>3</w:t>
      </w:r>
      <w:r w:rsidRPr="00D37D3E">
        <w:rPr>
          <w:rFonts w:ascii="Times New Roman" w:hAnsi="Times New Roman" w:cs="Times New Roman"/>
          <w:i/>
          <w:color w:val="000000" w:themeColor="text1"/>
          <w:szCs w:val="32"/>
          <w:lang w:val="en-US"/>
        </w:rPr>
        <w:t>, Prashanth W. Menezes</w:t>
      </w:r>
      <w:r w:rsidRPr="00D37D3E">
        <w:rPr>
          <w:rFonts w:ascii="Times New Roman" w:hAnsi="Times New Roman" w:cs="Times New Roman"/>
          <w:i/>
          <w:color w:val="000000" w:themeColor="text1"/>
          <w:szCs w:val="32"/>
          <w:vertAlign w:val="superscript"/>
          <w:lang w:val="en-US"/>
        </w:rPr>
        <w:t>2,4</w:t>
      </w:r>
      <w:r w:rsidRPr="00D37D3E">
        <w:rPr>
          <w:rFonts w:ascii="Times New Roman" w:hAnsi="Times New Roman" w:cs="Times New Roman"/>
          <w:i/>
          <w:color w:val="000000" w:themeColor="text1"/>
          <w:szCs w:val="32"/>
          <w:lang w:val="en-US"/>
        </w:rPr>
        <w:t>, Yael Rodriguez-Ayllon</w:t>
      </w:r>
      <w:r w:rsidRPr="00D37D3E">
        <w:rPr>
          <w:rFonts w:ascii="Times New Roman" w:hAnsi="Times New Roman" w:cs="Times New Roman"/>
          <w:i/>
          <w:color w:val="000000" w:themeColor="text1"/>
          <w:szCs w:val="32"/>
          <w:vertAlign w:val="superscript"/>
          <w:lang w:val="en-US"/>
        </w:rPr>
        <w:t>5,6</w:t>
      </w:r>
      <w:r w:rsidRPr="00D37D3E">
        <w:rPr>
          <w:rFonts w:ascii="Times New Roman" w:hAnsi="Times New Roman" w:cs="Times New Roman"/>
          <w:i/>
          <w:color w:val="000000" w:themeColor="text1"/>
          <w:szCs w:val="32"/>
          <w:lang w:val="en-US"/>
        </w:rPr>
        <w:t>, Yan Lu</w:t>
      </w:r>
      <w:r w:rsidRPr="00D37D3E">
        <w:rPr>
          <w:rFonts w:ascii="Times New Roman" w:hAnsi="Times New Roman" w:cs="Times New Roman"/>
          <w:i/>
          <w:color w:val="000000" w:themeColor="text1"/>
          <w:szCs w:val="32"/>
          <w:vertAlign w:val="superscript"/>
          <w:lang w:val="en-US"/>
        </w:rPr>
        <w:t>5,6</w:t>
      </w:r>
      <w:r w:rsidRPr="00D37D3E">
        <w:rPr>
          <w:rFonts w:ascii="Times New Roman" w:hAnsi="Times New Roman" w:cs="Times New Roman"/>
          <w:i/>
          <w:color w:val="000000" w:themeColor="text1"/>
          <w:szCs w:val="32"/>
          <w:lang w:val="en-US"/>
        </w:rPr>
        <w:t>, Zdenek Sofer</w:t>
      </w:r>
      <w:r w:rsidRPr="00D37D3E">
        <w:rPr>
          <w:rFonts w:ascii="Times New Roman" w:hAnsi="Times New Roman" w:cs="Times New Roman"/>
          <w:i/>
          <w:color w:val="000000" w:themeColor="text1"/>
          <w:szCs w:val="32"/>
          <w:vertAlign w:val="superscript"/>
          <w:lang w:val="en-US"/>
        </w:rPr>
        <w:t>3</w:t>
      </w:r>
      <w:r w:rsidRPr="00D37D3E">
        <w:rPr>
          <w:rFonts w:ascii="Times New Roman" w:hAnsi="Times New Roman" w:cs="Times New Roman"/>
          <w:i/>
          <w:color w:val="000000" w:themeColor="text1"/>
          <w:szCs w:val="32"/>
          <w:lang w:val="en-US"/>
        </w:rPr>
        <w:t>, and Michelle P. Browne</w:t>
      </w:r>
      <w:r w:rsidRPr="00D37D3E">
        <w:rPr>
          <w:rFonts w:ascii="Times New Roman" w:hAnsi="Times New Roman" w:cs="Times New Roman"/>
          <w:i/>
          <w:color w:val="000000" w:themeColor="text1"/>
          <w:szCs w:val="32"/>
          <w:vertAlign w:val="superscript"/>
          <w:lang w:val="en-US"/>
        </w:rPr>
        <w:t>1</w:t>
      </w:r>
    </w:p>
    <w:p w:rsidR="008F1D5B" w:rsidRPr="00D37D3E" w:rsidRDefault="007E6C5E" w:rsidP="00AE407A">
      <w:pPr>
        <w:jc w:val="center"/>
        <w:rPr>
          <w:rFonts w:ascii="Times New Roman" w:hAnsi="Times New Roman" w:cs="Times New Roman"/>
          <w:color w:val="000000" w:themeColor="text1"/>
          <w:sz w:val="28"/>
          <w:szCs w:val="32"/>
          <w:lang w:val="en-US"/>
        </w:rPr>
      </w:pPr>
      <w:r w:rsidRPr="007E6C5E">
        <w:drawing>
          <wp:inline distT="0" distB="0" distL="0" distR="0" wp14:anchorId="036EE1A5" wp14:editId="5B4DC00F">
            <wp:extent cx="5943600" cy="3343275"/>
            <wp:effectExtent l="0" t="0" r="0" b="9525"/>
            <wp:docPr id="2035298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298234" name=""/>
                    <pic:cNvPicPr/>
                  </pic:nvPicPr>
                  <pic:blipFill>
                    <a:blip r:embed="rId6"/>
                    <a:stretch>
                      <a:fillRect/>
                    </a:stretch>
                  </pic:blipFill>
                  <pic:spPr>
                    <a:xfrm>
                      <a:off x="0" y="0"/>
                      <a:ext cx="5943600" cy="3343275"/>
                    </a:xfrm>
                    <a:prstGeom prst="rect">
                      <a:avLst/>
                    </a:prstGeom>
                  </pic:spPr>
                </pic:pic>
              </a:graphicData>
            </a:graphic>
          </wp:inline>
        </w:drawing>
      </w:r>
    </w:p>
    <w:p w:rsidR="008F1D5B" w:rsidRPr="007E6C5E" w:rsidRDefault="008F1D5B" w:rsidP="00CC4689">
      <w:pPr>
        <w:rPr>
          <w:lang w:val="en-US"/>
        </w:rPr>
      </w:pPr>
    </w:p>
    <w:p w:rsidR="008F1D5B" w:rsidRPr="00D37D3E" w:rsidRDefault="008F1D5B">
      <w:pPr>
        <w:rPr>
          <w:rFonts w:ascii="Times New Roman" w:hAnsi="Times New Roman" w:cs="Times New Roman"/>
          <w:b/>
          <w:sz w:val="24"/>
        </w:rPr>
      </w:pPr>
    </w:p>
    <w:p w:rsidR="008F1D5B" w:rsidRPr="00D37D3E" w:rsidRDefault="00000000" w:rsidP="003D6699">
      <w:pPr>
        <w:spacing w:line="360" w:lineRule="auto"/>
        <w:jc w:val="center"/>
        <w:rPr>
          <w:rFonts w:ascii="Times New Roman" w:hAnsi="Times New Roman" w:cs="Times New Roman"/>
          <w:sz w:val="24"/>
        </w:rPr>
      </w:pPr>
      <w:r w:rsidRPr="00D37D3E">
        <w:rPr>
          <w:rFonts w:ascii="Times New Roman" w:hAnsi="Times New Roman" w:cs="Times New Roman"/>
          <w:b/>
          <w:sz w:val="24"/>
        </w:rPr>
        <w:t>Figure S1</w:t>
      </w:r>
      <w:r w:rsidRPr="00D37D3E">
        <w:rPr>
          <w:rFonts w:ascii="Times New Roman" w:hAnsi="Times New Roman" w:cs="Times New Roman"/>
          <w:sz w:val="24"/>
        </w:rPr>
        <w:t>.  (a)  XRD of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and Ti</w:t>
      </w:r>
      <w:r w:rsidRPr="00D37D3E">
        <w:rPr>
          <w:rFonts w:ascii="Times New Roman" w:hAnsi="Times New Roman" w:cs="Times New Roman"/>
          <w:sz w:val="24"/>
          <w:vertAlign w:val="subscript"/>
        </w:rPr>
        <w:t>3</w:t>
      </w:r>
      <w:r w:rsidRPr="00D37D3E">
        <w:rPr>
          <w:rFonts w:ascii="Times New Roman" w:hAnsi="Times New Roman" w:cs="Times New Roman"/>
          <w:sz w:val="24"/>
        </w:rPr>
        <w:t>AlC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(b) zoomed-in XRD of composites from 5 to 30°, </w:t>
      </w:r>
      <w:r w:rsidR="003D6699" w:rsidRPr="00D37D3E">
        <w:rPr>
          <w:rFonts w:ascii="Times New Roman" w:hAnsi="Times New Roman" w:cs="Times New Roman"/>
          <w:sz w:val="24"/>
        </w:rPr>
        <w:t>(c) TGA curves of 2H-MoS</w:t>
      </w:r>
      <w:r w:rsidR="003D6699" w:rsidRPr="00D37D3E">
        <w:rPr>
          <w:rFonts w:ascii="Times New Roman" w:hAnsi="Times New Roman" w:cs="Times New Roman"/>
          <w:sz w:val="24"/>
          <w:vertAlign w:val="subscript"/>
        </w:rPr>
        <w:t>2</w:t>
      </w:r>
      <w:r w:rsidR="003D6699" w:rsidRPr="00D37D3E">
        <w:rPr>
          <w:rFonts w:ascii="Times New Roman" w:hAnsi="Times New Roman" w:cs="Times New Roman"/>
          <w:sz w:val="24"/>
        </w:rPr>
        <w:t xml:space="preserve"> and 1T-MoS</w:t>
      </w:r>
      <w:r w:rsidR="003D6699" w:rsidRPr="00D37D3E">
        <w:rPr>
          <w:rFonts w:ascii="Times New Roman" w:hAnsi="Times New Roman" w:cs="Times New Roman"/>
          <w:sz w:val="24"/>
          <w:vertAlign w:val="subscript"/>
        </w:rPr>
        <w:t>2</w:t>
      </w:r>
      <w:r w:rsidR="003D6699" w:rsidRPr="00D37D3E">
        <w:rPr>
          <w:rFonts w:ascii="Times New Roman" w:hAnsi="Times New Roman" w:cs="Times New Roman"/>
          <w:sz w:val="24"/>
        </w:rPr>
        <w:t xml:space="preserve">, </w:t>
      </w:r>
      <w:r w:rsidRPr="00D37D3E">
        <w:rPr>
          <w:rFonts w:ascii="Times New Roman" w:hAnsi="Times New Roman" w:cs="Times New Roman"/>
          <w:sz w:val="24"/>
        </w:rPr>
        <w:t>(</w:t>
      </w:r>
      <w:r w:rsidR="003D6699" w:rsidRPr="00D37D3E">
        <w:rPr>
          <w:rFonts w:ascii="Times New Roman" w:hAnsi="Times New Roman" w:cs="Times New Roman"/>
          <w:sz w:val="24"/>
        </w:rPr>
        <w:t>d</w:t>
      </w:r>
      <w:r w:rsidRPr="00D37D3E">
        <w:rPr>
          <w:rFonts w:ascii="Times New Roman" w:hAnsi="Times New Roman" w:cs="Times New Roman"/>
          <w:sz w:val="24"/>
        </w:rPr>
        <w:t>) XRD of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and Ti</w:t>
      </w:r>
      <w:r w:rsidRPr="00D37D3E">
        <w:rPr>
          <w:rFonts w:ascii="Times New Roman" w:hAnsi="Times New Roman" w:cs="Times New Roman"/>
          <w:sz w:val="24"/>
          <w:vertAlign w:val="subscript"/>
        </w:rPr>
        <w:t>3</w:t>
      </w:r>
      <w:r w:rsidRPr="00D37D3E">
        <w:rPr>
          <w:rFonts w:ascii="Times New Roman" w:hAnsi="Times New Roman" w:cs="Times New Roman"/>
          <w:sz w:val="24"/>
        </w:rPr>
        <w:t>AlC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w:t>
      </w:r>
      <w:r w:rsidR="003D6699" w:rsidRPr="00D37D3E">
        <w:rPr>
          <w:rFonts w:ascii="Times New Roman" w:hAnsi="Times New Roman" w:cs="Times New Roman"/>
          <w:sz w:val="24"/>
        </w:rPr>
        <w:t xml:space="preserve">and </w:t>
      </w:r>
      <w:r w:rsidRPr="00D37D3E">
        <w:rPr>
          <w:rFonts w:ascii="Times New Roman" w:hAnsi="Times New Roman" w:cs="Times New Roman"/>
          <w:sz w:val="24"/>
        </w:rPr>
        <w:t>(</w:t>
      </w:r>
      <w:r w:rsidR="003D6699" w:rsidRPr="00D37D3E">
        <w:rPr>
          <w:rFonts w:ascii="Times New Roman" w:hAnsi="Times New Roman" w:cs="Times New Roman"/>
          <w:sz w:val="24"/>
        </w:rPr>
        <w:t>e</w:t>
      </w:r>
      <w:r w:rsidRPr="00D37D3E">
        <w:rPr>
          <w:rFonts w:ascii="Times New Roman" w:hAnsi="Times New Roman" w:cs="Times New Roman"/>
          <w:sz w:val="24"/>
        </w:rPr>
        <w:t>) SEM of delaminated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MXene</w:t>
      </w:r>
      <w:r w:rsidR="003D6699" w:rsidRPr="00D37D3E">
        <w:rPr>
          <w:rFonts w:ascii="Times New Roman" w:hAnsi="Times New Roman" w:cs="Times New Roman"/>
          <w:sz w:val="24"/>
        </w:rPr>
        <w:t>.</w:t>
      </w:r>
      <w:r w:rsidR="00990DEA" w:rsidRPr="00D37D3E">
        <w:rPr>
          <w:rFonts w:ascii="Times New Roman" w:hAnsi="Times New Roman" w:cs="Times New Roman"/>
          <w:sz w:val="24"/>
        </w:rPr>
        <w:t xml:space="preserve"> </w:t>
      </w:r>
    </w:p>
    <w:p w:rsidR="008F1D5B" w:rsidRPr="00D37D3E" w:rsidRDefault="00526D68">
      <w:pPr>
        <w:jc w:val="center"/>
        <w:rPr>
          <w:rFonts w:ascii="Times New Roman" w:hAnsi="Times New Roman" w:cs="Times New Roman"/>
          <w:b/>
          <w:sz w:val="24"/>
        </w:rPr>
      </w:pPr>
      <w:r w:rsidRPr="00D37D3E">
        <w:rPr>
          <w:noProof/>
        </w:rPr>
        <w:lastRenderedPageBreak/>
        <w:drawing>
          <wp:inline distT="0" distB="0" distL="0" distR="0" wp14:anchorId="242CBB94" wp14:editId="62AC0903">
            <wp:extent cx="5943600" cy="3343275"/>
            <wp:effectExtent l="0" t="0" r="0" b="9525"/>
            <wp:docPr id="563336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336687" name=""/>
                    <pic:cNvPicPr/>
                  </pic:nvPicPr>
                  <pic:blipFill>
                    <a:blip r:embed="rId7"/>
                    <a:stretch>
                      <a:fillRect/>
                    </a:stretch>
                  </pic:blipFill>
                  <pic:spPr>
                    <a:xfrm>
                      <a:off x="0" y="0"/>
                      <a:ext cx="5943600" cy="3343275"/>
                    </a:xfrm>
                    <a:prstGeom prst="rect">
                      <a:avLst/>
                    </a:prstGeom>
                  </pic:spPr>
                </pic:pic>
              </a:graphicData>
            </a:graphic>
          </wp:inline>
        </w:drawing>
      </w:r>
    </w:p>
    <w:p w:rsidR="008F1D5B" w:rsidRPr="00D37D3E" w:rsidRDefault="008F1D5B">
      <w:pPr>
        <w:rPr>
          <w:rFonts w:ascii="Times New Roman" w:hAnsi="Times New Roman" w:cs="Times New Roman"/>
          <w:b/>
          <w:sz w:val="24"/>
        </w:rPr>
      </w:pPr>
    </w:p>
    <w:p w:rsidR="008F1D5B" w:rsidRPr="00D37D3E" w:rsidRDefault="00000000" w:rsidP="003F2945">
      <w:pPr>
        <w:spacing w:line="360" w:lineRule="auto"/>
        <w:jc w:val="center"/>
        <w:rPr>
          <w:rFonts w:ascii="Times New Roman" w:hAnsi="Times New Roman" w:cs="Times New Roman"/>
          <w:sz w:val="24"/>
        </w:rPr>
      </w:pPr>
      <w:r w:rsidRPr="00D37D3E">
        <w:rPr>
          <w:rFonts w:ascii="Times New Roman" w:hAnsi="Times New Roman" w:cs="Times New Roman"/>
          <w:b/>
          <w:sz w:val="24"/>
        </w:rPr>
        <w:t>Figure S2</w:t>
      </w:r>
      <w:r w:rsidRPr="00D37D3E">
        <w:rPr>
          <w:rFonts w:ascii="Times New Roman" w:hAnsi="Times New Roman" w:cs="Times New Roman"/>
          <w:sz w:val="24"/>
        </w:rPr>
        <w:t>. (a)  TEM of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(b) HRTEM of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xml:space="preserve"> (Inset: SAED of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(c, d) TEM and HRTEM of 2H-MoS</w:t>
      </w:r>
      <w:r w:rsidRPr="00D37D3E">
        <w:rPr>
          <w:rFonts w:ascii="Times New Roman" w:hAnsi="Times New Roman" w:cs="Times New Roman"/>
          <w:sz w:val="24"/>
          <w:vertAlign w:val="subscript"/>
        </w:rPr>
        <w:t>2</w:t>
      </w:r>
      <w:r w:rsidRPr="00D37D3E">
        <w:rPr>
          <w:rFonts w:ascii="Times New Roman" w:hAnsi="Times New Roman" w:cs="Times New Roman"/>
          <w:sz w:val="24"/>
        </w:rPr>
        <w:t>, (e, f) TEM and HRTEM of 1T-MoS</w:t>
      </w:r>
      <w:r w:rsidRPr="00D37D3E">
        <w:rPr>
          <w:rFonts w:ascii="Times New Roman" w:hAnsi="Times New Roman" w:cs="Times New Roman"/>
          <w:sz w:val="24"/>
          <w:vertAlign w:val="subscript"/>
        </w:rPr>
        <w:t>2</w:t>
      </w:r>
      <w:r w:rsidR="003F2945" w:rsidRPr="00D37D3E">
        <w:rPr>
          <w:rFonts w:ascii="Times New Roman" w:hAnsi="Times New Roman" w:cs="Times New Roman"/>
          <w:sz w:val="24"/>
        </w:rPr>
        <w:t>, (g) EDS spectra of Ti</w:t>
      </w:r>
      <w:r w:rsidR="003F2945" w:rsidRPr="00D37D3E">
        <w:rPr>
          <w:rFonts w:ascii="Times New Roman" w:hAnsi="Times New Roman" w:cs="Times New Roman"/>
          <w:sz w:val="24"/>
          <w:vertAlign w:val="subscript"/>
        </w:rPr>
        <w:t>3</w:t>
      </w:r>
      <w:r w:rsidR="003F2945" w:rsidRPr="00D37D3E">
        <w:rPr>
          <w:rFonts w:ascii="Times New Roman" w:hAnsi="Times New Roman" w:cs="Times New Roman"/>
          <w:sz w:val="24"/>
        </w:rPr>
        <w:t>C</w:t>
      </w:r>
      <w:r w:rsidR="003F2945" w:rsidRPr="00D37D3E">
        <w:rPr>
          <w:rFonts w:ascii="Times New Roman" w:hAnsi="Times New Roman" w:cs="Times New Roman"/>
          <w:sz w:val="24"/>
          <w:vertAlign w:val="subscript"/>
        </w:rPr>
        <w:t>2</w:t>
      </w:r>
      <w:r w:rsidR="003F2945" w:rsidRPr="00D37D3E">
        <w:rPr>
          <w:rFonts w:ascii="Times New Roman" w:hAnsi="Times New Roman" w:cs="Times New Roman"/>
          <w:sz w:val="24"/>
        </w:rPr>
        <w:t xml:space="preserve"> and TM-1 and their corresponding O/Ti </w:t>
      </w:r>
      <w:r w:rsidR="009C0BD7" w:rsidRPr="00D37D3E">
        <w:rPr>
          <w:rFonts w:ascii="Times New Roman" w:hAnsi="Times New Roman" w:cs="Times New Roman"/>
          <w:sz w:val="24"/>
        </w:rPr>
        <w:t>atomic</w:t>
      </w:r>
      <w:r w:rsidR="00102027" w:rsidRPr="00D37D3E">
        <w:rPr>
          <w:rFonts w:ascii="Times New Roman" w:hAnsi="Times New Roman" w:cs="Times New Roman"/>
          <w:sz w:val="24"/>
        </w:rPr>
        <w:t xml:space="preserve"> </w:t>
      </w:r>
      <w:r w:rsidR="003F2945" w:rsidRPr="00D37D3E">
        <w:rPr>
          <w:rFonts w:ascii="Times New Roman" w:hAnsi="Times New Roman" w:cs="Times New Roman"/>
          <w:sz w:val="24"/>
        </w:rPr>
        <w:t>% ratio</w:t>
      </w:r>
    </w:p>
    <w:p w:rsidR="008F1D5B" w:rsidRPr="00D37D3E" w:rsidRDefault="00000000">
      <w:pPr>
        <w:jc w:val="center"/>
        <w:rPr>
          <w:rFonts w:ascii="Times New Roman" w:hAnsi="Times New Roman" w:cs="Times New Roman"/>
          <w:b/>
          <w:sz w:val="24"/>
        </w:rPr>
      </w:pPr>
      <w:r w:rsidRPr="00D37D3E">
        <w:rPr>
          <w:noProof/>
          <w:lang w:eastAsia="en-GB"/>
        </w:rPr>
        <w:drawing>
          <wp:inline distT="0" distB="0" distL="0" distR="0">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8"/>
                    <a:stretch>
                      <a:fillRect/>
                    </a:stretch>
                  </pic:blipFill>
                  <pic:spPr>
                    <a:xfrm>
                      <a:off x="0" y="0"/>
                      <a:ext cx="5943600" cy="3343275"/>
                    </a:xfrm>
                    <a:prstGeom prst="rect">
                      <a:avLst/>
                    </a:prstGeom>
                  </pic:spPr>
                </pic:pic>
              </a:graphicData>
            </a:graphic>
          </wp:inline>
        </w:drawing>
      </w:r>
    </w:p>
    <w:p w:rsidR="008F1D5B" w:rsidRPr="00D37D3E" w:rsidRDefault="00000000">
      <w:pPr>
        <w:spacing w:line="360" w:lineRule="auto"/>
        <w:jc w:val="center"/>
        <w:rPr>
          <w:rFonts w:ascii="Times New Roman" w:hAnsi="Times New Roman" w:cs="Times New Roman"/>
          <w:bCs/>
          <w:sz w:val="24"/>
          <w:vertAlign w:val="subscript"/>
          <w:lang w:val="en-US"/>
        </w:rPr>
      </w:pPr>
      <w:r w:rsidRPr="00D37D3E">
        <w:rPr>
          <w:rFonts w:ascii="Times New Roman" w:hAnsi="Times New Roman" w:cs="Times New Roman"/>
          <w:b/>
          <w:sz w:val="24"/>
        </w:rPr>
        <w:lastRenderedPageBreak/>
        <w:t>Figure S3</w:t>
      </w:r>
      <w:r w:rsidRPr="00D37D3E">
        <w:rPr>
          <w:rFonts w:ascii="Times New Roman" w:hAnsi="Times New Roman" w:cs="Times New Roman"/>
          <w:sz w:val="24"/>
        </w:rPr>
        <w:t xml:space="preserve">. (a) </w:t>
      </w:r>
      <w:r w:rsidRPr="00D37D3E">
        <w:rPr>
          <w:rFonts w:ascii="Times New Roman" w:hAnsi="Times New Roman" w:cs="Times New Roman"/>
          <w:bCs/>
          <w:sz w:val="24"/>
          <w:lang w:val="en-US"/>
        </w:rPr>
        <w:t>XPS survey spectra of Ti</w:t>
      </w:r>
      <w:r w:rsidRPr="00D37D3E">
        <w:rPr>
          <w:rFonts w:ascii="Times New Roman" w:hAnsi="Times New Roman" w:cs="Times New Roman"/>
          <w:bCs/>
          <w:sz w:val="24"/>
          <w:vertAlign w:val="subscript"/>
          <w:lang w:val="en-US"/>
        </w:rPr>
        <w:t>3</w:t>
      </w:r>
      <w:r w:rsidRPr="00D37D3E">
        <w:rPr>
          <w:rFonts w:ascii="Times New Roman" w:hAnsi="Times New Roman" w:cs="Times New Roman"/>
          <w:bCs/>
          <w:sz w:val="24"/>
          <w:lang w:val="en-US"/>
        </w:rPr>
        <w:t>C</w:t>
      </w:r>
      <w:r w:rsidRPr="00D37D3E">
        <w:rPr>
          <w:rFonts w:ascii="Times New Roman" w:hAnsi="Times New Roman" w:cs="Times New Roman"/>
          <w:bCs/>
          <w:sz w:val="24"/>
          <w:vertAlign w:val="subscript"/>
          <w:lang w:val="en-US"/>
        </w:rPr>
        <w:t>2</w:t>
      </w:r>
      <w:r w:rsidRPr="00D37D3E">
        <w:rPr>
          <w:rFonts w:ascii="Times New Roman" w:hAnsi="Times New Roman" w:cs="Times New Roman"/>
          <w:bCs/>
          <w:sz w:val="24"/>
          <w:lang w:val="en-US"/>
        </w:rPr>
        <w:t xml:space="preserve"> and composites, high-resolution XPS spectra of Ti</w:t>
      </w:r>
      <w:r w:rsidRPr="00D37D3E">
        <w:rPr>
          <w:rFonts w:ascii="Times New Roman" w:hAnsi="Times New Roman" w:cs="Times New Roman"/>
          <w:bCs/>
          <w:sz w:val="24"/>
          <w:vertAlign w:val="subscript"/>
          <w:lang w:val="en-US"/>
        </w:rPr>
        <w:t>3</w:t>
      </w:r>
      <w:r w:rsidRPr="00D37D3E">
        <w:rPr>
          <w:rFonts w:ascii="Times New Roman" w:hAnsi="Times New Roman" w:cs="Times New Roman"/>
          <w:bCs/>
          <w:sz w:val="24"/>
          <w:lang w:val="en-US"/>
        </w:rPr>
        <w:t>C</w:t>
      </w:r>
      <w:r w:rsidRPr="00D37D3E">
        <w:rPr>
          <w:rFonts w:ascii="Times New Roman" w:hAnsi="Times New Roman" w:cs="Times New Roman"/>
          <w:bCs/>
          <w:sz w:val="24"/>
          <w:vertAlign w:val="subscript"/>
          <w:lang w:val="en-US"/>
        </w:rPr>
        <w:t>2</w:t>
      </w:r>
      <w:r w:rsidRPr="00D37D3E">
        <w:rPr>
          <w:rFonts w:ascii="Times New Roman" w:hAnsi="Times New Roman" w:cs="Times New Roman"/>
          <w:bCs/>
          <w:sz w:val="24"/>
          <w:lang w:val="en-US"/>
        </w:rPr>
        <w:t>: (</w:t>
      </w:r>
      <w:r w:rsidR="00CF5967">
        <w:rPr>
          <w:rFonts w:ascii="Times New Roman" w:hAnsi="Times New Roman" w:cs="Times New Roman"/>
          <w:bCs/>
          <w:sz w:val="24"/>
          <w:lang w:val="en-US"/>
        </w:rPr>
        <w:t>b</w:t>
      </w:r>
      <w:r w:rsidRPr="00D37D3E">
        <w:rPr>
          <w:rFonts w:ascii="Times New Roman" w:hAnsi="Times New Roman" w:cs="Times New Roman"/>
          <w:bCs/>
          <w:sz w:val="24"/>
          <w:lang w:val="en-US"/>
        </w:rPr>
        <w:t>) Ti 2p, (</w:t>
      </w:r>
      <w:r w:rsidR="00CF5967">
        <w:rPr>
          <w:rFonts w:ascii="Times New Roman" w:hAnsi="Times New Roman" w:cs="Times New Roman"/>
          <w:bCs/>
          <w:sz w:val="24"/>
          <w:lang w:val="en-US"/>
        </w:rPr>
        <w:t>c</w:t>
      </w:r>
      <w:r w:rsidRPr="00D37D3E">
        <w:rPr>
          <w:rFonts w:ascii="Times New Roman" w:hAnsi="Times New Roman" w:cs="Times New Roman"/>
          <w:bCs/>
          <w:sz w:val="24"/>
          <w:lang w:val="en-US"/>
        </w:rPr>
        <w:t>) C 1s, and (</w:t>
      </w:r>
      <w:r w:rsidR="00CF5967">
        <w:rPr>
          <w:rFonts w:ascii="Times New Roman" w:hAnsi="Times New Roman" w:cs="Times New Roman"/>
          <w:bCs/>
          <w:sz w:val="24"/>
          <w:lang w:val="en-US"/>
        </w:rPr>
        <w:t>d</w:t>
      </w:r>
      <w:r w:rsidRPr="00D37D3E">
        <w:rPr>
          <w:rFonts w:ascii="Times New Roman" w:hAnsi="Times New Roman" w:cs="Times New Roman"/>
          <w:bCs/>
          <w:sz w:val="24"/>
          <w:lang w:val="en-US"/>
        </w:rPr>
        <w:t>) O1s, High-resolution XPS spectra of Mo 3d in: (e) 2H-MoS</w:t>
      </w:r>
      <w:r w:rsidRPr="00D37D3E">
        <w:rPr>
          <w:rFonts w:ascii="Times New Roman" w:hAnsi="Times New Roman" w:cs="Times New Roman"/>
          <w:bCs/>
          <w:sz w:val="24"/>
          <w:vertAlign w:val="subscript"/>
          <w:lang w:val="en-US"/>
        </w:rPr>
        <w:t>2</w:t>
      </w:r>
      <w:r w:rsidRPr="00D37D3E">
        <w:rPr>
          <w:rFonts w:ascii="Times New Roman" w:hAnsi="Times New Roman" w:cs="Times New Roman"/>
          <w:bCs/>
          <w:sz w:val="24"/>
          <w:lang w:val="en-US"/>
        </w:rPr>
        <w:t>, and (f) 1T-MoS</w:t>
      </w:r>
      <w:r w:rsidRPr="00D37D3E">
        <w:rPr>
          <w:rFonts w:ascii="Times New Roman" w:hAnsi="Times New Roman" w:cs="Times New Roman"/>
          <w:bCs/>
          <w:sz w:val="24"/>
          <w:vertAlign w:val="subscript"/>
          <w:lang w:val="en-US"/>
        </w:rPr>
        <w:t>2</w:t>
      </w:r>
      <w:r w:rsidRPr="00D37D3E">
        <w:rPr>
          <w:rFonts w:ascii="Times New Roman" w:hAnsi="Times New Roman" w:cs="Times New Roman"/>
          <w:bCs/>
          <w:sz w:val="24"/>
          <w:lang w:val="en-US"/>
        </w:rPr>
        <w:t>, High-resolution XPS spectra of S 2</w:t>
      </w:r>
      <w:r w:rsidR="00E300F5" w:rsidRPr="00D37D3E">
        <w:rPr>
          <w:rFonts w:ascii="Times New Roman" w:hAnsi="Times New Roman" w:cs="Times New Roman"/>
          <w:bCs/>
          <w:sz w:val="24"/>
          <w:lang w:val="en-US"/>
        </w:rPr>
        <w:t>p in</w:t>
      </w:r>
      <w:r w:rsidRPr="00D37D3E">
        <w:rPr>
          <w:rFonts w:ascii="Times New Roman" w:hAnsi="Times New Roman" w:cs="Times New Roman"/>
          <w:bCs/>
          <w:sz w:val="24"/>
          <w:lang w:val="en-US"/>
        </w:rPr>
        <w:t>: (</w:t>
      </w:r>
      <w:r w:rsidR="00CF5967">
        <w:rPr>
          <w:rFonts w:ascii="Times New Roman" w:hAnsi="Times New Roman" w:cs="Times New Roman"/>
          <w:bCs/>
          <w:sz w:val="24"/>
          <w:lang w:val="en-US"/>
        </w:rPr>
        <w:t>g</w:t>
      </w:r>
      <w:r w:rsidRPr="00D37D3E">
        <w:rPr>
          <w:rFonts w:ascii="Times New Roman" w:hAnsi="Times New Roman" w:cs="Times New Roman"/>
          <w:bCs/>
          <w:sz w:val="24"/>
          <w:lang w:val="en-US"/>
        </w:rPr>
        <w:t>) 2H-MoS</w:t>
      </w:r>
      <w:r w:rsidRPr="00D37D3E">
        <w:rPr>
          <w:rFonts w:ascii="Times New Roman" w:hAnsi="Times New Roman" w:cs="Times New Roman"/>
          <w:bCs/>
          <w:sz w:val="24"/>
          <w:vertAlign w:val="subscript"/>
          <w:lang w:val="en-US"/>
        </w:rPr>
        <w:t>2</w:t>
      </w:r>
      <w:r w:rsidRPr="00D37D3E">
        <w:rPr>
          <w:rFonts w:ascii="Times New Roman" w:hAnsi="Times New Roman" w:cs="Times New Roman"/>
          <w:bCs/>
          <w:sz w:val="24"/>
          <w:lang w:val="en-US"/>
        </w:rPr>
        <w:t>, and (</w:t>
      </w:r>
      <w:r w:rsidR="00CF5967">
        <w:rPr>
          <w:rFonts w:ascii="Times New Roman" w:hAnsi="Times New Roman" w:cs="Times New Roman"/>
          <w:bCs/>
          <w:sz w:val="24"/>
          <w:lang w:val="en-US"/>
        </w:rPr>
        <w:t>h</w:t>
      </w:r>
      <w:r w:rsidRPr="00D37D3E">
        <w:rPr>
          <w:rFonts w:ascii="Times New Roman" w:hAnsi="Times New Roman" w:cs="Times New Roman"/>
          <w:bCs/>
          <w:sz w:val="24"/>
          <w:lang w:val="en-US"/>
        </w:rPr>
        <w:t>) 1T-MoS</w:t>
      </w:r>
      <w:r w:rsidRPr="00D37D3E">
        <w:rPr>
          <w:rFonts w:ascii="Times New Roman" w:hAnsi="Times New Roman" w:cs="Times New Roman"/>
          <w:bCs/>
          <w:sz w:val="24"/>
          <w:vertAlign w:val="subscript"/>
          <w:lang w:val="en-US"/>
        </w:rPr>
        <w:t>2</w:t>
      </w:r>
    </w:p>
    <w:p w:rsidR="00A97F14" w:rsidRPr="00D37D3E" w:rsidRDefault="00A97F14">
      <w:pPr>
        <w:spacing w:line="360" w:lineRule="auto"/>
        <w:jc w:val="center"/>
        <w:rPr>
          <w:rFonts w:ascii="Times New Roman" w:hAnsi="Times New Roman" w:cs="Times New Roman"/>
          <w:bCs/>
          <w:sz w:val="24"/>
          <w:vertAlign w:val="subscript"/>
          <w:lang w:val="en-US"/>
        </w:rPr>
      </w:pPr>
    </w:p>
    <w:p w:rsidR="00110D8B" w:rsidRPr="00D37D3E" w:rsidRDefault="00C24F89" w:rsidP="00C24F89">
      <w:pPr>
        <w:spacing w:line="360" w:lineRule="auto"/>
        <w:jc w:val="center"/>
        <w:rPr>
          <w:rFonts w:ascii="Times New Roman" w:hAnsi="Times New Roman" w:cs="Times New Roman"/>
          <w:bCs/>
          <w:sz w:val="24"/>
          <w:lang w:val="en-US"/>
        </w:rPr>
      </w:pPr>
      <w:r w:rsidRPr="00D37D3E">
        <w:rPr>
          <w:rFonts w:ascii="Times New Roman" w:hAnsi="Times New Roman" w:cs="Times New Roman"/>
          <w:b/>
          <w:sz w:val="24"/>
        </w:rPr>
        <w:t>Table S1</w:t>
      </w:r>
      <w:r w:rsidR="000924BD" w:rsidRPr="00D37D3E">
        <w:rPr>
          <w:rFonts w:ascii="Times New Roman" w:hAnsi="Times New Roman" w:cs="Times New Roman"/>
          <w:b/>
          <w:sz w:val="24"/>
        </w:rPr>
        <w:t>a</w:t>
      </w:r>
      <w:r w:rsidRPr="00D37D3E">
        <w:rPr>
          <w:rFonts w:ascii="Times New Roman" w:hAnsi="Times New Roman" w:cs="Times New Roman"/>
          <w:b/>
          <w:sz w:val="24"/>
        </w:rPr>
        <w:t xml:space="preserve">. </w:t>
      </w:r>
      <w:r w:rsidRPr="00D37D3E">
        <w:rPr>
          <w:rFonts w:ascii="Times New Roman" w:hAnsi="Times New Roman" w:cs="Times New Roman"/>
          <w:bCs/>
          <w:sz w:val="24"/>
        </w:rPr>
        <w:t xml:space="preserve">Report the full-width-half-maximum (FWHM) values for </w:t>
      </w:r>
      <w:r w:rsidR="000924BD" w:rsidRPr="00D37D3E">
        <w:rPr>
          <w:rFonts w:ascii="Times New Roman" w:hAnsi="Times New Roman" w:cs="Times New Roman"/>
          <w:bCs/>
          <w:sz w:val="24"/>
        </w:rPr>
        <w:t xml:space="preserve">the </w:t>
      </w:r>
      <w:r w:rsidRPr="00D37D3E">
        <w:rPr>
          <w:rFonts w:ascii="Times New Roman" w:hAnsi="Times New Roman" w:cs="Times New Roman"/>
          <w:bCs/>
          <w:sz w:val="24"/>
        </w:rPr>
        <w:t>XPS deconvoluted peaks</w:t>
      </w:r>
      <w:r w:rsidR="000924BD" w:rsidRPr="00D37D3E">
        <w:rPr>
          <w:rFonts w:ascii="Times New Roman" w:hAnsi="Times New Roman" w:cs="Times New Roman"/>
          <w:bCs/>
          <w:sz w:val="24"/>
        </w:rPr>
        <w:t xml:space="preserve"> of Mo 3d</w:t>
      </w:r>
    </w:p>
    <w:tbl>
      <w:tblPr>
        <w:tblStyle w:val="TableGrid1"/>
        <w:tblW w:w="0" w:type="auto"/>
        <w:jc w:val="center"/>
        <w:tblLook w:val="04A0" w:firstRow="1" w:lastRow="0" w:firstColumn="1" w:lastColumn="0" w:noHBand="0" w:noVBand="1"/>
      </w:tblPr>
      <w:tblGrid>
        <w:gridCol w:w="977"/>
        <w:gridCol w:w="1021"/>
        <w:gridCol w:w="1021"/>
        <w:gridCol w:w="1047"/>
        <w:gridCol w:w="1047"/>
        <w:gridCol w:w="1574"/>
        <w:gridCol w:w="1574"/>
        <w:gridCol w:w="636"/>
      </w:tblGrid>
      <w:tr w:rsidR="00A97F14" w:rsidRPr="00D37D3E" w:rsidTr="00A97F14">
        <w:trPr>
          <w:jc w:val="center"/>
        </w:trPr>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Sample</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1T 3d₅/₂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1T 3d₃/₂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2H 3d₅/₂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2H 3d₃/₂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Mo (VI) 3d₅/₂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Mo (VI) 3d₃/₂</w:t>
            </w:r>
          </w:p>
        </w:tc>
        <w:tc>
          <w:tcPr>
            <w:tcW w:w="0" w:type="auto"/>
            <w:hideMark/>
          </w:tcPr>
          <w:p w:rsidR="00A97F14" w:rsidRPr="00D37D3E" w:rsidRDefault="00A97F14" w:rsidP="00A97F14">
            <w:pPr>
              <w:spacing w:line="360" w:lineRule="auto"/>
              <w:rPr>
                <w:rFonts w:ascii="Times New Roman" w:hAnsi="Times New Roman" w:cs="Times New Roman"/>
                <w:b/>
                <w:bCs/>
                <w:sz w:val="24"/>
                <w:lang w:val="en-DE"/>
              </w:rPr>
            </w:pPr>
            <w:r w:rsidRPr="00D37D3E">
              <w:rPr>
                <w:rFonts w:ascii="Times New Roman" w:hAnsi="Times New Roman" w:cs="Times New Roman"/>
                <w:b/>
                <w:bCs/>
                <w:sz w:val="24"/>
                <w:lang w:val="en-DE"/>
              </w:rPr>
              <w:t>S 2s</w:t>
            </w:r>
          </w:p>
        </w:tc>
      </w:tr>
      <w:tr w:rsidR="008E5AD5" w:rsidRPr="00D37D3E" w:rsidTr="00A97F14">
        <w:trPr>
          <w:jc w:val="center"/>
        </w:trPr>
        <w:tc>
          <w:tcPr>
            <w:tcW w:w="0" w:type="auto"/>
          </w:tcPr>
          <w:p w:rsidR="008E5AD5" w:rsidRPr="00D37D3E" w:rsidRDefault="008E5AD5" w:rsidP="008E5AD5">
            <w:pPr>
              <w:spacing w:line="360" w:lineRule="auto"/>
              <w:rPr>
                <w:rFonts w:ascii="Times New Roman" w:hAnsi="Times New Roman" w:cs="Times New Roman"/>
                <w:bCs/>
                <w:sz w:val="24"/>
                <w:lang w:val="en-DE"/>
              </w:rPr>
            </w:pPr>
            <w:r>
              <w:rPr>
                <w:rFonts w:ascii="Times New Roman" w:hAnsi="Times New Roman" w:cs="Times New Roman"/>
                <w:bCs/>
                <w:sz w:val="24"/>
                <w:lang w:val="en-DE"/>
              </w:rPr>
              <w:t>TM-1</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1.28</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1.28</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1.83</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1.83</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5.35</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5.35</w:t>
            </w:r>
          </w:p>
        </w:tc>
        <w:tc>
          <w:tcPr>
            <w:tcW w:w="0" w:type="auto"/>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2.68</w:t>
            </w:r>
          </w:p>
        </w:tc>
      </w:tr>
      <w:tr w:rsidR="008E5AD5" w:rsidRPr="00D37D3E" w:rsidTr="00A97F14">
        <w:trPr>
          <w:jc w:val="center"/>
        </w:trPr>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TM-</w:t>
            </w:r>
            <w:r>
              <w:rPr>
                <w:rFonts w:ascii="Times New Roman" w:hAnsi="Times New Roman" w:cs="Times New Roman"/>
                <w:bCs/>
                <w:sz w:val="24"/>
                <w:lang w:val="en-DE"/>
              </w:rPr>
              <w:t>2</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1.24</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1.24</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2.00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2.00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3.60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3.60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2.52</w:t>
            </w:r>
          </w:p>
        </w:tc>
      </w:tr>
      <w:tr w:rsidR="008E5AD5" w:rsidRPr="00D37D3E" w:rsidTr="00A97F14">
        <w:trPr>
          <w:jc w:val="center"/>
        </w:trPr>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TM-5</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1.24</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1.24</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1.91</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1.91</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4.42</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4.42</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2.50</w:t>
            </w:r>
          </w:p>
        </w:tc>
      </w:tr>
      <w:tr w:rsidR="008E5AD5" w:rsidRPr="00D37D3E" w:rsidTr="00A97F14">
        <w:trPr>
          <w:jc w:val="center"/>
        </w:trPr>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TM-10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1.22</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1.22</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2.18</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2.18</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3.80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3.80</w:t>
            </w:r>
          </w:p>
        </w:tc>
        <w:tc>
          <w:tcPr>
            <w:tcW w:w="0" w:type="auto"/>
            <w:hideMark/>
          </w:tcPr>
          <w:p w:rsidR="008E5AD5" w:rsidRPr="00D37D3E" w:rsidRDefault="008E5AD5" w:rsidP="008E5AD5">
            <w:pPr>
              <w:spacing w:line="360" w:lineRule="auto"/>
              <w:rPr>
                <w:rFonts w:ascii="Times New Roman" w:hAnsi="Times New Roman" w:cs="Times New Roman"/>
                <w:bCs/>
                <w:sz w:val="24"/>
                <w:lang w:val="en-DE"/>
              </w:rPr>
            </w:pPr>
            <w:r w:rsidRPr="00D37D3E">
              <w:rPr>
                <w:rFonts w:ascii="Times New Roman" w:hAnsi="Times New Roman" w:cs="Times New Roman"/>
                <w:bCs/>
                <w:sz w:val="24"/>
                <w:lang w:val="en-DE"/>
              </w:rPr>
              <w:t>2.51</w:t>
            </w:r>
          </w:p>
        </w:tc>
      </w:tr>
    </w:tbl>
    <w:p w:rsidR="00C24F89" w:rsidRPr="00D37D3E" w:rsidRDefault="00C24F89" w:rsidP="00A97F14">
      <w:pPr>
        <w:jc w:val="both"/>
        <w:rPr>
          <w:rFonts w:asciiTheme="majorBidi" w:hAnsiTheme="majorBidi" w:cstheme="majorBidi"/>
          <w:sz w:val="24"/>
          <w:szCs w:val="24"/>
        </w:rPr>
      </w:pPr>
    </w:p>
    <w:p w:rsidR="00A97F14" w:rsidRPr="00D37D3E" w:rsidRDefault="00A97F14" w:rsidP="00C24F89">
      <w:pPr>
        <w:spacing w:line="360" w:lineRule="auto"/>
        <w:jc w:val="both"/>
        <w:rPr>
          <w:rFonts w:asciiTheme="majorBidi" w:hAnsiTheme="majorBidi" w:cstheme="majorBidi"/>
          <w:sz w:val="24"/>
          <w:szCs w:val="24"/>
        </w:rPr>
      </w:pPr>
      <w:bookmarkStart w:id="0" w:name="_Hlk204851595"/>
      <w:r w:rsidRPr="00D37D3E">
        <w:rPr>
          <w:rFonts w:asciiTheme="majorBidi" w:hAnsiTheme="majorBidi" w:cstheme="majorBidi"/>
          <w:sz w:val="24"/>
          <w:szCs w:val="24"/>
        </w:rPr>
        <w:t xml:space="preserve">The 5/2 and 3/2 components of the same type of electrons are constrained, meaning their FWHMs are forced to be equal. The lower FWHMs of the 1T phase correspond to its conducting, metallic behavior, confirming the assignment of the 1T/2H phase. </w:t>
      </w:r>
    </w:p>
    <w:p w:rsidR="00C24F89" w:rsidRPr="00D37D3E" w:rsidRDefault="00C24F89" w:rsidP="00004886">
      <w:pPr>
        <w:spacing w:line="360" w:lineRule="auto"/>
        <w:jc w:val="both"/>
        <w:rPr>
          <w:rFonts w:asciiTheme="majorBidi" w:hAnsiTheme="majorBidi" w:cstheme="majorBidi"/>
          <w:sz w:val="24"/>
          <w:szCs w:val="24"/>
          <w:lang w:val="en-DE"/>
        </w:rPr>
      </w:pPr>
      <w:r w:rsidRPr="00D37D3E">
        <w:rPr>
          <w:rFonts w:asciiTheme="majorBidi" w:hAnsiTheme="majorBidi" w:cstheme="majorBidi"/>
          <w:sz w:val="24"/>
          <w:szCs w:val="24"/>
          <w:lang w:val="en-DE"/>
        </w:rPr>
        <w:t>These values fall within expected ranges for chemically distinct Mo species in MoS</w:t>
      </w:r>
      <w:r w:rsidR="00772411" w:rsidRPr="00D37D3E">
        <w:rPr>
          <w:rFonts w:asciiTheme="majorBidi" w:hAnsiTheme="majorBidi" w:cstheme="majorBidi"/>
          <w:sz w:val="24"/>
          <w:szCs w:val="24"/>
          <w:vertAlign w:val="subscript"/>
          <w:lang w:val="en-DE"/>
        </w:rPr>
        <w:t>2</w:t>
      </w:r>
      <w:r w:rsidRPr="00D37D3E">
        <w:rPr>
          <w:rFonts w:asciiTheme="majorBidi" w:hAnsiTheme="majorBidi" w:cstheme="majorBidi"/>
          <w:sz w:val="24"/>
          <w:szCs w:val="24"/>
          <w:lang w:val="en-DE"/>
        </w:rPr>
        <w:t>-based materials. The narrower FWHMs of the 1T-MoS₂ components (~1.22</w:t>
      </w:r>
      <w:r w:rsidR="00772411" w:rsidRPr="00D37D3E">
        <w:rPr>
          <w:rFonts w:asciiTheme="majorBidi" w:hAnsiTheme="majorBidi" w:cstheme="majorBidi"/>
          <w:sz w:val="24"/>
          <w:szCs w:val="24"/>
          <w:lang w:val="en-DE"/>
        </w:rPr>
        <w:t>-</w:t>
      </w:r>
      <w:r w:rsidRPr="00D37D3E">
        <w:rPr>
          <w:rFonts w:asciiTheme="majorBidi" w:hAnsiTheme="majorBidi" w:cstheme="majorBidi"/>
          <w:sz w:val="24"/>
          <w:szCs w:val="24"/>
          <w:lang w:val="en-DE"/>
        </w:rPr>
        <w:t>1.28 eV) relative to those of the 2H-MoS</w:t>
      </w:r>
      <w:r w:rsidR="00772411" w:rsidRPr="00D37D3E">
        <w:rPr>
          <w:rFonts w:asciiTheme="majorBidi" w:hAnsiTheme="majorBidi" w:cstheme="majorBidi"/>
          <w:sz w:val="24"/>
          <w:szCs w:val="24"/>
          <w:lang w:val="en-DE"/>
        </w:rPr>
        <w:t xml:space="preserve">2 </w:t>
      </w:r>
      <w:r w:rsidRPr="00D37D3E">
        <w:rPr>
          <w:rFonts w:asciiTheme="majorBidi" w:hAnsiTheme="majorBidi" w:cstheme="majorBidi"/>
          <w:sz w:val="24"/>
          <w:szCs w:val="24"/>
          <w:lang w:val="en-DE"/>
        </w:rPr>
        <w:t>peaks (~1.83</w:t>
      </w:r>
      <w:r w:rsidR="00772411" w:rsidRPr="00D37D3E">
        <w:rPr>
          <w:rFonts w:asciiTheme="majorBidi" w:hAnsiTheme="majorBidi" w:cstheme="majorBidi"/>
          <w:sz w:val="24"/>
          <w:szCs w:val="24"/>
          <w:lang w:val="en-DE"/>
        </w:rPr>
        <w:t>-</w:t>
      </w:r>
      <w:r w:rsidRPr="00D37D3E">
        <w:rPr>
          <w:rFonts w:asciiTheme="majorBidi" w:hAnsiTheme="majorBidi" w:cstheme="majorBidi"/>
          <w:sz w:val="24"/>
          <w:szCs w:val="24"/>
          <w:lang w:val="en-DE"/>
        </w:rPr>
        <w:t>2.18 eV) are consistent with the more delocalized electronic structure of the 1T phase, which arises from its metallic, octahedrally coordinated Mo environment. In contrast, the broader 2H peaks reflect its semiconducting character and the increased chemical disorder associated with 2H domains in the mixed-phase composite.</w:t>
      </w:r>
      <w:r w:rsidR="00DC48C3" w:rsidRPr="00D37D3E">
        <w:rPr>
          <w:rFonts w:asciiTheme="majorBidi" w:hAnsiTheme="majorBidi" w:cstheme="majorBidi"/>
          <w:sz w:val="24"/>
          <w:szCs w:val="24"/>
          <w:lang w:val="en-DE"/>
        </w:rPr>
        <w:t xml:space="preserve"> </w:t>
      </w:r>
      <w:r w:rsidRPr="00D37D3E">
        <w:rPr>
          <w:rFonts w:asciiTheme="majorBidi" w:hAnsiTheme="majorBidi" w:cstheme="majorBidi"/>
          <w:sz w:val="24"/>
          <w:szCs w:val="24"/>
          <w:lang w:val="en-DE"/>
        </w:rPr>
        <w:t>Furthermore,</w:t>
      </w:r>
      <w:r w:rsidR="00DC48C3" w:rsidRPr="00D37D3E">
        <w:rPr>
          <w:rFonts w:asciiTheme="majorBidi" w:hAnsiTheme="majorBidi" w:cstheme="majorBidi"/>
          <w:sz w:val="24"/>
          <w:szCs w:val="24"/>
          <w:lang w:val="en-DE"/>
        </w:rPr>
        <w:t xml:space="preserve"> </w:t>
      </w:r>
      <w:r w:rsidR="00772411" w:rsidRPr="00D37D3E">
        <w:rPr>
          <w:rFonts w:asciiTheme="majorBidi" w:hAnsiTheme="majorBidi" w:cstheme="majorBidi"/>
          <w:sz w:val="24"/>
          <w:szCs w:val="24"/>
          <w:lang w:val="en-DE"/>
        </w:rPr>
        <w:t>the significantly broader FWHMs for the Mo</w:t>
      </w:r>
      <w:r w:rsidR="005A1B91">
        <w:rPr>
          <w:rFonts w:asciiTheme="majorBidi" w:hAnsiTheme="majorBidi" w:cstheme="majorBidi"/>
          <w:sz w:val="24"/>
          <w:szCs w:val="24"/>
          <w:lang w:val="en-DE"/>
        </w:rPr>
        <w:t xml:space="preserve"> </w:t>
      </w:r>
      <w:r w:rsidR="00004886" w:rsidRPr="00D37D3E">
        <w:rPr>
          <w:rFonts w:asciiTheme="majorBidi" w:hAnsiTheme="majorBidi" w:cstheme="majorBidi"/>
          <w:sz w:val="24"/>
          <w:szCs w:val="24"/>
          <w:lang w:val="en-DE"/>
        </w:rPr>
        <w:t>(VI) peaks (3.6-5.35 eV) likely reflect the contribution from multiple surface oxidation species</w:t>
      </w:r>
      <w:r w:rsidRPr="00D37D3E">
        <w:rPr>
          <w:rFonts w:asciiTheme="majorBidi" w:hAnsiTheme="majorBidi" w:cstheme="majorBidi"/>
          <w:sz w:val="24"/>
          <w:szCs w:val="24"/>
          <w:lang w:val="en-DE"/>
        </w:rPr>
        <w:t xml:space="preserve">. </w:t>
      </w:r>
      <w:bookmarkEnd w:id="0"/>
    </w:p>
    <w:p w:rsidR="000924BD" w:rsidRPr="00D37D3E" w:rsidRDefault="000924BD" w:rsidP="00004886">
      <w:pPr>
        <w:spacing w:line="360" w:lineRule="auto"/>
        <w:jc w:val="both"/>
        <w:rPr>
          <w:rFonts w:asciiTheme="majorBidi" w:hAnsiTheme="majorBidi" w:cstheme="majorBidi"/>
          <w:sz w:val="24"/>
          <w:szCs w:val="24"/>
          <w:lang w:val="en-DE"/>
        </w:rPr>
      </w:pPr>
    </w:p>
    <w:p w:rsidR="000924BD" w:rsidRPr="00D37D3E" w:rsidRDefault="000924BD" w:rsidP="00004886">
      <w:pPr>
        <w:spacing w:line="360" w:lineRule="auto"/>
        <w:jc w:val="both"/>
        <w:rPr>
          <w:rFonts w:asciiTheme="majorBidi" w:hAnsiTheme="majorBidi" w:cstheme="majorBidi"/>
          <w:sz w:val="24"/>
          <w:szCs w:val="24"/>
          <w:lang w:val="en-DE"/>
        </w:rPr>
      </w:pPr>
    </w:p>
    <w:p w:rsidR="000924BD" w:rsidRPr="00D37D3E" w:rsidRDefault="000924BD" w:rsidP="00004886">
      <w:pPr>
        <w:spacing w:line="360" w:lineRule="auto"/>
        <w:jc w:val="both"/>
        <w:rPr>
          <w:rFonts w:asciiTheme="majorBidi" w:hAnsiTheme="majorBidi" w:cstheme="majorBidi"/>
          <w:sz w:val="24"/>
          <w:szCs w:val="24"/>
          <w:lang w:val="en-DE"/>
        </w:rPr>
      </w:pPr>
    </w:p>
    <w:p w:rsidR="000924BD" w:rsidRPr="00D37D3E" w:rsidRDefault="000924BD" w:rsidP="00315470">
      <w:pPr>
        <w:spacing w:line="360" w:lineRule="auto"/>
        <w:jc w:val="center"/>
        <w:rPr>
          <w:rFonts w:asciiTheme="majorBidi" w:hAnsiTheme="majorBidi" w:cstheme="majorBidi"/>
          <w:bCs/>
          <w:sz w:val="24"/>
          <w:szCs w:val="24"/>
          <w:lang w:val="en-US"/>
        </w:rPr>
      </w:pPr>
      <w:r w:rsidRPr="00D37D3E">
        <w:rPr>
          <w:rFonts w:ascii="Times New Roman" w:hAnsi="Times New Roman" w:cs="Times New Roman"/>
          <w:b/>
          <w:sz w:val="24"/>
        </w:rPr>
        <w:lastRenderedPageBreak/>
        <w:t xml:space="preserve">Table S1b. </w:t>
      </w:r>
      <w:r w:rsidR="00315470" w:rsidRPr="00D37D3E">
        <w:rPr>
          <w:rFonts w:ascii="Times New Roman" w:hAnsi="Times New Roman" w:cs="Times New Roman"/>
          <w:bCs/>
          <w:sz w:val="24"/>
        </w:rPr>
        <w:t>Deconvoluted peak areas of the S 2p region from XPS analysis and calculated 1T phase content of MoS₂.</w:t>
      </w:r>
    </w:p>
    <w:tbl>
      <w:tblPr>
        <w:tblStyle w:val="TableGrid1"/>
        <w:tblW w:w="0" w:type="auto"/>
        <w:jc w:val="center"/>
        <w:tblLook w:val="04A0" w:firstRow="1" w:lastRow="0" w:firstColumn="1" w:lastColumn="0" w:noHBand="0" w:noVBand="1"/>
      </w:tblPr>
      <w:tblGrid>
        <w:gridCol w:w="977"/>
        <w:gridCol w:w="1162"/>
        <w:gridCol w:w="1162"/>
        <w:gridCol w:w="1189"/>
        <w:gridCol w:w="1189"/>
        <w:gridCol w:w="1436"/>
      </w:tblGrid>
      <w:tr w:rsidR="000924BD" w:rsidRPr="00D37D3E" w:rsidTr="00231FB3">
        <w:trPr>
          <w:jc w:val="center"/>
        </w:trPr>
        <w:tc>
          <w:tcPr>
            <w:tcW w:w="0" w:type="auto"/>
            <w:hideMark/>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Sample</w:t>
            </w:r>
          </w:p>
        </w:tc>
        <w:tc>
          <w:tcPr>
            <w:tcW w:w="0" w:type="auto"/>
            <w:hideMark/>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1T S2p</w:t>
            </w:r>
            <w:r w:rsidR="00835FB0" w:rsidRPr="00D37D3E">
              <w:rPr>
                <w:rFonts w:ascii="Times New Roman" w:hAnsi="Times New Roman" w:cs="Times New Roman"/>
                <w:b/>
                <w:bCs/>
                <w:sz w:val="24"/>
                <w:vertAlign w:val="subscript"/>
                <w:lang w:val="en-DE"/>
              </w:rPr>
              <w:t>3</w:t>
            </w:r>
            <w:r w:rsidRPr="00D37D3E">
              <w:rPr>
                <w:rFonts w:ascii="Times New Roman" w:hAnsi="Times New Roman" w:cs="Times New Roman"/>
                <w:b/>
                <w:bCs/>
                <w:sz w:val="24"/>
                <w:lang w:val="en-DE"/>
              </w:rPr>
              <w:t>/₂</w:t>
            </w:r>
          </w:p>
        </w:tc>
        <w:tc>
          <w:tcPr>
            <w:tcW w:w="0" w:type="auto"/>
            <w:hideMark/>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1T S2p</w:t>
            </w:r>
            <w:r w:rsidR="00835FB0" w:rsidRPr="00D37D3E">
              <w:rPr>
                <w:rFonts w:ascii="Times New Roman" w:hAnsi="Times New Roman" w:cs="Times New Roman"/>
                <w:b/>
                <w:bCs/>
                <w:sz w:val="24"/>
                <w:vertAlign w:val="subscript"/>
                <w:lang w:val="en-DE"/>
              </w:rPr>
              <w:t>1</w:t>
            </w:r>
            <w:r w:rsidRPr="00D37D3E">
              <w:rPr>
                <w:rFonts w:ascii="Times New Roman" w:hAnsi="Times New Roman" w:cs="Times New Roman"/>
                <w:b/>
                <w:bCs/>
                <w:sz w:val="24"/>
                <w:lang w:val="en-DE"/>
              </w:rPr>
              <w:t>/₂</w:t>
            </w:r>
          </w:p>
        </w:tc>
        <w:tc>
          <w:tcPr>
            <w:tcW w:w="0" w:type="auto"/>
            <w:hideMark/>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2H S2p</w:t>
            </w:r>
            <w:r w:rsidR="00835FB0" w:rsidRPr="00D37D3E">
              <w:rPr>
                <w:rFonts w:ascii="Times New Roman" w:hAnsi="Times New Roman" w:cs="Times New Roman"/>
                <w:b/>
                <w:bCs/>
                <w:sz w:val="24"/>
                <w:vertAlign w:val="subscript"/>
                <w:lang w:val="en-DE"/>
              </w:rPr>
              <w:t>3</w:t>
            </w:r>
            <w:r w:rsidRPr="00D37D3E">
              <w:rPr>
                <w:rFonts w:ascii="Times New Roman" w:hAnsi="Times New Roman" w:cs="Times New Roman"/>
                <w:b/>
                <w:bCs/>
                <w:sz w:val="24"/>
                <w:lang w:val="en-DE"/>
              </w:rPr>
              <w:t>/₂</w:t>
            </w:r>
          </w:p>
        </w:tc>
        <w:tc>
          <w:tcPr>
            <w:tcW w:w="0" w:type="auto"/>
            <w:hideMark/>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2H S2p</w:t>
            </w:r>
            <w:r w:rsidR="00835FB0" w:rsidRPr="00D37D3E">
              <w:rPr>
                <w:rFonts w:ascii="Times New Roman" w:hAnsi="Times New Roman" w:cs="Times New Roman"/>
                <w:b/>
                <w:bCs/>
                <w:sz w:val="24"/>
                <w:vertAlign w:val="subscript"/>
                <w:lang w:val="en-DE"/>
              </w:rPr>
              <w:t>1</w:t>
            </w:r>
            <w:r w:rsidRPr="00D37D3E">
              <w:rPr>
                <w:rFonts w:ascii="Times New Roman" w:hAnsi="Times New Roman" w:cs="Times New Roman"/>
                <w:b/>
                <w:bCs/>
                <w:sz w:val="24"/>
                <w:lang w:val="en-DE"/>
              </w:rPr>
              <w:t>/₂</w:t>
            </w:r>
          </w:p>
        </w:tc>
        <w:tc>
          <w:tcPr>
            <w:tcW w:w="0" w:type="auto"/>
          </w:tcPr>
          <w:p w:rsidR="000924BD" w:rsidRPr="00D37D3E" w:rsidRDefault="000924BD" w:rsidP="00231FB3">
            <w:pPr>
              <w:spacing w:line="360" w:lineRule="auto"/>
              <w:jc w:val="center"/>
              <w:rPr>
                <w:rFonts w:ascii="Times New Roman" w:hAnsi="Times New Roman" w:cs="Times New Roman"/>
                <w:b/>
                <w:bCs/>
                <w:sz w:val="24"/>
                <w:lang w:val="en-DE"/>
              </w:rPr>
            </w:pPr>
            <w:r w:rsidRPr="00D37D3E">
              <w:rPr>
                <w:rFonts w:ascii="Times New Roman" w:hAnsi="Times New Roman" w:cs="Times New Roman"/>
                <w:b/>
                <w:bCs/>
                <w:sz w:val="24"/>
                <w:lang w:val="en-DE"/>
              </w:rPr>
              <w:t>% 1T-MoS</w:t>
            </w:r>
            <w:r w:rsidRPr="00D37D3E">
              <w:rPr>
                <w:rFonts w:ascii="Times New Roman" w:hAnsi="Times New Roman" w:cs="Times New Roman"/>
                <w:b/>
                <w:bCs/>
                <w:sz w:val="24"/>
                <w:vertAlign w:val="subscript"/>
                <w:lang w:val="en-DE"/>
              </w:rPr>
              <w:t>2</w:t>
            </w:r>
          </w:p>
        </w:tc>
      </w:tr>
      <w:tr w:rsidR="00E83A39" w:rsidRPr="00D37D3E" w:rsidTr="00231FB3">
        <w:trPr>
          <w:jc w:val="center"/>
        </w:trPr>
        <w:tc>
          <w:tcPr>
            <w:tcW w:w="0" w:type="auto"/>
          </w:tcPr>
          <w:p w:rsidR="00E83A39"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TM-1</w:t>
            </w:r>
          </w:p>
        </w:tc>
        <w:tc>
          <w:tcPr>
            <w:tcW w:w="0" w:type="auto"/>
          </w:tcPr>
          <w:p w:rsidR="00E83A39" w:rsidRPr="00D37D3E" w:rsidRDefault="00240985" w:rsidP="00231FB3">
            <w:pPr>
              <w:spacing w:line="360" w:lineRule="auto"/>
              <w:jc w:val="center"/>
              <w:rPr>
                <w:rFonts w:ascii="Times New Roman" w:hAnsi="Times New Roman" w:cs="Times New Roman"/>
                <w:bCs/>
                <w:sz w:val="24"/>
                <w:lang w:val="en-DE"/>
              </w:rPr>
            </w:pPr>
            <w:r w:rsidRPr="00240985">
              <w:rPr>
                <w:rFonts w:ascii="Times New Roman" w:hAnsi="Times New Roman" w:cs="Times New Roman"/>
                <w:bCs/>
                <w:sz w:val="24"/>
                <w:lang w:val="en-DE"/>
              </w:rPr>
              <w:t>31495.5</w:t>
            </w:r>
          </w:p>
        </w:tc>
        <w:tc>
          <w:tcPr>
            <w:tcW w:w="0" w:type="auto"/>
          </w:tcPr>
          <w:p w:rsidR="00E83A39"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16094.2</w:t>
            </w:r>
          </w:p>
        </w:tc>
        <w:tc>
          <w:tcPr>
            <w:tcW w:w="0" w:type="auto"/>
          </w:tcPr>
          <w:p w:rsidR="00E83A39"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4132.1</w:t>
            </w:r>
          </w:p>
        </w:tc>
        <w:tc>
          <w:tcPr>
            <w:tcW w:w="0" w:type="auto"/>
          </w:tcPr>
          <w:p w:rsidR="00E83A39"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2111.5</w:t>
            </w:r>
          </w:p>
        </w:tc>
        <w:tc>
          <w:tcPr>
            <w:tcW w:w="0" w:type="auto"/>
          </w:tcPr>
          <w:p w:rsidR="00E83A39"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8</w:t>
            </w:r>
            <w:r>
              <w:rPr>
                <w:rFonts w:ascii="Times New Roman" w:hAnsi="Times New Roman" w:cs="Times New Roman"/>
                <w:bCs/>
                <w:sz w:val="24"/>
                <w:lang w:val="en-DE"/>
              </w:rPr>
              <w:t>9</w:t>
            </w:r>
          </w:p>
        </w:tc>
      </w:tr>
      <w:tr w:rsidR="000924BD" w:rsidRPr="00D37D3E" w:rsidTr="00231FB3">
        <w:trPr>
          <w:jc w:val="center"/>
        </w:trPr>
        <w:tc>
          <w:tcPr>
            <w:tcW w:w="0" w:type="auto"/>
            <w:hideMark/>
          </w:tcPr>
          <w:p w:rsidR="000924BD" w:rsidRPr="00D37D3E" w:rsidRDefault="000924BD"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TM-2</w:t>
            </w:r>
          </w:p>
        </w:tc>
        <w:tc>
          <w:tcPr>
            <w:tcW w:w="0" w:type="auto"/>
            <w:hideMark/>
          </w:tcPr>
          <w:p w:rsidR="000924BD" w:rsidRPr="00D37D3E" w:rsidRDefault="00240985" w:rsidP="00231FB3">
            <w:pPr>
              <w:spacing w:line="360" w:lineRule="auto"/>
              <w:jc w:val="center"/>
              <w:rPr>
                <w:rFonts w:ascii="Times New Roman" w:hAnsi="Times New Roman" w:cs="Times New Roman"/>
                <w:bCs/>
                <w:sz w:val="24"/>
                <w:lang w:val="en-DE"/>
              </w:rPr>
            </w:pPr>
            <w:r w:rsidRPr="00240985">
              <w:rPr>
                <w:rFonts w:ascii="Times New Roman" w:hAnsi="Times New Roman" w:cs="Times New Roman"/>
                <w:bCs/>
                <w:sz w:val="24"/>
                <w:lang w:val="en-DE"/>
              </w:rPr>
              <w:t>25484.5</w:t>
            </w:r>
          </w:p>
        </w:tc>
        <w:tc>
          <w:tcPr>
            <w:tcW w:w="0" w:type="auto"/>
            <w:hideMark/>
          </w:tcPr>
          <w:p w:rsidR="000924BD" w:rsidRPr="00D37D3E" w:rsidRDefault="00240985" w:rsidP="00231FB3">
            <w:pPr>
              <w:spacing w:line="360" w:lineRule="auto"/>
              <w:jc w:val="center"/>
              <w:rPr>
                <w:rFonts w:ascii="Times New Roman" w:hAnsi="Times New Roman" w:cs="Times New Roman"/>
                <w:bCs/>
                <w:sz w:val="24"/>
                <w:lang w:val="en-DE"/>
              </w:rPr>
            </w:pPr>
            <w:r w:rsidRPr="00240985">
              <w:rPr>
                <w:rFonts w:ascii="Times New Roman" w:hAnsi="Times New Roman" w:cs="Times New Roman"/>
                <w:bCs/>
                <w:sz w:val="24"/>
                <w:lang w:val="en-DE"/>
              </w:rPr>
              <w:t>13022.6</w:t>
            </w:r>
          </w:p>
        </w:tc>
        <w:tc>
          <w:tcPr>
            <w:tcW w:w="0" w:type="auto"/>
            <w:hideMark/>
          </w:tcPr>
          <w:p w:rsidR="000924BD"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3701.8</w:t>
            </w:r>
          </w:p>
        </w:tc>
        <w:tc>
          <w:tcPr>
            <w:tcW w:w="0" w:type="auto"/>
            <w:hideMark/>
          </w:tcPr>
          <w:p w:rsidR="000924BD" w:rsidRPr="00D37D3E" w:rsidRDefault="00E83A39"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1</w:t>
            </w:r>
            <w:r w:rsidR="00240985">
              <w:rPr>
                <w:rFonts w:ascii="Times New Roman" w:hAnsi="Times New Roman" w:cs="Times New Roman"/>
                <w:bCs/>
                <w:sz w:val="24"/>
                <w:lang w:val="en-DE"/>
              </w:rPr>
              <w:t>8</w:t>
            </w:r>
            <w:r w:rsidRPr="00D37D3E">
              <w:rPr>
                <w:rFonts w:ascii="Times New Roman" w:hAnsi="Times New Roman" w:cs="Times New Roman"/>
                <w:bCs/>
                <w:sz w:val="24"/>
                <w:lang w:val="en-DE"/>
              </w:rPr>
              <w:t>91.6</w:t>
            </w:r>
          </w:p>
        </w:tc>
        <w:tc>
          <w:tcPr>
            <w:tcW w:w="0" w:type="auto"/>
          </w:tcPr>
          <w:p w:rsidR="000924BD" w:rsidRPr="00D37D3E" w:rsidRDefault="00CC2A6A"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87</w:t>
            </w:r>
          </w:p>
        </w:tc>
      </w:tr>
      <w:tr w:rsidR="000924BD" w:rsidRPr="00D37D3E" w:rsidTr="00231FB3">
        <w:trPr>
          <w:jc w:val="center"/>
        </w:trPr>
        <w:tc>
          <w:tcPr>
            <w:tcW w:w="0" w:type="auto"/>
            <w:hideMark/>
          </w:tcPr>
          <w:p w:rsidR="000924BD" w:rsidRPr="00D37D3E" w:rsidRDefault="000924BD"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TM-5</w:t>
            </w:r>
          </w:p>
        </w:tc>
        <w:tc>
          <w:tcPr>
            <w:tcW w:w="0" w:type="auto"/>
            <w:hideMark/>
          </w:tcPr>
          <w:p w:rsidR="000924BD" w:rsidRPr="00D37D3E" w:rsidRDefault="004F07AE"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16942.8</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8657.8</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3191.0</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1630.6</w:t>
            </w:r>
          </w:p>
        </w:tc>
        <w:tc>
          <w:tcPr>
            <w:tcW w:w="0" w:type="auto"/>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84</w:t>
            </w:r>
          </w:p>
        </w:tc>
      </w:tr>
      <w:tr w:rsidR="000924BD" w:rsidRPr="00D37D3E" w:rsidTr="00231FB3">
        <w:trPr>
          <w:jc w:val="center"/>
        </w:trPr>
        <w:tc>
          <w:tcPr>
            <w:tcW w:w="0" w:type="auto"/>
            <w:hideMark/>
          </w:tcPr>
          <w:p w:rsidR="000924BD" w:rsidRPr="00D37D3E" w:rsidRDefault="000924BD"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TM-10</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26902.2</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13747.0</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5163.4</w:t>
            </w:r>
          </w:p>
        </w:tc>
        <w:tc>
          <w:tcPr>
            <w:tcW w:w="0" w:type="auto"/>
            <w:hideMark/>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2638.5</w:t>
            </w:r>
          </w:p>
        </w:tc>
        <w:tc>
          <w:tcPr>
            <w:tcW w:w="0" w:type="auto"/>
          </w:tcPr>
          <w:p w:rsidR="000924BD" w:rsidRPr="00D37D3E" w:rsidRDefault="008B4195" w:rsidP="00231FB3">
            <w:pPr>
              <w:spacing w:line="360" w:lineRule="auto"/>
              <w:jc w:val="center"/>
              <w:rPr>
                <w:rFonts w:ascii="Times New Roman" w:hAnsi="Times New Roman" w:cs="Times New Roman"/>
                <w:bCs/>
                <w:sz w:val="24"/>
                <w:lang w:val="en-DE"/>
              </w:rPr>
            </w:pPr>
            <w:r w:rsidRPr="00D37D3E">
              <w:rPr>
                <w:rFonts w:ascii="Times New Roman" w:hAnsi="Times New Roman" w:cs="Times New Roman"/>
                <w:bCs/>
                <w:sz w:val="24"/>
                <w:lang w:val="en-DE"/>
              </w:rPr>
              <w:t>83</w:t>
            </w:r>
          </w:p>
        </w:tc>
      </w:tr>
    </w:tbl>
    <w:p w:rsidR="000924BD" w:rsidRPr="00D37D3E" w:rsidRDefault="000924BD" w:rsidP="00A3505E">
      <w:pPr>
        <w:spacing w:line="360" w:lineRule="auto"/>
        <w:jc w:val="both"/>
        <w:rPr>
          <w:rFonts w:asciiTheme="majorBidi" w:hAnsiTheme="majorBidi" w:cstheme="majorBidi"/>
          <w:sz w:val="24"/>
          <w:szCs w:val="24"/>
          <w:lang w:val="en-DE"/>
        </w:rPr>
      </w:pPr>
    </w:p>
    <w:p w:rsidR="001D7D15" w:rsidRPr="00D37D3E" w:rsidRDefault="001D7D15" w:rsidP="001D7D15">
      <w:pPr>
        <w:spacing w:line="360" w:lineRule="auto"/>
        <w:jc w:val="both"/>
        <w:rPr>
          <w:rFonts w:ascii="Times New Roman" w:hAnsi="Times New Roman" w:cs="Times New Roman"/>
          <w:sz w:val="24"/>
          <w:lang w:val="en-DE"/>
        </w:rPr>
      </w:pPr>
      <w:r w:rsidRPr="00D37D3E">
        <w:rPr>
          <w:rFonts w:ascii="Times New Roman" w:hAnsi="Times New Roman" w:cs="Times New Roman"/>
          <w:sz w:val="24"/>
          <w:lang w:val="en-DE"/>
        </w:rPr>
        <w:t>The percentage of 1T-MoS₂ was determined by integrating the areas of the deconvoluted S 2p₃/₂ and S 2p₁/₂ peaks corresponding to both the 1T and 2H phases of MoS₂. The 1T phase content was calculated using the following formula:</w:t>
      </w:r>
    </w:p>
    <w:p w:rsidR="001D7D15" w:rsidRPr="00D37D3E" w:rsidRDefault="001D7D15" w:rsidP="001D7D15">
      <w:pPr>
        <w:spacing w:line="360" w:lineRule="auto"/>
        <w:jc w:val="both"/>
        <w:rPr>
          <w:rFonts w:ascii="Times New Roman" w:hAnsi="Times New Roman" w:cs="Times New Roman"/>
          <w:sz w:val="24"/>
          <w:lang w:val="en-DE"/>
        </w:rPr>
      </w:pPr>
      <w:r w:rsidRPr="00D37D3E">
        <w:rPr>
          <w:rFonts w:ascii="Times New Roman" w:hAnsi="Times New Roman" w:cs="Times New Roman"/>
          <w:sz w:val="24"/>
        </w:rPr>
        <w:t>1T-MoS</w:t>
      </w:r>
      <w:r w:rsidRPr="00D37D3E">
        <w:rPr>
          <w:rFonts w:ascii="Times New Roman" w:hAnsi="Times New Roman" w:cs="Times New Roman"/>
          <w:sz w:val="24"/>
          <w:vertAlign w:val="subscript"/>
        </w:rPr>
        <w:t>2</w:t>
      </w:r>
      <w:r w:rsidRPr="00D37D3E">
        <w:rPr>
          <w:rFonts w:ascii="Times New Roman" w:hAnsi="Times New Roman" w:cs="Times New Roman"/>
          <w:sz w:val="24"/>
        </w:rPr>
        <w:t>​ (%) = (A</w:t>
      </w:r>
      <w:r w:rsidRPr="00D37D3E">
        <w:rPr>
          <w:rFonts w:ascii="Times New Roman" w:hAnsi="Times New Roman" w:cs="Times New Roman"/>
          <w:sz w:val="24"/>
          <w:vertAlign w:val="subscript"/>
        </w:rPr>
        <w:t>1T</w:t>
      </w:r>
      <w:r w:rsidRPr="00D37D3E">
        <w:rPr>
          <w:rFonts w:ascii="Times New Roman" w:hAnsi="Times New Roman" w:cs="Times New Roman"/>
          <w:sz w:val="24"/>
        </w:rPr>
        <w:t>​ /(A</w:t>
      </w:r>
      <w:r w:rsidRPr="00D37D3E">
        <w:rPr>
          <w:rFonts w:ascii="Times New Roman" w:hAnsi="Times New Roman" w:cs="Times New Roman"/>
          <w:sz w:val="24"/>
          <w:vertAlign w:val="subscript"/>
        </w:rPr>
        <w:t>2H</w:t>
      </w:r>
      <w:r w:rsidRPr="00D37D3E">
        <w:rPr>
          <w:rFonts w:ascii="Times New Roman" w:hAnsi="Times New Roman" w:cs="Times New Roman"/>
          <w:sz w:val="24"/>
        </w:rPr>
        <w:t>​+A</w:t>
      </w:r>
      <w:r w:rsidRPr="00D37D3E">
        <w:rPr>
          <w:rFonts w:ascii="Times New Roman" w:hAnsi="Times New Roman" w:cs="Times New Roman"/>
          <w:sz w:val="24"/>
          <w:vertAlign w:val="subscript"/>
        </w:rPr>
        <w:t>1T</w:t>
      </w:r>
      <w:r w:rsidRPr="00D37D3E">
        <w:rPr>
          <w:rFonts w:ascii="Times New Roman" w:hAnsi="Times New Roman" w:cs="Times New Roman"/>
          <w:sz w:val="24"/>
        </w:rPr>
        <w:t>​​)) ×100</w:t>
      </w:r>
    </w:p>
    <w:p w:rsidR="001D7D15" w:rsidRPr="00D37D3E" w:rsidRDefault="001D7D15" w:rsidP="001D7D15">
      <w:pPr>
        <w:spacing w:line="360" w:lineRule="auto"/>
        <w:jc w:val="both"/>
        <w:rPr>
          <w:rFonts w:ascii="Times New Roman" w:hAnsi="Times New Roman" w:cs="Times New Roman"/>
          <w:sz w:val="24"/>
          <w:lang w:val="en-DE"/>
        </w:rPr>
      </w:pPr>
      <w:r w:rsidRPr="00D37D3E">
        <w:rPr>
          <w:rFonts w:ascii="Times New Roman" w:hAnsi="Times New Roman" w:cs="Times New Roman"/>
          <w:sz w:val="24"/>
          <w:lang w:val="en-DE"/>
        </w:rPr>
        <w:t>where A</w:t>
      </w:r>
      <w:r w:rsidRPr="00D37D3E">
        <w:rPr>
          <w:rFonts w:ascii="Times New Roman" w:hAnsi="Times New Roman" w:cs="Times New Roman"/>
          <w:sz w:val="24"/>
          <w:vertAlign w:val="subscript"/>
          <w:lang w:val="en-DE"/>
        </w:rPr>
        <w:t>1T</w:t>
      </w:r>
      <w:r w:rsidRPr="00D37D3E">
        <w:rPr>
          <w:rFonts w:ascii="Times New Roman" w:hAnsi="Times New Roman" w:cs="Times New Roman"/>
          <w:sz w:val="24"/>
          <w:lang w:val="en-DE"/>
        </w:rPr>
        <w:t>​ and A</w:t>
      </w:r>
      <w:r w:rsidRPr="00D37D3E">
        <w:rPr>
          <w:rFonts w:ascii="Times New Roman" w:hAnsi="Times New Roman" w:cs="Times New Roman"/>
          <w:sz w:val="24"/>
          <w:vertAlign w:val="subscript"/>
          <w:lang w:val="en-DE"/>
        </w:rPr>
        <w:t>2H</w:t>
      </w:r>
      <w:r w:rsidRPr="00D37D3E">
        <w:rPr>
          <w:rFonts w:ascii="Times New Roman" w:hAnsi="Times New Roman" w:cs="Times New Roman"/>
          <w:sz w:val="24"/>
          <w:lang w:val="en-DE"/>
        </w:rPr>
        <w:t>​ represent the total integrated areas of the S 2p peaks attributed to the 1T and 2H phases, respectively.</w:t>
      </w:r>
    </w:p>
    <w:p w:rsidR="00A3505E" w:rsidRPr="00D37D3E" w:rsidRDefault="00A3505E" w:rsidP="00A3505E">
      <w:pPr>
        <w:spacing w:line="360" w:lineRule="auto"/>
        <w:jc w:val="both"/>
        <w:rPr>
          <w:rFonts w:ascii="Times New Roman" w:hAnsi="Times New Roman" w:cs="Times New Roman"/>
          <w:sz w:val="24"/>
          <w:lang w:val="en-DE"/>
        </w:rPr>
      </w:pPr>
    </w:p>
    <w:p w:rsidR="00A3505E" w:rsidRPr="00D37D3E" w:rsidRDefault="00A3505E" w:rsidP="00A3505E">
      <w:pPr>
        <w:spacing w:line="360" w:lineRule="auto"/>
        <w:jc w:val="both"/>
        <w:rPr>
          <w:rFonts w:ascii="Times New Roman" w:hAnsi="Times New Roman" w:cs="Times New Roman"/>
          <w:sz w:val="24"/>
        </w:rPr>
      </w:pPr>
    </w:p>
    <w:p w:rsidR="00A3505E" w:rsidRPr="00D37D3E" w:rsidRDefault="00A3505E" w:rsidP="00A3505E">
      <w:pPr>
        <w:spacing w:line="360" w:lineRule="auto"/>
        <w:jc w:val="both"/>
        <w:rPr>
          <w:rFonts w:ascii="Times New Roman" w:hAnsi="Times New Roman" w:cs="Times New Roman"/>
          <w:sz w:val="24"/>
        </w:rPr>
      </w:pPr>
    </w:p>
    <w:p w:rsidR="00A3505E" w:rsidRPr="00D37D3E" w:rsidRDefault="00A3505E" w:rsidP="00A3505E">
      <w:pPr>
        <w:spacing w:line="360" w:lineRule="auto"/>
        <w:jc w:val="both"/>
        <w:rPr>
          <w:rFonts w:ascii="Times New Roman" w:hAnsi="Times New Roman" w:cs="Times New Roman"/>
          <w:sz w:val="24"/>
        </w:rPr>
      </w:pPr>
    </w:p>
    <w:p w:rsidR="008F1D5B" w:rsidRPr="00D37D3E" w:rsidRDefault="00000000">
      <w:pPr>
        <w:rPr>
          <w:rFonts w:ascii="Times New Roman" w:hAnsi="Times New Roman" w:cs="Times New Roman"/>
          <w:b/>
          <w:sz w:val="24"/>
        </w:rPr>
      </w:pPr>
      <w:r w:rsidRPr="00D37D3E">
        <w:rPr>
          <w:noProof/>
          <w:lang w:eastAsia="en-GB"/>
        </w:rPr>
        <w:lastRenderedPageBreak/>
        <w:drawing>
          <wp:inline distT="0" distB="0" distL="0" distR="0">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9"/>
                    <a:stretch>
                      <a:fillRect/>
                    </a:stretch>
                  </pic:blipFill>
                  <pic:spPr>
                    <a:xfrm>
                      <a:off x="0" y="0"/>
                      <a:ext cx="5943600" cy="3343275"/>
                    </a:xfrm>
                    <a:prstGeom prst="rect">
                      <a:avLst/>
                    </a:prstGeom>
                  </pic:spPr>
                </pic:pic>
              </a:graphicData>
            </a:graphic>
          </wp:inline>
        </w:drawing>
      </w:r>
    </w:p>
    <w:p w:rsidR="008F1D5B" w:rsidRPr="00D37D3E" w:rsidRDefault="00000000">
      <w:pPr>
        <w:spacing w:line="360" w:lineRule="auto"/>
        <w:jc w:val="center"/>
        <w:rPr>
          <w:rFonts w:ascii="Times New Roman" w:hAnsi="Times New Roman" w:cs="Times New Roman"/>
          <w:sz w:val="24"/>
        </w:rPr>
      </w:pPr>
      <w:r w:rsidRPr="00D37D3E">
        <w:rPr>
          <w:rFonts w:ascii="Times New Roman" w:hAnsi="Times New Roman" w:cs="Times New Roman"/>
          <w:b/>
          <w:sz w:val="24"/>
        </w:rPr>
        <w:t>Figure S4</w:t>
      </w:r>
      <w:r w:rsidRPr="00D37D3E">
        <w:rPr>
          <w:rFonts w:ascii="Times New Roman" w:hAnsi="Times New Roman" w:cs="Times New Roman"/>
          <w:sz w:val="24"/>
        </w:rPr>
        <w:t>. Cyclic voltammograms obtained from the non-Faradic Region of (a) 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r w:rsidRPr="00D37D3E">
        <w:rPr>
          <w:rFonts w:ascii="Times New Roman" w:hAnsi="Times New Roman" w:cs="Times New Roman"/>
          <w:sz w:val="24"/>
        </w:rPr>
        <w:t>, (b) 2H-MoS</w:t>
      </w:r>
      <w:r w:rsidRPr="00D37D3E">
        <w:rPr>
          <w:rFonts w:ascii="Times New Roman" w:hAnsi="Times New Roman" w:cs="Times New Roman"/>
          <w:sz w:val="24"/>
          <w:vertAlign w:val="subscript"/>
        </w:rPr>
        <w:t>2</w:t>
      </w:r>
      <w:r w:rsidRPr="00D37D3E">
        <w:rPr>
          <w:rFonts w:ascii="Times New Roman" w:hAnsi="Times New Roman" w:cs="Times New Roman"/>
          <w:sz w:val="24"/>
        </w:rPr>
        <w:t>, (c) 1T-MoS</w:t>
      </w:r>
      <w:r w:rsidRPr="00D37D3E">
        <w:rPr>
          <w:rFonts w:ascii="Times New Roman" w:hAnsi="Times New Roman" w:cs="Times New Roman"/>
          <w:sz w:val="24"/>
          <w:vertAlign w:val="subscript"/>
        </w:rPr>
        <w:t>2</w:t>
      </w:r>
      <w:r w:rsidRPr="00D37D3E">
        <w:rPr>
          <w:rFonts w:ascii="Times New Roman" w:hAnsi="Times New Roman" w:cs="Times New Roman"/>
          <w:sz w:val="24"/>
        </w:rPr>
        <w:t>, (d) TM-1, (e) TM-2, (f) TM-5, and (g) TM-10 at different scan rates in 0.5M H</w:t>
      </w:r>
      <w:r w:rsidRPr="00D37D3E">
        <w:rPr>
          <w:rFonts w:ascii="Times New Roman" w:hAnsi="Times New Roman" w:cs="Times New Roman"/>
          <w:sz w:val="24"/>
          <w:vertAlign w:val="subscript"/>
        </w:rPr>
        <w:t>2</w:t>
      </w:r>
      <w:r w:rsidRPr="00D37D3E">
        <w:rPr>
          <w:rFonts w:ascii="Times New Roman" w:hAnsi="Times New Roman" w:cs="Times New Roman"/>
          <w:sz w:val="24"/>
        </w:rPr>
        <w:t>SO</w:t>
      </w:r>
      <w:r w:rsidRPr="00D37D3E">
        <w:rPr>
          <w:rFonts w:ascii="Times New Roman" w:hAnsi="Times New Roman" w:cs="Times New Roman"/>
          <w:sz w:val="24"/>
          <w:vertAlign w:val="subscript"/>
        </w:rPr>
        <w:t>4</w:t>
      </w:r>
      <w:r w:rsidRPr="00D37D3E">
        <w:rPr>
          <w:rFonts w:ascii="Times New Roman" w:hAnsi="Times New Roman" w:cs="Times New Roman"/>
          <w:sz w:val="24"/>
        </w:rPr>
        <w:t>.</w:t>
      </w:r>
    </w:p>
    <w:p w:rsidR="008F1D5B" w:rsidRPr="00D37D3E" w:rsidRDefault="008F1D5B">
      <w:pPr>
        <w:jc w:val="center"/>
        <w:rPr>
          <w:rFonts w:ascii="Times New Roman" w:hAnsi="Times New Roman" w:cs="Times New Roman"/>
          <w:b/>
          <w:sz w:val="24"/>
        </w:rPr>
      </w:pPr>
    </w:p>
    <w:p w:rsidR="008F1D5B" w:rsidRPr="00D37D3E" w:rsidRDefault="00000000">
      <w:pPr>
        <w:jc w:val="center"/>
        <w:rPr>
          <w:rFonts w:ascii="Times New Roman" w:hAnsi="Times New Roman" w:cs="Times New Roman"/>
          <w:b/>
          <w:sz w:val="24"/>
        </w:rPr>
      </w:pPr>
      <w:r w:rsidRPr="00D37D3E">
        <w:rPr>
          <w:rFonts w:ascii="Times New Roman" w:hAnsi="Times New Roman" w:cs="Times New Roman"/>
          <w:b/>
          <w:noProof/>
          <w:sz w:val="24"/>
          <w:lang w:eastAsia="en-GB"/>
        </w:rPr>
        <w:drawing>
          <wp:inline distT="0" distB="0" distL="0" distR="0">
            <wp:extent cx="2882900" cy="13843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82900" cy="1384300"/>
                    </a:xfrm>
                    <a:prstGeom prst="rect">
                      <a:avLst/>
                    </a:prstGeom>
                    <a:noFill/>
                    <a:ln>
                      <a:noFill/>
                    </a:ln>
                  </pic:spPr>
                </pic:pic>
              </a:graphicData>
            </a:graphic>
          </wp:inline>
        </w:drawing>
      </w:r>
    </w:p>
    <w:p w:rsidR="008F1D5B" w:rsidRPr="00D37D3E" w:rsidRDefault="008F1D5B">
      <w:pPr>
        <w:jc w:val="center"/>
        <w:rPr>
          <w:rFonts w:ascii="Times New Roman" w:hAnsi="Times New Roman" w:cs="Times New Roman"/>
          <w:b/>
          <w:sz w:val="24"/>
        </w:rPr>
      </w:pPr>
    </w:p>
    <w:p w:rsidR="008F1D5B" w:rsidRPr="00D37D3E" w:rsidRDefault="00000000">
      <w:pPr>
        <w:spacing w:line="480" w:lineRule="auto"/>
        <w:jc w:val="center"/>
        <w:rPr>
          <w:rFonts w:ascii="Times New Roman" w:eastAsia="SimSun" w:hAnsi="Times New Roman" w:cs="Times New Roman"/>
          <w:kern w:val="2"/>
          <w:sz w:val="24"/>
          <w:szCs w:val="24"/>
          <w:lang w:val="en-US" w:eastAsia="zh-CN"/>
        </w:rPr>
      </w:pPr>
      <w:r w:rsidRPr="00D37D3E">
        <w:rPr>
          <w:rFonts w:ascii="Times New Roman" w:hAnsi="Times New Roman" w:cs="Times New Roman"/>
          <w:b/>
          <w:sz w:val="24"/>
          <w:szCs w:val="24"/>
          <w:lang w:val="en-US"/>
        </w:rPr>
        <w:t>Figure S5</w:t>
      </w:r>
      <w:r w:rsidRPr="00D37D3E">
        <w:rPr>
          <w:rFonts w:ascii="Times New Roman" w:hAnsi="Times New Roman" w:cs="Times New Roman"/>
          <w:sz w:val="24"/>
          <w:szCs w:val="24"/>
          <w:lang w:val="en-US"/>
        </w:rPr>
        <w:t xml:space="preserve">. </w:t>
      </w:r>
      <w:r w:rsidRPr="00D37D3E">
        <w:rPr>
          <w:rFonts w:ascii="Times New Roman" w:eastAsia="SimSun" w:hAnsi="Times New Roman" w:cs="Times New Roman"/>
          <w:kern w:val="2"/>
          <w:sz w:val="24"/>
          <w:szCs w:val="24"/>
          <w:lang w:eastAsia="zh-CN"/>
        </w:rPr>
        <w:t xml:space="preserve">Equivalent circuit used to stimulate the Nyquist plot where </w:t>
      </w:r>
      <w:r w:rsidRPr="00D37D3E">
        <w:rPr>
          <w:rFonts w:ascii="Times New Roman" w:eastAsia="SimSun" w:hAnsi="Times New Roman" w:cs="Times New Roman" w:hint="eastAsia"/>
          <w:kern w:val="2"/>
          <w:sz w:val="24"/>
          <w:szCs w:val="24"/>
          <w:lang w:val="en-US" w:eastAsia="zh-CN"/>
        </w:rPr>
        <w:t xml:space="preserve">L: </w:t>
      </w:r>
      <w:r w:rsidRPr="00D37D3E">
        <w:rPr>
          <w:rFonts w:ascii="Times New Roman" w:eastAsia="SimSun" w:hAnsi="Times New Roman" w:cs="Times New Roman"/>
          <w:kern w:val="2"/>
          <w:sz w:val="24"/>
          <w:szCs w:val="24"/>
          <w:lang w:val="en-US" w:eastAsia="zh-CN"/>
        </w:rPr>
        <w:t>inductance</w:t>
      </w:r>
      <w:r w:rsidRPr="00D37D3E">
        <w:rPr>
          <w:rFonts w:ascii="Times New Roman" w:eastAsia="SimSun" w:hAnsi="Times New Roman" w:cs="Times New Roman" w:hint="eastAsia"/>
          <w:kern w:val="2"/>
          <w:sz w:val="24"/>
          <w:szCs w:val="24"/>
          <w:lang w:val="en-US" w:eastAsia="zh-CN"/>
        </w:rPr>
        <w:t xml:space="preserve">, </w:t>
      </w:r>
      <w:r w:rsidRPr="00D37D3E">
        <w:rPr>
          <w:rFonts w:ascii="Times New Roman" w:eastAsia="SimSun" w:hAnsi="Times New Roman" w:cs="Times New Roman"/>
          <w:kern w:val="2"/>
          <w:sz w:val="24"/>
          <w:szCs w:val="24"/>
          <w:lang w:val="en-US" w:eastAsia="zh-CN"/>
        </w:rPr>
        <w:t>R</w:t>
      </w:r>
      <w:r w:rsidRPr="00D37D3E">
        <w:rPr>
          <w:rFonts w:ascii="Times New Roman" w:eastAsia="SimSun" w:hAnsi="Times New Roman" w:cs="Times New Roman"/>
          <w:kern w:val="2"/>
          <w:sz w:val="24"/>
          <w:szCs w:val="24"/>
          <w:vertAlign w:val="subscript"/>
          <w:lang w:val="en-US" w:eastAsia="zh-CN"/>
        </w:rPr>
        <w:t>s</w:t>
      </w:r>
      <w:r w:rsidRPr="00D37D3E">
        <w:rPr>
          <w:rFonts w:ascii="Times New Roman" w:eastAsia="SimSun" w:hAnsi="Times New Roman" w:cs="Times New Roman" w:hint="eastAsia"/>
          <w:kern w:val="2"/>
          <w:sz w:val="24"/>
          <w:szCs w:val="24"/>
          <w:lang w:val="en-US" w:eastAsia="zh-CN"/>
        </w:rPr>
        <w:t xml:space="preserve">: </w:t>
      </w:r>
      <w:r w:rsidRPr="00D37D3E">
        <w:rPr>
          <w:rFonts w:ascii="Times New Roman" w:eastAsia="SimSun" w:hAnsi="Times New Roman" w:cs="Times New Roman"/>
          <w:kern w:val="2"/>
          <w:sz w:val="24"/>
          <w:szCs w:val="24"/>
          <w:lang w:val="en-US" w:eastAsia="zh-CN"/>
        </w:rPr>
        <w:t>solution resistance, R</w:t>
      </w:r>
      <w:r w:rsidRPr="00D37D3E">
        <w:rPr>
          <w:rFonts w:ascii="Times New Roman" w:eastAsia="SimSun" w:hAnsi="Times New Roman" w:cs="Times New Roman" w:hint="eastAsia"/>
          <w:kern w:val="2"/>
          <w:sz w:val="24"/>
          <w:szCs w:val="24"/>
          <w:vertAlign w:val="subscript"/>
          <w:lang w:val="en-US" w:eastAsia="zh-CN"/>
        </w:rPr>
        <w:t>f</w:t>
      </w:r>
      <w:r w:rsidRPr="00D37D3E">
        <w:rPr>
          <w:rFonts w:ascii="Times New Roman" w:eastAsia="SimSun" w:hAnsi="Times New Roman" w:cs="Times New Roman"/>
          <w:kern w:val="2"/>
          <w:sz w:val="24"/>
          <w:szCs w:val="24"/>
          <w:lang w:val="en-US" w:eastAsia="zh-CN"/>
        </w:rPr>
        <w:t xml:space="preserve"> and CPE</w:t>
      </w:r>
      <w:r w:rsidRPr="00D37D3E">
        <w:rPr>
          <w:rFonts w:ascii="Times New Roman" w:eastAsia="SimSun" w:hAnsi="Times New Roman" w:cs="Times New Roman"/>
          <w:kern w:val="2"/>
          <w:sz w:val="24"/>
          <w:szCs w:val="24"/>
          <w:vertAlign w:val="subscript"/>
          <w:lang w:val="en-US" w:eastAsia="zh-CN"/>
        </w:rPr>
        <w:t>1</w:t>
      </w:r>
      <w:r w:rsidRPr="00D37D3E">
        <w:rPr>
          <w:rFonts w:ascii="Times New Roman" w:eastAsia="SimSun" w:hAnsi="Times New Roman" w:cs="Times New Roman"/>
          <w:kern w:val="2"/>
          <w:sz w:val="24"/>
          <w:szCs w:val="24"/>
          <w:lang w:val="en-US" w:eastAsia="zh-CN"/>
        </w:rPr>
        <w:t xml:space="preserve"> are related to the porosity</w:t>
      </w:r>
      <w:r w:rsidRPr="00D37D3E">
        <w:rPr>
          <w:rFonts w:ascii="Times New Roman" w:eastAsia="SimSun" w:hAnsi="Times New Roman" w:cs="Times New Roman" w:hint="eastAsia"/>
          <w:kern w:val="2"/>
          <w:sz w:val="24"/>
          <w:szCs w:val="24"/>
          <w:lang w:val="en-US" w:eastAsia="zh-CN"/>
        </w:rPr>
        <w:t xml:space="preserve"> of </w:t>
      </w:r>
      <w:r w:rsidRPr="00D37D3E">
        <w:rPr>
          <w:rFonts w:ascii="Times New Roman" w:eastAsia="SimSun" w:hAnsi="Times New Roman" w:cs="Times New Roman"/>
          <w:kern w:val="2"/>
          <w:sz w:val="24"/>
          <w:szCs w:val="24"/>
          <w:lang w:val="en-US" w:eastAsia="zh-CN"/>
        </w:rPr>
        <w:t>the electrode; R</w:t>
      </w:r>
      <w:r w:rsidRPr="00D37D3E">
        <w:rPr>
          <w:rFonts w:ascii="Times New Roman" w:eastAsia="SimSun" w:hAnsi="Times New Roman" w:cs="Times New Roman"/>
          <w:kern w:val="2"/>
          <w:sz w:val="24"/>
          <w:szCs w:val="24"/>
          <w:vertAlign w:val="subscript"/>
          <w:lang w:val="en-US" w:eastAsia="zh-CN"/>
        </w:rPr>
        <w:t>ct</w:t>
      </w:r>
      <w:r w:rsidRPr="00D37D3E">
        <w:rPr>
          <w:rFonts w:ascii="Times New Roman" w:eastAsia="SimSun" w:hAnsi="Times New Roman" w:cs="Times New Roman" w:hint="eastAsia"/>
          <w:kern w:val="2"/>
          <w:sz w:val="24"/>
          <w:szCs w:val="24"/>
          <w:lang w:val="en-US" w:eastAsia="zh-CN"/>
        </w:rPr>
        <w:t xml:space="preserve">: </w:t>
      </w:r>
      <w:r w:rsidRPr="00D37D3E">
        <w:rPr>
          <w:rFonts w:ascii="Times New Roman" w:eastAsia="SimSun" w:hAnsi="Times New Roman" w:cs="Times New Roman"/>
          <w:kern w:val="2"/>
          <w:sz w:val="24"/>
          <w:szCs w:val="24"/>
          <w:lang w:val="en-US" w:eastAsia="zh-CN"/>
        </w:rPr>
        <w:t>charge transfer resistance,</w:t>
      </w:r>
      <w:r w:rsidRPr="00D37D3E">
        <w:rPr>
          <w:rFonts w:ascii="Times New Roman" w:eastAsia="SimSun" w:hAnsi="Times New Roman" w:cs="Times New Roman" w:hint="eastAsia"/>
          <w:kern w:val="2"/>
          <w:sz w:val="24"/>
          <w:szCs w:val="24"/>
          <w:lang w:val="en-US" w:eastAsia="zh-CN"/>
        </w:rPr>
        <w:t xml:space="preserve"> </w:t>
      </w:r>
      <w:r w:rsidRPr="00D37D3E">
        <w:rPr>
          <w:rFonts w:ascii="Times New Roman" w:eastAsia="SimSun" w:hAnsi="Times New Roman" w:cs="Times New Roman"/>
          <w:kern w:val="2"/>
          <w:sz w:val="24"/>
          <w:szCs w:val="24"/>
          <w:lang w:val="en-US" w:eastAsia="zh-CN"/>
        </w:rPr>
        <w:t>CPE</w:t>
      </w:r>
      <w:r w:rsidRPr="00D37D3E">
        <w:rPr>
          <w:rFonts w:ascii="Times New Roman" w:eastAsia="SimSun" w:hAnsi="Times New Roman" w:cs="Times New Roman"/>
          <w:kern w:val="2"/>
          <w:sz w:val="24"/>
          <w:szCs w:val="24"/>
          <w:vertAlign w:val="subscript"/>
          <w:lang w:val="en-US" w:eastAsia="zh-CN"/>
        </w:rPr>
        <w:t>2</w:t>
      </w:r>
      <w:r w:rsidRPr="00D37D3E">
        <w:rPr>
          <w:rFonts w:ascii="Times New Roman" w:eastAsia="SimSun" w:hAnsi="Times New Roman" w:cs="Times New Roman"/>
          <w:kern w:val="2"/>
          <w:sz w:val="24"/>
          <w:szCs w:val="24"/>
          <w:lang w:val="en-US" w:eastAsia="zh-CN"/>
        </w:rPr>
        <w:t xml:space="preserve"> is related to the interface between catalyst and</w:t>
      </w:r>
      <w:r w:rsidRPr="00D37D3E">
        <w:rPr>
          <w:rFonts w:ascii="Times New Roman" w:eastAsia="SimSun" w:hAnsi="Times New Roman" w:cs="Times New Roman" w:hint="eastAsia"/>
          <w:kern w:val="2"/>
          <w:sz w:val="24"/>
          <w:szCs w:val="24"/>
          <w:lang w:val="en-US" w:eastAsia="zh-CN"/>
        </w:rPr>
        <w:t xml:space="preserve"> </w:t>
      </w:r>
      <w:r w:rsidRPr="00D37D3E">
        <w:rPr>
          <w:rFonts w:ascii="Times New Roman" w:eastAsia="SimSun" w:hAnsi="Times New Roman" w:cs="Times New Roman"/>
          <w:kern w:val="2"/>
          <w:sz w:val="24"/>
          <w:szCs w:val="24"/>
          <w:lang w:val="en-US" w:eastAsia="zh-CN"/>
        </w:rPr>
        <w:t>electrolyte; CPE represents constant phase element</w:t>
      </w:r>
      <w:r w:rsidRPr="00D37D3E">
        <w:rPr>
          <w:rFonts w:ascii="Times New Roman" w:eastAsia="SimSun" w:hAnsi="Times New Roman" w:cs="Times New Roman" w:hint="eastAsia"/>
          <w:kern w:val="2"/>
          <w:sz w:val="24"/>
          <w:szCs w:val="24"/>
          <w:lang w:val="en-US" w:eastAsia="zh-CN"/>
        </w:rPr>
        <w:t>.</w:t>
      </w:r>
    </w:p>
    <w:p w:rsidR="008F1D5B" w:rsidRPr="00D37D3E" w:rsidRDefault="00000000">
      <w:pPr>
        <w:rPr>
          <w:rFonts w:ascii="Times New Roman" w:hAnsi="Times New Roman" w:cs="Times New Roman"/>
          <w:sz w:val="24"/>
          <w:szCs w:val="24"/>
        </w:rPr>
      </w:pPr>
      <w:r w:rsidRPr="00D37D3E">
        <w:rPr>
          <w:rFonts w:ascii="Times New Roman" w:hAnsi="Times New Roman" w:cs="Times New Roman"/>
          <w:sz w:val="24"/>
          <w:szCs w:val="24"/>
        </w:rPr>
        <w:t>(EIS data fitted by ZView software)</w:t>
      </w:r>
    </w:p>
    <w:p w:rsidR="008F1D5B" w:rsidRPr="00D37D3E" w:rsidRDefault="00000000" w:rsidP="00D606CF">
      <w:pPr>
        <w:spacing w:line="360" w:lineRule="auto"/>
        <w:jc w:val="center"/>
        <w:rPr>
          <w:rFonts w:ascii="Times New Roman" w:hAnsi="Times New Roman" w:cs="Times New Roman"/>
          <w:sz w:val="24"/>
          <w:szCs w:val="24"/>
        </w:rPr>
      </w:pPr>
      <w:r w:rsidRPr="00D37D3E">
        <w:rPr>
          <w:rFonts w:ascii="Times New Roman" w:hAnsi="Times New Roman" w:cs="Times New Roman"/>
          <w:b/>
          <w:sz w:val="24"/>
        </w:rPr>
        <w:lastRenderedPageBreak/>
        <w:t>Table S</w:t>
      </w:r>
      <w:r w:rsidR="00C7188B" w:rsidRPr="00D37D3E">
        <w:rPr>
          <w:rFonts w:ascii="Times New Roman" w:hAnsi="Times New Roman" w:cs="Times New Roman"/>
          <w:b/>
          <w:sz w:val="24"/>
        </w:rPr>
        <w:t>2</w:t>
      </w:r>
      <w:r w:rsidRPr="00D37D3E">
        <w:rPr>
          <w:rFonts w:ascii="Times New Roman" w:hAnsi="Times New Roman" w:cs="Times New Roman"/>
          <w:b/>
          <w:sz w:val="24"/>
        </w:rPr>
        <w:t>.</w:t>
      </w:r>
      <w:r w:rsidRPr="00D37D3E">
        <w:rPr>
          <w:rFonts w:ascii="Times New Roman" w:hAnsi="Times New Roman" w:cs="Times New Roman"/>
          <w:sz w:val="24"/>
        </w:rPr>
        <w:t xml:space="preserve"> </w:t>
      </w:r>
      <w:r w:rsidR="00D606CF" w:rsidRPr="00D37D3E">
        <w:rPr>
          <w:rFonts w:ascii="Times New Roman" w:hAnsi="Times New Roman" w:cs="Times New Roman"/>
          <w:sz w:val="24"/>
        </w:rPr>
        <w:t>C</w:t>
      </w:r>
      <w:r w:rsidR="00D606CF" w:rsidRPr="00D37D3E">
        <w:rPr>
          <w:rFonts w:ascii="Times New Roman" w:hAnsi="Times New Roman" w:cs="Times New Roman"/>
          <w:sz w:val="24"/>
          <w:szCs w:val="24"/>
        </w:rPr>
        <w:t>omparison of the electrocatalytic performance of Ti₃C₂/1T-MoS₂ with other MoS₂-MXene-based materials for the hydrogen evolution reaction (HER).</w:t>
      </w:r>
    </w:p>
    <w:tbl>
      <w:tblPr>
        <w:tblStyle w:val="TableGrid"/>
        <w:tblW w:w="0" w:type="auto"/>
        <w:tblLook w:val="04A0" w:firstRow="1" w:lastRow="0" w:firstColumn="1" w:lastColumn="0" w:noHBand="0" w:noVBand="1"/>
      </w:tblPr>
      <w:tblGrid>
        <w:gridCol w:w="2543"/>
        <w:gridCol w:w="1327"/>
        <w:gridCol w:w="977"/>
        <w:gridCol w:w="822"/>
        <w:gridCol w:w="1464"/>
        <w:gridCol w:w="1103"/>
        <w:gridCol w:w="1114"/>
      </w:tblGrid>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Catalysts</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Overpotential</w:t>
            </w:r>
          </w:p>
          <w:p w:rsidR="003C66CA" w:rsidRPr="00D37D3E" w:rsidRDefault="003C66CA">
            <w:pPr>
              <w:spacing w:after="0" w:line="276" w:lineRule="auto"/>
              <w:jc w:val="center"/>
              <w:rPr>
                <w:rFonts w:ascii="Times New Roman" w:hAnsi="Times New Roman" w:cs="Times New Roman"/>
              </w:rPr>
            </w:pPr>
            <w:r w:rsidRPr="00D37D3E">
              <w:rPr>
                <w:rFonts w:ascii="Times New Roman" w:eastAsia="SimSun" w:hAnsi="Times New Roman" w:cs="Times New Roman"/>
                <w:bCs/>
                <w:color w:val="000000"/>
                <w:kern w:val="2"/>
                <w:lang w:val="el-GR" w:eastAsia="zh-CN"/>
              </w:rPr>
              <w:t>η</w:t>
            </w:r>
            <w:r w:rsidRPr="00D37D3E">
              <w:rPr>
                <w:rFonts w:ascii="Times New Roman" w:eastAsia="SimSun" w:hAnsi="Times New Roman" w:cs="Times New Roman"/>
                <w:bCs/>
                <w:color w:val="000000"/>
                <w:kern w:val="2"/>
                <w:vertAlign w:val="subscript"/>
                <w:lang w:val="en-US" w:eastAsia="zh-CN"/>
              </w:rPr>
              <w:t>10</w:t>
            </w:r>
            <w:r w:rsidRPr="00D37D3E">
              <w:rPr>
                <w:rFonts w:ascii="Times New Roman" w:eastAsia="SimSun" w:hAnsi="Times New Roman" w:cs="Times New Roman"/>
                <w:color w:val="000000"/>
                <w:kern w:val="2"/>
                <w:lang w:val="en-US" w:eastAsia="zh-CN"/>
              </w:rPr>
              <w:t xml:space="preserve"> </w:t>
            </w:r>
            <w:r w:rsidRPr="00D37D3E">
              <w:rPr>
                <w:rFonts w:ascii="Times New Roman" w:eastAsia="SimSun" w:hAnsi="Times New Roman" w:cs="Times New Roman"/>
                <w:bCs/>
                <w:color w:val="000000"/>
                <w:kern w:val="2"/>
                <w:lang w:val="en-US" w:eastAsia="zh-CN"/>
              </w:rPr>
              <w:t>[mV]</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Tafel Slope</w:t>
            </w:r>
          </w:p>
          <w:p w:rsidR="003C66CA" w:rsidRPr="00D37D3E" w:rsidRDefault="003C66CA">
            <w:pPr>
              <w:spacing w:after="0" w:line="276" w:lineRule="auto"/>
              <w:jc w:val="center"/>
              <w:rPr>
                <w:rFonts w:ascii="Times New Roman" w:hAnsi="Times New Roman" w:cs="Times New Roman"/>
              </w:rPr>
            </w:pPr>
            <w:r w:rsidRPr="00D37D3E">
              <w:rPr>
                <w:rFonts w:ascii="Times New Roman" w:eastAsia="SimSun" w:hAnsi="Times New Roman" w:cs="Times New Roman"/>
                <w:bCs/>
                <w:color w:val="000000"/>
                <w:kern w:val="2"/>
                <w:lang w:val="en-US" w:eastAsia="zh-CN"/>
              </w:rPr>
              <w:t>[mV·dec</w:t>
            </w:r>
            <w:r w:rsidRPr="00D37D3E">
              <w:rPr>
                <w:rFonts w:ascii="Times New Roman" w:eastAsia="SimSun" w:hAnsi="Times New Roman" w:cs="Times New Roman"/>
                <w:bCs/>
                <w:color w:val="000000"/>
                <w:kern w:val="2"/>
                <w:vertAlign w:val="superscript"/>
                <w:lang w:val="en-US" w:eastAsia="zh-CN"/>
              </w:rPr>
              <w:t>-1</w:t>
            </w:r>
            <w:r w:rsidRPr="00D37D3E">
              <w:rPr>
                <w:rFonts w:ascii="Times New Roman" w:eastAsia="SimSun" w:hAnsi="Times New Roman" w:cs="Times New Roman"/>
                <w:bCs/>
                <w:color w:val="000000"/>
                <w:kern w:val="2"/>
                <w:lang w:val="en-US" w:eastAsia="zh-CN"/>
              </w:rPr>
              <w:t>]</w:t>
            </w:r>
          </w:p>
        </w:tc>
        <w:tc>
          <w:tcPr>
            <w:tcW w:w="861"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Mass loading</w:t>
            </w:r>
          </w:p>
        </w:tc>
        <w:tc>
          <w:tcPr>
            <w:tcW w:w="1544"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Synthesis method</w:t>
            </w:r>
          </w:p>
        </w:tc>
        <w:tc>
          <w:tcPr>
            <w:tcW w:w="1160" w:type="dxa"/>
          </w:tcPr>
          <w:p w:rsidR="003C66CA" w:rsidRPr="00D37D3E" w:rsidRDefault="00607CD3">
            <w:pPr>
              <w:spacing w:after="0" w:line="276" w:lineRule="auto"/>
              <w:jc w:val="center"/>
              <w:rPr>
                <w:rFonts w:ascii="Times New Roman" w:hAnsi="Times New Roman" w:cs="Times New Roman"/>
              </w:rPr>
            </w:pPr>
            <w:r w:rsidRPr="00D37D3E">
              <w:rPr>
                <w:rFonts w:ascii="Times New Roman" w:hAnsi="Times New Roman" w:cs="Times New Roman"/>
              </w:rPr>
              <w:t>Electrolyte</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References</w:t>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r w:rsidRPr="00D37D3E">
              <w:rPr>
                <w:rFonts w:ascii="Times New Roman" w:hAnsi="Times New Roman" w:cs="Times New Roman"/>
              </w:rPr>
              <w:t>/ 1T-MoS</w:t>
            </w:r>
            <w:r w:rsidRPr="00D37D3E">
              <w:rPr>
                <w:rFonts w:ascii="Times New Roman" w:hAnsi="Times New Roman" w:cs="Times New Roman"/>
                <w:vertAlign w:val="subscript"/>
              </w:rPr>
              <w:t>2</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248</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55</w:t>
            </w:r>
          </w:p>
        </w:tc>
        <w:tc>
          <w:tcPr>
            <w:tcW w:w="861" w:type="dxa"/>
          </w:tcPr>
          <w:p w:rsidR="003C66CA" w:rsidRPr="00D37D3E" w:rsidRDefault="003C66CA">
            <w:pPr>
              <w:spacing w:after="0" w:line="276" w:lineRule="auto"/>
              <w:jc w:val="center"/>
              <w:rPr>
                <w:rFonts w:ascii="Times New Roman" w:hAnsi="Times New Roman" w:cs="Times New Roman"/>
                <w:color w:val="FF0000"/>
              </w:rPr>
            </w:pPr>
            <w:r w:rsidRPr="00D37D3E">
              <w:rPr>
                <w:rFonts w:ascii="Times New Roman" w:hAnsi="Times New Roman" w:cs="Times New Roman"/>
                <w:color w:val="FF0000"/>
              </w:rPr>
              <w:t>0.32 mg cm</w:t>
            </w:r>
            <w:r w:rsidRPr="00D37D3E">
              <w:rPr>
                <w:rFonts w:ascii="Times New Roman" w:hAnsi="Times New Roman" w:cs="Times New Roman"/>
                <w:color w:val="FF0000"/>
                <w:vertAlign w:val="superscript"/>
              </w:rPr>
              <w:t>-2</w:t>
            </w:r>
          </w:p>
        </w:tc>
        <w:tc>
          <w:tcPr>
            <w:tcW w:w="1544" w:type="dxa"/>
          </w:tcPr>
          <w:p w:rsidR="003C66CA" w:rsidRPr="00D37D3E" w:rsidRDefault="003C66CA">
            <w:pPr>
              <w:spacing w:after="0" w:line="276" w:lineRule="auto"/>
              <w:jc w:val="center"/>
              <w:rPr>
                <w:rFonts w:ascii="Times New Roman" w:hAnsi="Times New Roman" w:cs="Times New Roman"/>
                <w:color w:val="FF0000"/>
              </w:rPr>
            </w:pPr>
            <w:r w:rsidRPr="00D37D3E">
              <w:rPr>
                <w:rFonts w:ascii="Times New Roman" w:hAnsi="Times New Roman" w:cs="Times New Roman"/>
              </w:rPr>
              <w:t>Hydrothermal</w:t>
            </w:r>
          </w:p>
        </w:tc>
        <w:tc>
          <w:tcPr>
            <w:tcW w:w="1160" w:type="dxa"/>
          </w:tcPr>
          <w:p w:rsidR="003C66CA" w:rsidRPr="00D37D3E" w:rsidRDefault="0049256E">
            <w:pPr>
              <w:spacing w:after="0" w:line="276" w:lineRule="auto"/>
              <w:jc w:val="center"/>
              <w:rPr>
                <w:rFonts w:ascii="Times New Roman" w:hAnsi="Times New Roman" w:cs="Times New Roman"/>
                <w:color w:val="FF0000"/>
              </w:rPr>
            </w:pPr>
            <w:r w:rsidRPr="00D37D3E">
              <w:rPr>
                <w:rFonts w:ascii="Times New Roman" w:hAnsi="Times New Roman" w:cs="Times New Roman"/>
                <w:color w:val="FF0000"/>
              </w:rPr>
              <w:t xml:space="preserve">0.5 M </w:t>
            </w:r>
            <w:r w:rsidR="00607CD3" w:rsidRPr="00D37D3E">
              <w:rPr>
                <w:rFonts w:ascii="Times New Roman" w:hAnsi="Times New Roman" w:cs="Times New Roman"/>
                <w:color w:val="FF0000"/>
              </w:rPr>
              <w:t>H</w:t>
            </w:r>
            <w:r w:rsidR="00607CD3" w:rsidRPr="00D37D3E">
              <w:rPr>
                <w:rFonts w:ascii="Times New Roman" w:hAnsi="Times New Roman" w:cs="Times New Roman"/>
                <w:color w:val="FF0000"/>
                <w:vertAlign w:val="subscript"/>
              </w:rPr>
              <w:t>2</w:t>
            </w:r>
            <w:r w:rsidR="00607CD3" w:rsidRPr="00D37D3E">
              <w:rPr>
                <w:rFonts w:ascii="Times New Roman" w:hAnsi="Times New Roman" w:cs="Times New Roman"/>
                <w:color w:val="FF0000"/>
              </w:rPr>
              <w:t>SO</w:t>
            </w:r>
            <w:r w:rsidR="00607CD3" w:rsidRPr="00D37D3E">
              <w:rPr>
                <w:rFonts w:ascii="Times New Roman" w:hAnsi="Times New Roman" w:cs="Times New Roman"/>
                <w:color w:val="FF0000"/>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color w:val="FF0000"/>
              </w:rPr>
              <w:t>This work</w:t>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r w:rsidRPr="00D37D3E">
              <w:rPr>
                <w:rFonts w:ascii="Times New Roman" w:hAnsi="Times New Roman" w:cs="Times New Roman"/>
              </w:rPr>
              <w:t>/ MoS</w:t>
            </w:r>
            <w:r w:rsidRPr="00D37D3E">
              <w:rPr>
                <w:rFonts w:ascii="Times New Roman" w:hAnsi="Times New Roman" w:cs="Times New Roman"/>
                <w:vertAlign w:val="subscript"/>
              </w:rPr>
              <w:t>2</w:t>
            </w:r>
            <w:r w:rsidRPr="00D37D3E">
              <w:rPr>
                <w:rFonts w:ascii="Times New Roman" w:hAnsi="Times New Roman" w:cs="Times New Roman"/>
              </w:rPr>
              <w:t xml:space="preserve"> (1T-2H)</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280</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83.8</w:t>
            </w:r>
          </w:p>
        </w:tc>
        <w:tc>
          <w:tcPr>
            <w:tcW w:w="861" w:type="dxa"/>
          </w:tcPr>
          <w:p w:rsidR="003C66CA" w:rsidRPr="00D37D3E" w:rsidRDefault="003C66CA" w:rsidP="003C66CA">
            <w:pPr>
              <w:spacing w:after="0" w:line="276" w:lineRule="auto"/>
              <w:jc w:val="center"/>
              <w:rPr>
                <w:rFonts w:ascii="Times New Roman" w:hAnsi="Times New Roman" w:cs="Times New Roman"/>
              </w:rPr>
            </w:pPr>
            <w:r w:rsidRPr="00D37D3E">
              <w:rPr>
                <w:rFonts w:ascii="Times New Roman" w:hAnsi="Times New Roman" w:cs="Times New Roman"/>
              </w:rPr>
              <w:t>0.44 mg cm</w:t>
            </w:r>
            <w:r w:rsidRPr="00D37D3E">
              <w:rPr>
                <w:rFonts w:ascii="Times New Roman" w:hAnsi="Times New Roman" w:cs="Times New Roman"/>
                <w:vertAlign w:val="superscript"/>
              </w:rPr>
              <w:t>-2</w:t>
            </w:r>
          </w:p>
        </w:tc>
        <w:tc>
          <w:tcPr>
            <w:tcW w:w="1544" w:type="dxa"/>
          </w:tcPr>
          <w:p w:rsidR="003C66CA" w:rsidRPr="00D37D3E" w:rsidRDefault="008333BF" w:rsidP="008333BF">
            <w:pPr>
              <w:spacing w:after="0" w:line="276" w:lineRule="auto"/>
              <w:jc w:val="center"/>
              <w:rPr>
                <w:rFonts w:ascii="Times New Roman" w:hAnsi="Times New Roman" w:cs="Times New Roman"/>
              </w:rPr>
            </w:pPr>
            <w:r w:rsidRPr="00D37D3E">
              <w:rPr>
                <w:rFonts w:ascii="Times New Roman" w:hAnsi="Times New Roman" w:cs="Times New Roman"/>
              </w:rPr>
              <w:t>Hydrothermal+ Interfacial Assembly</w:t>
            </w:r>
          </w:p>
        </w:tc>
        <w:tc>
          <w:tcPr>
            <w:tcW w:w="1160" w:type="dxa"/>
          </w:tcPr>
          <w:p w:rsidR="003C66CA" w:rsidRPr="00D37D3E" w:rsidRDefault="0049256E" w:rsidP="0049256E">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&lt;EndNote&gt;&lt;Cite&gt;&lt;Author&gt;Loh&lt;/Author&gt;&lt;Year&gt;2024&lt;/Year&gt;&lt;RecNum&gt;15&lt;/RecNum&gt;&lt;DisplayText&gt;&lt;style face="superscript"&gt;1&lt;/style&gt;&lt;/DisplayText&gt;&lt;record&gt;&lt;rec-number&gt;15&lt;/rec-number&gt;&lt;foreign-keys&gt;&lt;key app="EN" db-id="f0dwsx5wez2tvwettslp5tfudwt09ptw5v05" timestamp="1753639323"&gt;15&lt;/key&gt;&lt;/foreign-keys&gt;&lt;ref-type name="Journal Article"&gt;17&lt;/ref-type&gt;&lt;contributors&gt;&lt;authors&gt;&lt;author&gt;Loh, Jian Yiing&lt;/author&gt;&lt;author&gt;Yap, Feng Ming&lt;/author&gt;&lt;author&gt;Ong, Wee-Jun&lt;/author&gt;&lt;/authors&gt;&lt;/contributors&gt;&lt;titles&gt;&lt;title&gt;2D/2D heterojunction interface: Engineering of 1T/2H MoS2 coupled with Ti3C2Tx heterostructured electrocatalysts for pH-universal hydrogen evolution&lt;/title&gt;&lt;secondary-title&gt;Journal of Materials Science &amp;amp; Technology&lt;/secondary-title&gt;&lt;/titles&gt;&lt;periodical&gt;&lt;full-title&gt;Journal of Materials Science &amp;amp; Technology&lt;/full-title&gt;&lt;/periodical&gt;&lt;pages&gt;86-97&lt;/pages&gt;&lt;volume&gt;179&lt;/volume&gt;&lt;keywords&gt;&lt;keyword&gt;2D/2D electrocatalysts&lt;/keyword&gt;&lt;keyword&gt;Phase engineering&lt;/keyword&gt;&lt;keyword&gt;pH universal&lt;/keyword&gt;&lt;keyword&gt;Molybdenum disulfide&lt;/keyword&gt;&lt;keyword&gt;TiCT&lt;/keyword&gt;&lt;/keywords&gt;&lt;dates&gt;&lt;year&gt;2024&lt;/year&gt;&lt;pub-dates&gt;&lt;date&gt;2024/04/20/&lt;/date&gt;&lt;/pub-dates&gt;&lt;/dates&gt;&lt;isbn&gt;1005-0302&lt;/isbn&gt;&lt;urls&gt;&lt;related-urls&gt;&lt;url&gt;https://www.sciencedirect.com/science/article/pii/S1005030223008423&lt;/url&gt;&lt;/related-urls&gt;&lt;/urls&gt;&lt;electronic-resource-num&gt;https://doi.org/10.1016/j.jmst.2023.10.002&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1</w:t>
            </w:r>
            <w:r w:rsidRPr="00D37D3E">
              <w:rPr>
                <w:rFonts w:ascii="Times New Roman" w:hAnsi="Times New Roman" w:cs="Times New Roman"/>
              </w:rPr>
              <w:fldChar w:fldCharType="end"/>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MoS</w:t>
            </w:r>
            <w:r w:rsidRPr="00D37D3E">
              <w:rPr>
                <w:rFonts w:ascii="Times New Roman" w:hAnsi="Times New Roman" w:cs="Times New Roman"/>
                <w:vertAlign w:val="subscript"/>
              </w:rPr>
              <w:t>2</w:t>
            </w:r>
            <w:r w:rsidRPr="00D37D3E">
              <w:rPr>
                <w:rFonts w:ascii="Times New Roman" w:hAnsi="Times New Roman" w:cs="Times New Roman"/>
              </w:rPr>
              <w:t>/Ti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400</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68</w:t>
            </w:r>
          </w:p>
        </w:tc>
        <w:tc>
          <w:tcPr>
            <w:tcW w:w="861" w:type="dxa"/>
          </w:tcPr>
          <w:p w:rsidR="003C66CA" w:rsidRPr="00D37D3E" w:rsidRDefault="0009029E">
            <w:pPr>
              <w:spacing w:after="0" w:line="276" w:lineRule="auto"/>
              <w:jc w:val="center"/>
              <w:rPr>
                <w:rFonts w:ascii="Times New Roman" w:hAnsi="Times New Roman" w:cs="Times New Roman"/>
              </w:rPr>
            </w:pPr>
            <w:r w:rsidRPr="00D37D3E">
              <w:rPr>
                <w:rFonts w:ascii="Times New Roman" w:hAnsi="Times New Roman" w:cs="Times New Roman"/>
              </w:rPr>
              <w:t>0.35</w:t>
            </w:r>
          </w:p>
        </w:tc>
        <w:tc>
          <w:tcPr>
            <w:tcW w:w="1544" w:type="dxa"/>
          </w:tcPr>
          <w:p w:rsidR="003C66CA" w:rsidRPr="00D37D3E" w:rsidRDefault="0009029E" w:rsidP="0009029E">
            <w:pPr>
              <w:spacing w:after="0" w:line="276" w:lineRule="auto"/>
              <w:jc w:val="center"/>
              <w:rPr>
                <w:rFonts w:ascii="Times New Roman" w:hAnsi="Times New Roman" w:cs="Times New Roman"/>
              </w:rPr>
            </w:pPr>
            <w:hyperlink r:id="rId11" w:tooltip="Learn more about hydrothermal method from ScienceDirect's AI-generated Topic Pages" w:history="1">
              <w:r w:rsidRPr="00D37D3E">
                <w:t>hydrothermal method</w:t>
              </w:r>
            </w:hyperlink>
          </w:p>
        </w:tc>
        <w:tc>
          <w:tcPr>
            <w:tcW w:w="1160" w:type="dxa"/>
          </w:tcPr>
          <w:p w:rsidR="003C66CA" w:rsidRPr="00D37D3E" w:rsidRDefault="0049256E" w:rsidP="0049256E">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&lt;EndNote&gt;&lt;Cite&gt;&lt;Author&gt;Huang&lt;/Author&gt;&lt;Year&gt;2019&lt;/Year&gt;&lt;RecNum&gt;61&lt;/RecNum&gt;&lt;DisplayText&gt;&lt;style face="superscript"&gt;2&lt;/style&gt;&lt;/DisplayText&gt;&lt;record&gt;&lt;rec-number&gt;61&lt;/rec-number&gt;&lt;foreign-keys&gt;&lt;key app="EN" db-id="w0fadadetpddtqex5scxvwz090fap55ps5fr" timestamp="1732801061"&gt;61&lt;/key&gt;&lt;/foreign-keys&gt;&lt;ref-type name="Journal Article"&gt;17&lt;/ref-type&gt;&lt;contributors&gt;&lt;authors&gt;&lt;author&gt;Huang, Lan&lt;/author&gt;&lt;author&gt;Ai, Lunhong&lt;/author&gt;&lt;author&gt;Wang, Mei&lt;/author&gt;&lt;author&gt;Jiang, Jing&lt;/author&gt;&lt;author&gt;Wang, Shaobin&lt;/author&gt;&lt;/authors&gt;&lt;/contributors&gt;&lt;titles&gt;&lt;title&gt;Hierarchical MoS2 nanosheets integrated Ti3C2 MXenes for electrocatalytic hydrogen evolution&lt;/title&gt;&lt;secondary-title&gt;International Journal of Hydrogen Energy&lt;/secondary-title&gt;&lt;/titles&gt;&lt;periodical&gt;&lt;full-title&gt;International Journal of Hydrogen Energy&lt;/full-title&gt;&lt;/periodical&gt;&lt;pages&gt;965-976&lt;/pages&gt;&lt;volume&gt;44&lt;/volume&gt;&lt;number&gt;2&lt;/number&gt;&lt;keywords&gt;&lt;keyword&gt;Hydrogen evolution reaction&lt;/keyword&gt;&lt;keyword&gt;Electrocatalyst&lt;/keyword&gt;&lt;keyword&gt;TiC&lt;/keyword&gt;&lt;keyword&gt;MoS&lt;/keyword&gt;&lt;keyword&gt;Nanosheets&lt;/keyword&gt;&lt;/keywords&gt;&lt;dates&gt;&lt;year&gt;2019&lt;/year&gt;&lt;pub-dates&gt;&lt;date&gt;2019/01/08/&lt;/date&gt;&lt;/pub-dates&gt;&lt;/dates&gt;&lt;isbn&gt;0360-3199&lt;/isbn&gt;&lt;urls&gt;&lt;related-urls&gt;&lt;url&gt;https://www.sciencedirect.com/science/article/pii/S0360319918336668&lt;/url&gt;&lt;/related-urls&gt;&lt;/urls&gt;&lt;electronic-resource-num&gt;https://doi.org/10.1016/j.ijhydene.2018.11.084&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2</w:t>
            </w:r>
            <w:r w:rsidRPr="00D37D3E">
              <w:rPr>
                <w:rFonts w:ascii="Times New Roman" w:hAnsi="Times New Roman" w:cs="Times New Roman"/>
              </w:rPr>
              <w:fldChar w:fldCharType="end"/>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bCs/>
                <w:color w:val="151515"/>
                <w:shd w:val="clear" w:color="auto" w:fill="FFFFFF"/>
              </w:rPr>
              <w:t>TCO/MoS</w:t>
            </w:r>
            <w:r w:rsidRPr="00D37D3E">
              <w:rPr>
                <w:rFonts w:ascii="Times New Roman" w:hAnsi="Times New Roman" w:cs="Times New Roman"/>
                <w:bCs/>
                <w:color w:val="151515"/>
                <w:shd w:val="clear" w:color="auto" w:fill="FFFFFF"/>
                <w:vertAlign w:val="subscript"/>
              </w:rPr>
              <w:t>2</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269</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82</w:t>
            </w:r>
          </w:p>
        </w:tc>
        <w:tc>
          <w:tcPr>
            <w:tcW w:w="861" w:type="dxa"/>
          </w:tcPr>
          <w:p w:rsidR="003C66CA" w:rsidRPr="00D37D3E" w:rsidRDefault="0009029E">
            <w:pPr>
              <w:spacing w:after="0" w:line="276" w:lineRule="auto"/>
              <w:jc w:val="center"/>
              <w:rPr>
                <w:rFonts w:ascii="Times New Roman" w:hAnsi="Times New Roman" w:cs="Times New Roman"/>
              </w:rPr>
            </w:pPr>
            <w:r w:rsidRPr="00D37D3E">
              <w:rPr>
                <w:rFonts w:ascii="Times New Roman" w:hAnsi="Times New Roman" w:cs="Times New Roman"/>
              </w:rPr>
              <w:t>3.8</w:t>
            </w:r>
          </w:p>
        </w:tc>
        <w:tc>
          <w:tcPr>
            <w:tcW w:w="1544" w:type="dxa"/>
          </w:tcPr>
          <w:p w:rsidR="003C66CA" w:rsidRPr="00D37D3E" w:rsidRDefault="0009029E" w:rsidP="0009029E">
            <w:pPr>
              <w:spacing w:after="0" w:line="276" w:lineRule="auto"/>
              <w:jc w:val="center"/>
              <w:rPr>
                <w:rFonts w:ascii="Times New Roman" w:hAnsi="Times New Roman" w:cs="Times New Roman"/>
              </w:rPr>
            </w:pPr>
            <w:r w:rsidRPr="00D37D3E">
              <w:rPr>
                <w:rFonts w:ascii="Times New Roman" w:hAnsi="Times New Roman" w:cs="Times New Roman"/>
              </w:rPr>
              <w:t>One-pot solvothermal synthesis</w:t>
            </w:r>
          </w:p>
        </w:tc>
        <w:tc>
          <w:tcPr>
            <w:tcW w:w="1160" w:type="dxa"/>
          </w:tcPr>
          <w:p w:rsidR="003C66CA" w:rsidRPr="00D37D3E" w:rsidRDefault="0049256E" w:rsidP="0049256E">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&lt;EndNote&gt;&lt;Cite&gt;&lt;Author&gt;Lontio Fomekong&lt;/Author&gt;&lt;Year&gt;2023&lt;/Year&gt;&lt;RecNum&gt;85&lt;/RecNum&gt;&lt;DisplayText&gt;&lt;style face="superscript"&gt;3&lt;/style&gt;&lt;/DisplayText&gt;&lt;record&gt;&lt;rec-number&gt;85&lt;/rec-number&gt;&lt;foreign-keys&gt;&lt;key app="EN" db-id="w0fadadetpddtqex5scxvwz090fap55ps5fr" timestamp="1742216918"&gt;85&lt;/key&gt;&lt;/foreign-keys&gt;&lt;ref-type name="Journal Article"&gt;17&lt;/ref-type&gt;&lt;contributors&gt;&lt;authors&gt;&lt;author&gt;Lontio Fomekong, Roussin&lt;/author&gt;&lt;author&gt;Regner, Jakub&lt;/author&gt;&lt;author&gt;Akir, Sana&lt;/author&gt;&lt;author&gt;Oliveira, Filipa M.&lt;/author&gt;&lt;author&gt;Luxa, Jan&lt;/author&gt;&lt;author&gt;Papavasileiou, Anastasios V.&lt;/author&gt;&lt;author&gt;Boitumelo, Joyce&lt;/author&gt;&lt;author&gt;Dekanovsky, Lukas&lt;/author&gt;&lt;author&gt;Sofer, Zdenek&lt;/author&gt;&lt;/authors&gt;&lt;/contributors&gt;&lt;titles&gt;&lt;title&gt;Enhancing the Electrocatalytic Properties of a One-Pot Synthesis of Defect-Rich 2D/2D Nanoheterointerface of Titanium Carbo-Oxide and Molybdenum Disulfide for Hydrogen Evolution Reaction in Acidic Medium&lt;/title&gt;&lt;secondary-title&gt;ACS Sustainable Chemistry &amp;amp; Engineering&lt;/secondary-title&gt;&lt;/titles&gt;&lt;periodical&gt;&lt;full-title&gt;ACS Sustainable Chemistry &amp;amp; Engineering&lt;/full-title&gt;&lt;/periodical&gt;&lt;pages&gt;14528-14537&lt;/pages&gt;&lt;volume&gt;11&lt;/volume&gt;&lt;number&gt;39&lt;/number&gt;&lt;dates&gt;&lt;year&gt;2023&lt;/year&gt;&lt;pub-dates&gt;&lt;date&gt;2023/10/02&lt;/date&gt;&lt;/pub-dates&gt;&lt;/dates&gt;&lt;publisher&gt;American Chemical Society&lt;/publisher&gt;&lt;urls&gt;&lt;related-urls&gt;&lt;url&gt;https://doi.org/10.1021/acssuschemeng.3c03621&lt;/url&gt;&lt;/related-urls&gt;&lt;/urls&gt;&lt;electronic-resource-num&gt;10.1021/acssuschemeng.3c03621&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3</w:t>
            </w:r>
            <w:r w:rsidRPr="00D37D3E">
              <w:rPr>
                <w:rFonts w:ascii="Times New Roman" w:hAnsi="Times New Roman" w:cs="Times New Roman"/>
              </w:rPr>
              <w:fldChar w:fldCharType="end"/>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MoS</w:t>
            </w:r>
            <w:r w:rsidRPr="00D37D3E">
              <w:rPr>
                <w:rFonts w:ascii="Times New Roman" w:hAnsi="Times New Roman" w:cs="Times New Roman"/>
                <w:vertAlign w:val="subscript"/>
              </w:rPr>
              <w:t>2</w:t>
            </w:r>
            <w:r w:rsidRPr="00D37D3E">
              <w:rPr>
                <w:rFonts w:ascii="Times New Roman" w:hAnsi="Times New Roman" w:cs="Times New Roman"/>
              </w:rPr>
              <w:t> QDs/Ti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r w:rsidRPr="00D37D3E">
              <w:rPr>
                <w:rFonts w:ascii="Times New Roman" w:hAnsi="Times New Roman" w:cs="Times New Roman"/>
              </w:rPr>
              <w:t>T</w:t>
            </w:r>
            <w:r w:rsidRPr="00D37D3E">
              <w:rPr>
                <w:rFonts w:ascii="Times New Roman" w:hAnsi="Times New Roman" w:cs="Times New Roman"/>
                <w:vertAlign w:val="subscript"/>
              </w:rPr>
              <w:t>x</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220</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72</w:t>
            </w:r>
          </w:p>
        </w:tc>
        <w:tc>
          <w:tcPr>
            <w:tcW w:w="861" w:type="dxa"/>
          </w:tcPr>
          <w:p w:rsidR="003C66CA" w:rsidRPr="00D37D3E" w:rsidRDefault="009332CD" w:rsidP="009332CD">
            <w:pPr>
              <w:spacing w:after="0" w:line="276" w:lineRule="auto"/>
              <w:jc w:val="center"/>
              <w:rPr>
                <w:rFonts w:ascii="Times New Roman" w:hAnsi="Times New Roman" w:cs="Times New Roman"/>
              </w:rPr>
            </w:pPr>
            <w:r w:rsidRPr="00D37D3E">
              <w:rPr>
                <w:rFonts w:ascii="Times New Roman" w:hAnsi="Times New Roman" w:cs="Times New Roman"/>
              </w:rPr>
              <w:t>0.354</w:t>
            </w:r>
          </w:p>
        </w:tc>
        <w:tc>
          <w:tcPr>
            <w:tcW w:w="1544" w:type="dxa"/>
          </w:tcPr>
          <w:p w:rsidR="003C66CA" w:rsidRPr="00D37D3E" w:rsidRDefault="009332CD" w:rsidP="009332CD">
            <w:pPr>
              <w:spacing w:after="0" w:line="276" w:lineRule="auto"/>
              <w:jc w:val="center"/>
              <w:rPr>
                <w:rFonts w:ascii="Times New Roman" w:hAnsi="Times New Roman" w:cs="Times New Roman"/>
              </w:rPr>
            </w:pPr>
            <w:r w:rsidRPr="00D37D3E">
              <w:rPr>
                <w:rFonts w:ascii="Times New Roman" w:hAnsi="Times New Roman" w:cs="Times New Roman"/>
              </w:rPr>
              <w:t>Electrostatic self-assembly</w:t>
            </w:r>
          </w:p>
        </w:tc>
        <w:tc>
          <w:tcPr>
            <w:tcW w:w="1160" w:type="dxa"/>
          </w:tcPr>
          <w:p w:rsidR="003C66CA" w:rsidRPr="00D37D3E" w:rsidRDefault="0049256E" w:rsidP="0049256E">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&lt;EndNote&gt;&lt;Cite&gt;&lt;Author&gt;Chen&lt;/Author&gt;&lt;Year&gt;2022&lt;/Year&gt;&lt;RecNum&gt;89&lt;/RecNum&gt;&lt;DisplayText&gt;&lt;style face="superscript"&gt;4&lt;/style&gt;&lt;/DisplayText&gt;&lt;record&gt;&lt;rec-number&gt;89&lt;/rec-number&gt;&lt;foreign-keys&gt;&lt;key app="EN" db-id="w0fadadetpddtqex5scxvwz090fap55ps5fr" timestamp="1742293583"&gt;89&lt;/key&gt;&lt;/foreign-keys&gt;&lt;ref-type name="Journal Article"&gt;17&lt;/ref-type&gt;&lt;contributors&gt;&lt;authors&gt;&lt;author&gt;Chen, Long&lt;/author&gt;&lt;author&gt;Liang, Junmei&lt;/author&gt;&lt;author&gt;Zhang, Qicheng&lt;/author&gt;&lt;author&gt;Hu, Xuewen&lt;/author&gt;&lt;author&gt;Peng, Wenchao&lt;/author&gt;&lt;author&gt;Li, Yang&lt;/author&gt;&lt;author&gt;Zhang, Fengbao&lt;/author&gt;&lt;author&gt;Fan, Xiaobin&lt;/author&gt;&lt;/authors&gt;&lt;/contributors&gt;&lt;titles&gt;&lt;title&gt;Quasi zero-dimensional MoS2 quantum dots decorated 2D Ti3C2Tx MXene as advanced electrocatalysts for hydrogen evolution reaction&lt;/title&gt;&lt;secondary-title&gt;International Journal of Hydrogen Energy&lt;/secondary-title&gt;&lt;/titles&gt;&lt;periodical&gt;&lt;full-title&gt;International Journal of Hydrogen Energy&lt;/full-title&gt;&lt;/periodical&gt;&lt;pages&gt;10583-10593&lt;/pages&gt;&lt;volume&gt;47&lt;/volume&gt;&lt;number&gt;19&lt;/number&gt;&lt;keywords&gt;&lt;keyword&gt;MoS quantum dots&lt;/keyword&gt;&lt;keyword&gt;TiCT MXene&lt;/keyword&gt;&lt;keyword&gt;High-percentage 1T-phase&lt;/keyword&gt;&lt;keyword&gt;Hydrogen evolution reaction&lt;/keyword&gt;&lt;/keywords&gt;&lt;dates&gt;&lt;year&gt;2022&lt;/year&gt;&lt;pub-dates&gt;&lt;date&gt;2022/03/01/&lt;/date&gt;&lt;/pub-dates&gt;&lt;/dates&gt;&lt;isbn&gt;0360-3199&lt;/isbn&gt;&lt;urls&gt;&lt;related-urls&gt;&lt;url&gt;https://www.sciencedirect.com/science/article/pii/S0360319921049120&lt;/url&gt;&lt;/related-urls&gt;&lt;/urls&gt;&lt;electronic-resource-num&gt;https://doi.org/10.1016/j.ijhydene.2021.12.185&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4</w:t>
            </w:r>
            <w:r w:rsidRPr="00D37D3E">
              <w:rPr>
                <w:rFonts w:ascii="Times New Roman" w:hAnsi="Times New Roman" w:cs="Times New Roman"/>
              </w:rPr>
              <w:fldChar w:fldCharType="end"/>
            </w:r>
          </w:p>
        </w:tc>
      </w:tr>
      <w:tr w:rsidR="00A3719D" w:rsidRPr="00D37D3E" w:rsidTr="00E50E96">
        <w:tc>
          <w:tcPr>
            <w:tcW w:w="2189"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MoS2-MXene</w:t>
            </w:r>
          </w:p>
        </w:tc>
        <w:tc>
          <w:tcPr>
            <w:tcW w:w="1398"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307</w:t>
            </w:r>
          </w:p>
        </w:tc>
        <w:tc>
          <w:tcPr>
            <w:tcW w:w="1026"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t>68.5</w:t>
            </w:r>
          </w:p>
        </w:tc>
        <w:tc>
          <w:tcPr>
            <w:tcW w:w="861" w:type="dxa"/>
          </w:tcPr>
          <w:p w:rsidR="003C66CA" w:rsidRPr="00D37D3E" w:rsidRDefault="00747884">
            <w:pPr>
              <w:spacing w:after="0" w:line="276" w:lineRule="auto"/>
              <w:jc w:val="center"/>
              <w:rPr>
                <w:rFonts w:ascii="Times New Roman" w:hAnsi="Times New Roman" w:cs="Times New Roman"/>
              </w:rPr>
            </w:pPr>
            <w:r w:rsidRPr="00D37D3E">
              <w:rPr>
                <w:rFonts w:ascii="Times New Roman" w:hAnsi="Times New Roman" w:cs="Times New Roman"/>
              </w:rPr>
              <w:t>-</w:t>
            </w:r>
          </w:p>
        </w:tc>
        <w:tc>
          <w:tcPr>
            <w:tcW w:w="1544" w:type="dxa"/>
          </w:tcPr>
          <w:p w:rsidR="003C66CA" w:rsidRPr="00D37D3E" w:rsidRDefault="009332CD" w:rsidP="009332CD">
            <w:pPr>
              <w:spacing w:after="0" w:line="276" w:lineRule="auto"/>
              <w:jc w:val="center"/>
              <w:rPr>
                <w:rFonts w:ascii="Times New Roman" w:hAnsi="Times New Roman" w:cs="Times New Roman"/>
              </w:rPr>
            </w:pPr>
            <w:hyperlink r:id="rId12" w:tooltip="Learn more about hydrothermal method from ScienceDirect's AI-generated Topic Pages" w:history="1">
              <w:r w:rsidRPr="00D37D3E">
                <w:t>hydrothermal method</w:t>
              </w:r>
            </w:hyperlink>
          </w:p>
        </w:tc>
        <w:tc>
          <w:tcPr>
            <w:tcW w:w="1160" w:type="dxa"/>
          </w:tcPr>
          <w:p w:rsidR="003C66CA" w:rsidRPr="00D37D3E" w:rsidRDefault="0049256E" w:rsidP="0049256E">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3C66CA" w:rsidRPr="00D37D3E" w:rsidRDefault="003C66CA">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&lt;EndNote&gt;&lt;Cite&gt;&lt;Author&gt;Raj&lt;/Author&gt;&lt;Year&gt;2024&lt;/Year&gt;&lt;RecNum&gt;90&lt;/RecNum&gt;&lt;DisplayText&gt;&lt;style face="superscript"&gt;5&lt;/style&gt;&lt;/DisplayText&gt;&lt;record&gt;&lt;rec-number&gt;90&lt;/rec-number&gt;&lt;foreign-keys&gt;&lt;key app="EN" db-id="w0fadadetpddtqex5scxvwz090fap55ps5fr" timestamp="1742294492"&gt;90&lt;/key&gt;&lt;/foreign-keys&gt;&lt;ref-type name="Journal Article"&gt;17&lt;/ref-type&gt;&lt;contributors&gt;&lt;authors&gt;&lt;author&gt;Raj, Savan K&lt;/author&gt;&lt;author&gt;Sharma, Vartika&lt;/author&gt;&lt;author&gt;Mishra, Shubham&lt;/author&gt;&lt;author&gt;Kulshrestha, Vaibhav&lt;/author&gt;&lt;/authors&gt;&lt;/contributors&gt;&lt;titles&gt;&lt;title&gt;MoS 2 quantum dot-modified MXene nanoflowers for efficient electrocatalytic hydrogen evolution reaction&lt;/title&gt;&lt;secondary-title&gt;RSC Applied Interfaces&lt;/secondary-title&gt;&lt;/titles&gt;&lt;periodical&gt;&lt;full-title&gt;RSC Applied Interfaces&lt;/full-title&gt;&lt;/periodical&gt;&lt;pages&gt;1057-1068&lt;/pages&gt;&lt;volume&gt;1&lt;/volume&gt;&lt;number&gt;5&lt;/number&gt;&lt;dates&gt;&lt;year&gt;2024&lt;/year&gt;&lt;/dates&gt;&lt;urls&gt;&lt;/urls&gt;&lt;/record&gt;&lt;/Cite&gt;&lt;/EndNote&gt;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5</w:t>
            </w:r>
            <w:r w:rsidRPr="00D37D3E">
              <w:rPr>
                <w:rFonts w:ascii="Times New Roman" w:hAnsi="Times New Roman" w:cs="Times New Roman"/>
              </w:rPr>
              <w:fldChar w:fldCharType="end"/>
            </w:r>
          </w:p>
        </w:tc>
      </w:tr>
      <w:tr w:rsidR="00DE3BE9" w:rsidRPr="00D37D3E" w:rsidTr="00E50E96">
        <w:tc>
          <w:tcPr>
            <w:tcW w:w="2189" w:type="dxa"/>
          </w:tcPr>
          <w:p w:rsidR="00DE3BE9" w:rsidRPr="00D37D3E" w:rsidRDefault="00DE3BE9" w:rsidP="00DE3BE9">
            <w:pPr>
              <w:spacing w:after="0" w:line="276" w:lineRule="auto"/>
              <w:jc w:val="center"/>
              <w:rPr>
                <w:rFonts w:ascii="Times New Roman" w:hAnsi="Times New Roman" w:cs="Times New Roman"/>
              </w:rPr>
            </w:pPr>
            <w:r w:rsidRPr="00D37D3E">
              <w:rPr>
                <w:rFonts w:ascii="Times New Roman" w:hAnsi="Times New Roman" w:cs="Times New Roman"/>
              </w:rPr>
              <w:t> Ti</w:t>
            </w:r>
            <w:r w:rsidRPr="00D37D3E">
              <w:rPr>
                <w:rFonts w:ascii="Times New Roman" w:hAnsi="Times New Roman" w:cs="Times New Roman"/>
                <w:vertAlign w:val="subscript"/>
              </w:rPr>
              <w:t>3</w:t>
            </w:r>
            <w:r w:rsidRPr="00D37D3E">
              <w:rPr>
                <w:rFonts w:ascii="Times New Roman" w:hAnsi="Times New Roman" w:cs="Times New Roman"/>
              </w:rPr>
              <w:t>CN(OH)</w:t>
            </w:r>
            <w:r w:rsidRPr="00D37D3E">
              <w:rPr>
                <w:rFonts w:ascii="Times New Roman" w:hAnsi="Times New Roman" w:cs="Times New Roman"/>
                <w:i/>
                <w:iCs/>
                <w:vertAlign w:val="subscript"/>
              </w:rPr>
              <w:t>x</w:t>
            </w:r>
            <w:r w:rsidRPr="00D37D3E">
              <w:rPr>
                <w:rFonts w:ascii="Times New Roman" w:hAnsi="Times New Roman" w:cs="Times New Roman"/>
              </w:rPr>
              <w:t>@MoS</w:t>
            </w:r>
            <w:r w:rsidRPr="00D37D3E">
              <w:rPr>
                <w:rFonts w:ascii="Times New Roman" w:hAnsi="Times New Roman" w:cs="Times New Roman"/>
                <w:vertAlign w:val="subscript"/>
              </w:rPr>
              <w:t>2</w:t>
            </w:r>
            <w:r w:rsidRPr="00D37D3E">
              <w:rPr>
                <w:rFonts w:ascii="Times New Roman" w:hAnsi="Times New Roman" w:cs="Times New Roman"/>
              </w:rPr>
              <w:t> h</w:t>
            </w:r>
          </w:p>
        </w:tc>
        <w:tc>
          <w:tcPr>
            <w:tcW w:w="1398" w:type="dxa"/>
          </w:tcPr>
          <w:p w:rsidR="00DE3BE9" w:rsidRPr="00D37D3E" w:rsidRDefault="00DE3BE9">
            <w:pPr>
              <w:spacing w:after="0" w:line="276" w:lineRule="auto"/>
              <w:jc w:val="center"/>
              <w:rPr>
                <w:rFonts w:ascii="Times New Roman" w:hAnsi="Times New Roman" w:cs="Times New Roman"/>
              </w:rPr>
            </w:pPr>
            <w:r w:rsidRPr="00D37D3E">
              <w:rPr>
                <w:rFonts w:ascii="Times New Roman" w:hAnsi="Times New Roman" w:cs="Times New Roman"/>
              </w:rPr>
              <w:t>120</w:t>
            </w:r>
          </w:p>
        </w:tc>
        <w:tc>
          <w:tcPr>
            <w:tcW w:w="1026" w:type="dxa"/>
          </w:tcPr>
          <w:p w:rsidR="00DE3BE9" w:rsidRPr="00D37D3E" w:rsidRDefault="00DE3BE9">
            <w:pPr>
              <w:spacing w:after="0" w:line="276" w:lineRule="auto"/>
              <w:jc w:val="center"/>
              <w:rPr>
                <w:rFonts w:ascii="Times New Roman" w:hAnsi="Times New Roman" w:cs="Times New Roman"/>
              </w:rPr>
            </w:pPr>
            <w:r w:rsidRPr="00D37D3E">
              <w:rPr>
                <w:rFonts w:ascii="Times New Roman" w:hAnsi="Times New Roman" w:cs="Times New Roman"/>
              </w:rPr>
              <w:t>64</w:t>
            </w:r>
          </w:p>
        </w:tc>
        <w:tc>
          <w:tcPr>
            <w:tcW w:w="861" w:type="dxa"/>
          </w:tcPr>
          <w:p w:rsidR="00DE3BE9" w:rsidRPr="00D37D3E" w:rsidRDefault="00DE3BE9">
            <w:pPr>
              <w:spacing w:after="0" w:line="276" w:lineRule="auto"/>
              <w:jc w:val="center"/>
              <w:rPr>
                <w:rFonts w:ascii="Times New Roman" w:hAnsi="Times New Roman" w:cs="Times New Roman"/>
              </w:rPr>
            </w:pPr>
            <w:r w:rsidRPr="00D37D3E">
              <w:rPr>
                <w:rFonts w:ascii="Times New Roman" w:hAnsi="Times New Roman" w:cs="Times New Roman"/>
              </w:rPr>
              <w:t>0.408</w:t>
            </w:r>
          </w:p>
        </w:tc>
        <w:tc>
          <w:tcPr>
            <w:tcW w:w="1544" w:type="dxa"/>
          </w:tcPr>
          <w:p w:rsidR="00DE3BE9" w:rsidRPr="00D37D3E" w:rsidRDefault="00DE3BE9" w:rsidP="00DE3BE9">
            <w:pPr>
              <w:spacing w:after="0" w:line="276" w:lineRule="auto"/>
              <w:jc w:val="center"/>
              <w:rPr>
                <w:rFonts w:ascii="Times New Roman" w:hAnsi="Times New Roman" w:cs="Times New Roman"/>
              </w:rPr>
            </w:pPr>
            <w:r w:rsidRPr="00D37D3E">
              <w:rPr>
                <w:rFonts w:ascii="Times New Roman" w:hAnsi="Times New Roman" w:cs="Times New Roman"/>
              </w:rPr>
              <w:t>Hydrothermal method</w:t>
            </w:r>
          </w:p>
        </w:tc>
        <w:tc>
          <w:tcPr>
            <w:tcW w:w="1160" w:type="dxa"/>
          </w:tcPr>
          <w:p w:rsidR="00DE3BE9" w:rsidRPr="00D37D3E" w:rsidRDefault="00DE3BE9" w:rsidP="00DE3BE9">
            <w:pPr>
              <w:spacing w:after="0" w:line="276" w:lineRule="auto"/>
              <w:jc w:val="center"/>
              <w:rPr>
                <w:rFonts w:ascii="Times New Roman" w:hAnsi="Times New Roman" w:cs="Times New Roman"/>
              </w:rPr>
            </w:pPr>
            <w:r w:rsidRPr="00D37D3E">
              <w:rPr>
                <w:rFonts w:ascii="Times New Roman" w:hAnsi="Times New Roman" w:cs="Times New Roman"/>
              </w:rPr>
              <w:t>0.5 M H</w:t>
            </w:r>
            <w:r w:rsidRPr="00D37D3E">
              <w:rPr>
                <w:rFonts w:ascii="Times New Roman" w:hAnsi="Times New Roman" w:cs="Times New Roman"/>
                <w:vertAlign w:val="subscript"/>
              </w:rPr>
              <w:t>2</w:t>
            </w:r>
            <w:r w:rsidRPr="00D37D3E">
              <w:rPr>
                <w:rFonts w:ascii="Times New Roman" w:hAnsi="Times New Roman" w:cs="Times New Roman"/>
              </w:rPr>
              <w:t>SO</w:t>
            </w:r>
            <w:r w:rsidRPr="00D37D3E">
              <w:rPr>
                <w:rFonts w:ascii="Times New Roman" w:hAnsi="Times New Roman" w:cs="Times New Roman"/>
                <w:vertAlign w:val="subscript"/>
              </w:rPr>
              <w:t>4</w:t>
            </w:r>
          </w:p>
        </w:tc>
        <w:tc>
          <w:tcPr>
            <w:tcW w:w="1172" w:type="dxa"/>
          </w:tcPr>
          <w:p w:rsidR="00DE3BE9" w:rsidRPr="00D37D3E" w:rsidRDefault="00DE3BE9">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&lt;EndNote&gt;&lt;Cite&gt;&lt;Author&gt;Jiang&lt;/Author&gt;&lt;Year&gt;2023&lt;/Year&gt;&lt;RecNum&gt;22&lt;/RecNum&gt;&lt;DisplayText&gt;&lt;style face="superscript"&gt;6&lt;/style&gt;&lt;/DisplayText&gt;&lt;record&gt;&lt;rec-number&gt;22&lt;/rec-number&gt;&lt;foreign-keys&gt;&lt;key app="EN" db-id="f0dwsx5wez2tvwettslp5tfudwt09ptw5v05" timestamp="1754514935"&gt;22&lt;/key&gt;&lt;/foreign-keys&gt;&lt;ref-type name="Journal Article"&gt;17&lt;/ref-type&gt;&lt;contributors&gt;&lt;authors&gt;&lt;author&gt;Jiang, Jizhou&lt;/author&gt;&lt;author&gt;Li, Fangyi&lt;/author&gt;&lt;author&gt;Bai, Saishuai&lt;/author&gt;&lt;author&gt;Wang, Yongjing&lt;/author&gt;&lt;author&gt;Xiang, Kun&lt;/author&gt;&lt;author&gt;Wang, Haitao&lt;/author&gt;&lt;author&gt;Zou, Jing&lt;/author&gt;&lt;author&gt;Hsu, Jyh-Ping&lt;/author&gt;&lt;/authors&gt;&lt;/contributors&gt;&lt;titles&gt;&lt;title&gt;Carbonitride MXene Ti3CN(OH)x@MoS2 hybrids as efficient electrocatalyst for enhanced hydrogen evolution&lt;/title&gt;&lt;secondary-title&gt;Nano Research&lt;/secondary-title&gt;&lt;/titles&gt;&lt;periodical&gt;&lt;full-title&gt;Nano Research&lt;/full-title&gt;&lt;/periodical&gt;&lt;pages&gt;4656-4663&lt;/pages&gt;&lt;volume&gt;16&lt;/volume&gt;&lt;number&gt;4&lt;/number&gt;&lt;dates&gt;&lt;year&gt;2023&lt;/year&gt;&lt;pub-dates&gt;&lt;date&gt;2023/04/01&lt;/date&gt;&lt;/pub-dates&gt;&lt;/dates&gt;&lt;isbn&gt;1998-0000&lt;/isbn&gt;&lt;urls&gt;&lt;related-urls&gt;&lt;url&gt;https://doi.org/10.1007/s12274-022-5112-x&lt;/url&gt;&lt;/related-urls&gt;&lt;/urls&gt;&lt;electronic-resource-num&gt;10.1007/s12274-022-5112-x&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6</w:t>
            </w:r>
            <w:r w:rsidRPr="00D37D3E">
              <w:rPr>
                <w:rFonts w:ascii="Times New Roman" w:hAnsi="Times New Roman" w:cs="Times New Roman"/>
              </w:rPr>
              <w:fldChar w:fldCharType="end"/>
            </w:r>
          </w:p>
        </w:tc>
      </w:tr>
      <w:tr w:rsidR="00A3719D" w:rsidRPr="00D37D3E" w:rsidTr="00E50E96">
        <w:tc>
          <w:tcPr>
            <w:tcW w:w="2189" w:type="dxa"/>
          </w:tcPr>
          <w:p w:rsidR="003C66CA" w:rsidRPr="00D37D3E" w:rsidRDefault="001F03B4" w:rsidP="001F03B4">
            <w:pPr>
              <w:spacing w:after="0" w:line="276" w:lineRule="auto"/>
              <w:rPr>
                <w:rFonts w:ascii="Times New Roman" w:hAnsi="Times New Roman" w:cs="Times New Roman"/>
                <w:lang w:val="en-US"/>
              </w:rPr>
            </w:pPr>
            <w:r w:rsidRPr="00D37D3E">
              <w:rPr>
                <w:rFonts w:ascii="Times New Roman" w:hAnsi="Times New Roman" w:cs="Times New Roman"/>
              </w:rPr>
              <w:t>Mo</w:t>
            </w:r>
            <w:r w:rsidRPr="00D37D3E">
              <w:rPr>
                <w:rFonts w:ascii="Times New Roman" w:hAnsi="Times New Roman" w:cs="Times New Roman"/>
                <w:vertAlign w:val="subscript"/>
              </w:rPr>
              <w:t>2</w:t>
            </w:r>
            <w:r w:rsidRPr="00D37D3E">
              <w:rPr>
                <w:rFonts w:ascii="Times New Roman" w:hAnsi="Times New Roman" w:cs="Times New Roman"/>
              </w:rPr>
              <w:t>Ti</w:t>
            </w:r>
            <w:r w:rsidRPr="00D37D3E">
              <w:rPr>
                <w:rFonts w:ascii="Times New Roman" w:hAnsi="Times New Roman" w:cs="Times New Roman"/>
                <w:vertAlign w:val="subscript"/>
              </w:rPr>
              <w:t>2</w:t>
            </w:r>
            <w:r w:rsidRPr="00D37D3E">
              <w:rPr>
                <w:rFonts w:ascii="Times New Roman" w:hAnsi="Times New Roman" w:cs="Times New Roman"/>
              </w:rPr>
              <w:t>C</w:t>
            </w:r>
            <w:r w:rsidRPr="00D37D3E">
              <w:rPr>
                <w:rFonts w:ascii="Times New Roman" w:hAnsi="Times New Roman" w:cs="Times New Roman"/>
                <w:vertAlign w:val="subscript"/>
              </w:rPr>
              <w:t>3</w:t>
            </w:r>
            <w:r w:rsidRPr="00D37D3E">
              <w:rPr>
                <w:rFonts w:ascii="Times New Roman" w:hAnsi="Times New Roman" w:cs="Times New Roman"/>
              </w:rPr>
              <w:t>Tx/MoS2</w:t>
            </w:r>
          </w:p>
        </w:tc>
        <w:tc>
          <w:tcPr>
            <w:tcW w:w="1398" w:type="dxa"/>
          </w:tcPr>
          <w:p w:rsidR="003C66CA" w:rsidRPr="00D37D3E" w:rsidRDefault="003C66CA">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29</w:t>
            </w:r>
            <w:r w:rsidR="001F03B4" w:rsidRPr="00D37D3E">
              <w:rPr>
                <w:rFonts w:ascii="Times New Roman" w:hAnsi="Times New Roman" w:cs="Times New Roman"/>
                <w:lang w:val="en-US"/>
              </w:rPr>
              <w:t>8</w:t>
            </w:r>
          </w:p>
        </w:tc>
        <w:tc>
          <w:tcPr>
            <w:tcW w:w="1026" w:type="dxa"/>
          </w:tcPr>
          <w:p w:rsidR="003C66CA" w:rsidRPr="00D37D3E" w:rsidRDefault="001F03B4">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112</w:t>
            </w:r>
          </w:p>
        </w:tc>
        <w:tc>
          <w:tcPr>
            <w:tcW w:w="861" w:type="dxa"/>
          </w:tcPr>
          <w:p w:rsidR="003C66CA" w:rsidRPr="00D37D3E" w:rsidRDefault="001F03B4">
            <w:pPr>
              <w:spacing w:after="0" w:line="276" w:lineRule="auto"/>
              <w:jc w:val="center"/>
              <w:rPr>
                <w:rFonts w:ascii="Times New Roman" w:hAnsi="Times New Roman" w:cs="Times New Roman"/>
              </w:rPr>
            </w:pPr>
            <w:r w:rsidRPr="00D37D3E">
              <w:rPr>
                <w:rFonts w:ascii="Times New Roman" w:hAnsi="Times New Roman" w:cs="Times New Roman"/>
              </w:rPr>
              <w:t>0.2</w:t>
            </w:r>
          </w:p>
        </w:tc>
        <w:tc>
          <w:tcPr>
            <w:tcW w:w="1544" w:type="dxa"/>
          </w:tcPr>
          <w:p w:rsidR="003C66CA" w:rsidRPr="00D37D3E" w:rsidRDefault="001F03B4" w:rsidP="001F03B4">
            <w:pPr>
              <w:spacing w:after="0" w:line="276" w:lineRule="auto"/>
              <w:jc w:val="center"/>
              <w:rPr>
                <w:rFonts w:ascii="Times New Roman" w:hAnsi="Times New Roman" w:cs="Times New Roman"/>
              </w:rPr>
            </w:pPr>
            <w:r w:rsidRPr="00D37D3E">
              <w:rPr>
                <w:rFonts w:ascii="Times New Roman" w:hAnsi="Times New Roman" w:cs="Times New Roman"/>
              </w:rPr>
              <w:t>microwave-assisted hydrothermal method</w:t>
            </w:r>
          </w:p>
        </w:tc>
        <w:tc>
          <w:tcPr>
            <w:tcW w:w="1160" w:type="dxa"/>
          </w:tcPr>
          <w:p w:rsidR="003C66CA" w:rsidRPr="00D37D3E" w:rsidRDefault="00B04715">
            <w:pPr>
              <w:spacing w:after="0" w:line="276" w:lineRule="auto"/>
              <w:jc w:val="center"/>
              <w:rPr>
                <w:rFonts w:ascii="Times New Roman" w:hAnsi="Times New Roman" w:cs="Times New Roman"/>
              </w:rPr>
            </w:pPr>
            <w:r w:rsidRPr="00D37D3E">
              <w:rPr>
                <w:rFonts w:ascii="Times New Roman" w:hAnsi="Times New Roman" w:cs="Times New Roman"/>
              </w:rPr>
              <w:t>1 M KOH</w:t>
            </w:r>
          </w:p>
        </w:tc>
        <w:tc>
          <w:tcPr>
            <w:tcW w:w="1172" w:type="dxa"/>
          </w:tcPr>
          <w:p w:rsidR="003C66CA" w:rsidRPr="00D37D3E" w:rsidRDefault="00711630">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&lt;EndNote&gt;&lt;Cite&gt;&lt;Author&gt;Hanan&lt;/Author&gt;&lt;Year&gt;2025&lt;/Year&gt;&lt;RecNum&gt;19&lt;/RecNum&gt;&lt;DisplayText&gt;&lt;style face="superscript"&gt;7&lt;/style&gt;&lt;/DisplayText&gt;&lt;record&gt;&lt;rec-number&gt;19&lt;/rec-number&gt;&lt;foreign-keys&gt;&lt;key app="EN" db-id="f0dwsx5wez2tvwettslp5tfudwt09ptw5v05" timestamp="1754512281"&gt;19&lt;/key&gt;&lt;/foreign-keys&gt;&lt;ref-type name="Journal Article"&gt;17&lt;/ref-type&gt;&lt;contributors&gt;&lt;authors&gt;&lt;author&gt;Hanan, Abdul&lt;/author&gt;&lt;author&gt;Numan, Arshid&lt;/author&gt;&lt;author&gt;Norhaffis Mustafa, Muhammad&lt;/author&gt;&lt;author&gt;Walvekar, Rashmi&lt;/author&gt;&lt;author&gt;Khalid, Mohammad&lt;/author&gt;&lt;/authors&gt;&lt;/contributors&gt;&lt;titles&gt;&lt;title&gt;High-performance Mo2Ti2C3Tx/MoS2 hybrid electrocatalyst for sustainable hydrogen production&lt;/title&gt;&lt;secondary-title&gt;International Journal of Hydrogen Energy&lt;/secondary-title&gt;&lt;/titles&gt;&lt;periodical&gt;&lt;full-title&gt;International Journal of Hydrogen Energy&lt;/full-title&gt;&lt;/periodical&gt;&lt;pages&gt;150533&lt;/pages&gt;&lt;volume&gt;161&lt;/volume&gt;&lt;keywords&gt;&lt;keyword&gt;DTM MXene&lt;/keyword&gt;&lt;keyword&gt;MoTiCT&lt;/keyword&gt;&lt;keyword&gt;MoS&lt;/keyword&gt;&lt;keyword&gt;Electrochemical water splitting&lt;/keyword&gt;&lt;keyword&gt;Hydrogen evolution&lt;/keyword&gt;&lt;keyword&gt;Clean energy&lt;/keyword&gt;&lt;/keywords&gt;&lt;dates&gt;&lt;year&gt;2025&lt;/year&gt;&lt;pub-dates&gt;&lt;date&gt;2025/08/22/&lt;/date&gt;&lt;/pub-dates&gt;&lt;/dates&gt;&lt;isbn&gt;0360-3199&lt;/isbn&gt;&lt;urls&gt;&lt;related-urls&gt;&lt;url&gt;https://www.sciencedirect.com/science/article/pii/S0360319925035323&lt;/url&gt;&lt;/related-urls&gt;&lt;/urls&gt;&lt;electronic-resource-num&gt;https://doi.org/10.1016/j.ijhydene.2025.150533&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7</w:t>
            </w:r>
            <w:r w:rsidRPr="00D37D3E">
              <w:rPr>
                <w:rFonts w:ascii="Times New Roman" w:hAnsi="Times New Roman" w:cs="Times New Roman"/>
              </w:rPr>
              <w:fldChar w:fldCharType="end"/>
            </w:r>
          </w:p>
        </w:tc>
      </w:tr>
      <w:tr w:rsidR="00D31DE7" w:rsidRPr="00D37D3E" w:rsidTr="00E50E96">
        <w:tc>
          <w:tcPr>
            <w:tcW w:w="2189" w:type="dxa"/>
          </w:tcPr>
          <w:p w:rsidR="00D31DE7" w:rsidRPr="00D37D3E" w:rsidRDefault="00D31DE7" w:rsidP="00D31DE7">
            <w:pPr>
              <w:spacing w:after="0" w:line="276" w:lineRule="auto"/>
              <w:rPr>
                <w:rFonts w:ascii="Times New Roman" w:hAnsi="Times New Roman" w:cs="Times New Roman"/>
              </w:rPr>
            </w:pPr>
            <w:r w:rsidRPr="00D37D3E">
              <w:rPr>
                <w:rFonts w:ascii="Times New Roman" w:hAnsi="Times New Roman" w:cs="Times New Roman"/>
              </w:rPr>
              <w:t> MoS</w:t>
            </w:r>
            <w:r w:rsidRPr="00D37D3E">
              <w:rPr>
                <w:rFonts w:ascii="Times New Roman" w:hAnsi="Times New Roman" w:cs="Times New Roman"/>
                <w:vertAlign w:val="subscript"/>
              </w:rPr>
              <w:t>2</w:t>
            </w:r>
            <w:r w:rsidRPr="00D37D3E">
              <w:rPr>
                <w:rFonts w:ascii="Times New Roman" w:hAnsi="Times New Roman" w:cs="Times New Roman"/>
              </w:rPr>
              <w:t>/Ti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r w:rsidRPr="00D37D3E">
              <w:rPr>
                <w:rFonts w:ascii="Times New Roman" w:hAnsi="Times New Roman" w:cs="Times New Roman"/>
              </w:rPr>
              <w:t> MXene</w:t>
            </w:r>
          </w:p>
        </w:tc>
        <w:tc>
          <w:tcPr>
            <w:tcW w:w="1398" w:type="dxa"/>
          </w:tcPr>
          <w:p w:rsidR="00D31DE7" w:rsidRPr="00D37D3E" w:rsidRDefault="00D31DE7">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421</w:t>
            </w:r>
          </w:p>
        </w:tc>
        <w:tc>
          <w:tcPr>
            <w:tcW w:w="1026" w:type="dxa"/>
          </w:tcPr>
          <w:p w:rsidR="00D31DE7" w:rsidRPr="00D37D3E" w:rsidRDefault="00D31DE7">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217</w:t>
            </w:r>
          </w:p>
        </w:tc>
        <w:tc>
          <w:tcPr>
            <w:tcW w:w="861" w:type="dxa"/>
          </w:tcPr>
          <w:p w:rsidR="00D31DE7" w:rsidRPr="00D37D3E" w:rsidRDefault="00607CD3">
            <w:pPr>
              <w:spacing w:after="0" w:line="276" w:lineRule="auto"/>
              <w:jc w:val="center"/>
              <w:rPr>
                <w:rFonts w:ascii="Times New Roman" w:hAnsi="Times New Roman" w:cs="Times New Roman"/>
              </w:rPr>
            </w:pPr>
            <w:r w:rsidRPr="00D37D3E">
              <w:rPr>
                <w:rFonts w:ascii="Times New Roman" w:hAnsi="Times New Roman" w:cs="Times New Roman"/>
              </w:rPr>
              <w:t>-</w:t>
            </w:r>
          </w:p>
        </w:tc>
        <w:tc>
          <w:tcPr>
            <w:tcW w:w="1544" w:type="dxa"/>
          </w:tcPr>
          <w:p w:rsidR="00D31DE7" w:rsidRPr="00D37D3E" w:rsidRDefault="00607CD3" w:rsidP="001F03B4">
            <w:pPr>
              <w:spacing w:after="0" w:line="276" w:lineRule="auto"/>
              <w:jc w:val="center"/>
              <w:rPr>
                <w:rFonts w:ascii="Times New Roman" w:hAnsi="Times New Roman" w:cs="Times New Roman"/>
              </w:rPr>
            </w:pPr>
            <w:r w:rsidRPr="00D37D3E">
              <w:rPr>
                <w:rFonts w:ascii="Times New Roman" w:hAnsi="Times New Roman" w:cs="Times New Roman"/>
              </w:rPr>
              <w:t>Hydrothermal method</w:t>
            </w:r>
          </w:p>
        </w:tc>
        <w:tc>
          <w:tcPr>
            <w:tcW w:w="1160" w:type="dxa"/>
          </w:tcPr>
          <w:p w:rsidR="00D31DE7" w:rsidRPr="00D37D3E" w:rsidRDefault="00C3599C">
            <w:pPr>
              <w:spacing w:after="0" w:line="276" w:lineRule="auto"/>
              <w:jc w:val="center"/>
              <w:rPr>
                <w:rFonts w:ascii="Times New Roman" w:hAnsi="Times New Roman" w:cs="Times New Roman"/>
              </w:rPr>
            </w:pPr>
            <w:r w:rsidRPr="00D37D3E">
              <w:rPr>
                <w:rFonts w:ascii="Georgia" w:hAnsi="Georgia"/>
                <w:color w:val="1F1F1F"/>
              </w:rPr>
              <w:t>1 M NaOH</w:t>
            </w:r>
          </w:p>
        </w:tc>
        <w:tc>
          <w:tcPr>
            <w:tcW w:w="1172" w:type="dxa"/>
          </w:tcPr>
          <w:p w:rsidR="00D31DE7" w:rsidRPr="00D37D3E" w:rsidRDefault="00C3599C">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&lt;EndNote&gt;&lt;Cite&gt;&lt;Author&gt;Hasanah&lt;/Author&gt;&lt;Year&gt;2025&lt;/Year&gt;&lt;RecNum&gt;20&lt;/RecNum&gt;&lt;DisplayText&gt;&lt;style face="superscript"&gt;8&lt;/style&gt;&lt;/DisplayText&gt;&lt;record&gt;&lt;rec-number&gt;20&lt;/rec-number&gt;&lt;foreign-keys&gt;&lt;key app="EN" db-id="f0dwsx5wez2tvwettslp5tfudwt09ptw5v05" timestamp="1754513450"&gt;20&lt;/key&gt;&lt;/foreign-keys&gt;&lt;ref-type name="Journal Article"&gt;17&lt;/ref-type&gt;&lt;contributors&gt;&lt;authors&gt;&lt;author&gt;Hasanah, Rachmadani&lt;/author&gt;&lt;author&gt;Romdoni, Yoga&lt;/author&gt;&lt;author&gt;Fauzia, Vivi&lt;/author&gt;&lt;author&gt;Arifutzzaman, A.&lt;/author&gt;&lt;author&gt;Hussin, Farihahusnah&lt;/author&gt;&lt;author&gt;Aroua, Mohamed Kheireddine&lt;/author&gt;&lt;author&gt;Khalil, Munawar&lt;/author&gt;&lt;/authors&gt;&lt;/contributors&gt;&lt;titles&gt;&lt;title&gt;Two-dimension MoS2/Ti3C2 MXene nanocomposite for an efficient hydrogen evolution reaction in alkaline media&lt;/title&gt;&lt;secondary-title&gt;Materials Research Bulletin&lt;/secondary-title&gt;&lt;/titles&gt;&lt;periodical&gt;&lt;full-title&gt;Materials Research Bulletin&lt;/full-title&gt;&lt;/periodical&gt;&lt;pages&gt;113514&lt;/pages&gt;&lt;volume&gt;190&lt;/volume&gt;&lt;keywords&gt;&lt;keyword&gt;Hydrogen evolution reaction&lt;/keyword&gt;&lt;keyword&gt;Electrocatalyst&lt;/keyword&gt;&lt;keyword&gt;Molybdenum disulfide&lt;/keyword&gt;&lt;keyword&gt;Nanocomposite&lt;/keyword&gt;&lt;keyword&gt;TIC mxene&lt;/keyword&gt;&lt;/keywords&gt;&lt;dates&gt;&lt;year&gt;2025&lt;/year&gt;&lt;pub-dates&gt;&lt;date&gt;2025/10/01/&lt;/date&gt;&lt;/pub-dates&gt;&lt;/dates&gt;&lt;isbn&gt;0025-5408&lt;/isbn&gt;&lt;urls&gt;&lt;related-urls&gt;&lt;url&gt;https://www.sciencedirect.com/science/article/pii/S0025540825002223&lt;/url&gt;&lt;/related-urls&gt;&lt;/urls&gt;&lt;electronic-resource-num&gt;https://doi.org/10.1016/j.materresbull.2025.113514&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8</w:t>
            </w:r>
            <w:r w:rsidRPr="00D37D3E">
              <w:rPr>
                <w:rFonts w:ascii="Times New Roman" w:hAnsi="Times New Roman" w:cs="Times New Roman"/>
              </w:rPr>
              <w:fldChar w:fldCharType="end"/>
            </w:r>
          </w:p>
        </w:tc>
      </w:tr>
      <w:tr w:rsidR="00E50E96" w:rsidRPr="00D37D3E" w:rsidTr="00E50E96">
        <w:tc>
          <w:tcPr>
            <w:tcW w:w="2189" w:type="dxa"/>
          </w:tcPr>
          <w:p w:rsidR="00E50E96" w:rsidRPr="00D37D3E" w:rsidRDefault="00E50E96" w:rsidP="00E50E96">
            <w:pPr>
              <w:spacing w:after="0" w:line="276" w:lineRule="auto"/>
              <w:rPr>
                <w:rFonts w:ascii="Times New Roman" w:hAnsi="Times New Roman" w:cs="Times New Roman"/>
              </w:rPr>
            </w:pPr>
            <w:r w:rsidRPr="00D37D3E">
              <w:rPr>
                <w:rFonts w:ascii="Times New Roman" w:hAnsi="Times New Roman" w:cs="Times New Roman"/>
              </w:rPr>
              <w:t>MoS</w:t>
            </w:r>
            <w:r w:rsidRPr="00D37D3E">
              <w:rPr>
                <w:rFonts w:ascii="Times New Roman" w:hAnsi="Times New Roman" w:cs="Times New Roman"/>
                <w:vertAlign w:val="subscript"/>
              </w:rPr>
              <w:t>2</w:t>
            </w:r>
            <w:r w:rsidRPr="00D37D3E">
              <w:rPr>
                <w:rFonts w:ascii="Times New Roman" w:hAnsi="Times New Roman" w:cs="Times New Roman"/>
              </w:rPr>
              <w:t>/Nb</w:t>
            </w:r>
            <w:r w:rsidRPr="00D37D3E">
              <w:rPr>
                <w:rFonts w:ascii="Times New Roman" w:hAnsi="Times New Roman" w:cs="Times New Roman"/>
                <w:vertAlign w:val="subscript"/>
              </w:rPr>
              <w:t>2</w:t>
            </w:r>
            <w:r w:rsidRPr="00D37D3E">
              <w:rPr>
                <w:rFonts w:ascii="Times New Roman" w:hAnsi="Times New Roman" w:cs="Times New Roman"/>
              </w:rPr>
              <w:t>CT</w:t>
            </w:r>
            <w:r w:rsidRPr="00D37D3E">
              <w:rPr>
                <w:rFonts w:ascii="Times New Roman" w:hAnsi="Times New Roman" w:cs="Times New Roman"/>
                <w:i/>
                <w:iCs/>
                <w:vertAlign w:val="subscript"/>
              </w:rPr>
              <w:t>x</w:t>
            </w:r>
          </w:p>
        </w:tc>
        <w:tc>
          <w:tcPr>
            <w:tcW w:w="1398" w:type="dxa"/>
          </w:tcPr>
          <w:p w:rsidR="00E50E96" w:rsidRPr="00D37D3E" w:rsidRDefault="00E50E96">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127</w:t>
            </w:r>
          </w:p>
        </w:tc>
        <w:tc>
          <w:tcPr>
            <w:tcW w:w="1026" w:type="dxa"/>
          </w:tcPr>
          <w:p w:rsidR="00E50E96" w:rsidRPr="00D37D3E" w:rsidRDefault="00E50E96" w:rsidP="00E50E96">
            <w:pPr>
              <w:spacing w:after="0" w:line="276" w:lineRule="auto"/>
              <w:jc w:val="center"/>
              <w:rPr>
                <w:rFonts w:ascii="Times New Roman" w:hAnsi="Times New Roman" w:cs="Times New Roman"/>
                <w:lang w:val="en-US"/>
              </w:rPr>
            </w:pPr>
            <w:r w:rsidRPr="00D37D3E">
              <w:rPr>
                <w:rFonts w:ascii="Times New Roman" w:hAnsi="Times New Roman" w:cs="Times New Roman"/>
              </w:rPr>
              <w:t> 56.3</w:t>
            </w:r>
          </w:p>
        </w:tc>
        <w:tc>
          <w:tcPr>
            <w:tcW w:w="861" w:type="dxa"/>
          </w:tcPr>
          <w:p w:rsidR="00E50E96" w:rsidRPr="00D37D3E" w:rsidRDefault="00E50E96">
            <w:pPr>
              <w:spacing w:after="0" w:line="276" w:lineRule="auto"/>
              <w:jc w:val="center"/>
              <w:rPr>
                <w:rFonts w:ascii="Times New Roman" w:hAnsi="Times New Roman" w:cs="Times New Roman"/>
              </w:rPr>
            </w:pPr>
            <w:r w:rsidRPr="00D37D3E">
              <w:rPr>
                <w:rFonts w:ascii="Times New Roman" w:hAnsi="Times New Roman" w:cs="Times New Roman"/>
              </w:rPr>
              <w:t>-</w:t>
            </w:r>
          </w:p>
        </w:tc>
        <w:tc>
          <w:tcPr>
            <w:tcW w:w="1544" w:type="dxa"/>
          </w:tcPr>
          <w:p w:rsidR="00E50E96" w:rsidRPr="00D37D3E" w:rsidRDefault="00E50E96" w:rsidP="00E50E96">
            <w:pPr>
              <w:spacing w:after="0" w:line="276" w:lineRule="auto"/>
              <w:jc w:val="center"/>
              <w:rPr>
                <w:rFonts w:ascii="Times New Roman" w:hAnsi="Times New Roman" w:cs="Times New Roman"/>
              </w:rPr>
            </w:pPr>
            <w:r w:rsidRPr="00D37D3E">
              <w:rPr>
                <w:rFonts w:ascii="Times New Roman" w:hAnsi="Times New Roman" w:cs="Times New Roman"/>
              </w:rPr>
              <w:t>hydrothermal method </w:t>
            </w:r>
          </w:p>
        </w:tc>
        <w:tc>
          <w:tcPr>
            <w:tcW w:w="1160" w:type="dxa"/>
          </w:tcPr>
          <w:p w:rsidR="00E50E96" w:rsidRPr="00D37D3E" w:rsidRDefault="00E50E96" w:rsidP="00E50E96">
            <w:pPr>
              <w:spacing w:after="0" w:line="276" w:lineRule="auto"/>
              <w:jc w:val="center"/>
              <w:rPr>
                <w:rFonts w:ascii="Georgia" w:hAnsi="Georgia"/>
                <w:color w:val="1F1F1F"/>
              </w:rPr>
            </w:pPr>
            <w:r w:rsidRPr="00D37D3E">
              <w:rPr>
                <w:rFonts w:ascii="Georgia" w:hAnsi="Georgia"/>
                <w:color w:val="1F1F1F"/>
              </w:rPr>
              <w:t>0.5 M H</w:t>
            </w:r>
            <w:r w:rsidRPr="00D37D3E">
              <w:rPr>
                <w:rFonts w:ascii="Georgia" w:hAnsi="Georgia"/>
                <w:color w:val="1F1F1F"/>
                <w:vertAlign w:val="subscript"/>
              </w:rPr>
              <w:t>2</w:t>
            </w:r>
            <w:r w:rsidRPr="00D37D3E">
              <w:rPr>
                <w:rFonts w:ascii="Georgia" w:hAnsi="Georgia"/>
                <w:color w:val="1F1F1F"/>
              </w:rPr>
              <w:t>SO</w:t>
            </w:r>
            <w:r w:rsidRPr="00D37D3E">
              <w:rPr>
                <w:rFonts w:ascii="Georgia" w:hAnsi="Georgia"/>
                <w:color w:val="1F1F1F"/>
                <w:vertAlign w:val="subscript"/>
              </w:rPr>
              <w:t>4</w:t>
            </w:r>
          </w:p>
        </w:tc>
        <w:tc>
          <w:tcPr>
            <w:tcW w:w="1172" w:type="dxa"/>
          </w:tcPr>
          <w:p w:rsidR="00E50E96" w:rsidRPr="00D37D3E" w:rsidRDefault="00E50E96">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&lt;EndNote&gt;&lt;Cite&gt;&lt;Author&gt;Hu&lt;/Author&gt;&lt;Year&gt;2020&lt;/Year&gt;&lt;RecNum&gt;25&lt;/RecNum&gt;&lt;DisplayText&gt;&lt;style face="superscript"&gt;9&lt;/style&gt;&lt;/DisplayText&gt;&lt;record&gt;&lt;rec-number&gt;25&lt;/rec-number&gt;&lt;foreign-keys&gt;&lt;key app="EN" db-id="f0dwsx5wez2tvwettslp5tfudwt09ptw5v05" timestamp="1754516182"&gt;25&lt;/key&gt;&lt;/foreign-keys&gt;&lt;ref-type name="Journal Article"&gt;17&lt;/ref-type&gt;&lt;contributors&gt;&lt;authors&gt;&lt;author&gt;Hu, Le&lt;/author&gt;&lt;author&gt;Sun, Yuyun&lt;/author&gt;&lt;author&gt;Gong, Shi-Jing&lt;/author&gt;&lt;author&gt;Zong, Hui&lt;/author&gt;&lt;author&gt;Yu, Ke&lt;/author&gt;&lt;author&gt;Zhu, Ziqiang&lt;/author&gt;&lt;/authors&gt;&lt;/contributors&gt;&lt;titles&gt;&lt;title&gt;Experimental and theoretical investigation on MoS2/MXene heterostructure as an efficient electrocatalyst for hydrogen evolution in both acidic and alkaline media&lt;/title&gt;&lt;secondary-title&gt;New Journal of Chemistry&lt;/secondary-title&gt;&lt;/titles&gt;&lt;periodical&gt;&lt;full-title&gt;New Journal of Chemistry&lt;/full-title&gt;&lt;/periodical&gt;&lt;pages&gt;7902-7911&lt;/pages&gt;&lt;volume&gt;44&lt;/volume&gt;&lt;number&gt;19&lt;/number&gt;&lt;dates&gt;&lt;year&gt;2020&lt;/year&gt;&lt;/dates&gt;&lt;publisher&gt;The Royal Society of Chemistry&lt;/publisher&gt;&lt;isbn&gt;1144-0546&lt;/isbn&gt;&lt;work-type&gt;10.1039/D0NJ00956C&lt;/work-type&gt;&lt;urls&gt;&lt;related-urls&gt;&lt;url&gt;http://dx.doi.org/10.1039/D0NJ00956C&lt;/url&gt;&lt;/related-urls&gt;&lt;/urls&gt;&lt;electronic-resource-num&gt;10.1039/D0NJ00956C&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9</w:t>
            </w:r>
            <w:r w:rsidRPr="00D37D3E">
              <w:rPr>
                <w:rFonts w:ascii="Times New Roman" w:hAnsi="Times New Roman" w:cs="Times New Roman"/>
              </w:rPr>
              <w:fldChar w:fldCharType="end"/>
            </w:r>
          </w:p>
        </w:tc>
      </w:tr>
      <w:tr w:rsidR="00E50E96" w:rsidRPr="00D37D3E" w:rsidTr="00E50E96">
        <w:tc>
          <w:tcPr>
            <w:tcW w:w="2189" w:type="dxa"/>
          </w:tcPr>
          <w:p w:rsidR="00E50E96" w:rsidRPr="00D37D3E" w:rsidRDefault="00E50E96" w:rsidP="00E50E96">
            <w:pPr>
              <w:spacing w:after="0" w:line="276" w:lineRule="auto"/>
              <w:rPr>
                <w:rFonts w:ascii="Times New Roman" w:hAnsi="Times New Roman" w:cs="Times New Roman"/>
              </w:rPr>
            </w:pPr>
            <w:r w:rsidRPr="00D37D3E">
              <w:rPr>
                <w:rFonts w:ascii="Times New Roman" w:hAnsi="Times New Roman" w:cs="Times New Roman"/>
              </w:rPr>
              <w:t>MoS2-Ti3C2Tx</w:t>
            </w:r>
          </w:p>
        </w:tc>
        <w:tc>
          <w:tcPr>
            <w:tcW w:w="1398" w:type="dxa"/>
          </w:tcPr>
          <w:p w:rsidR="00E50E96" w:rsidRPr="00D37D3E" w:rsidRDefault="00E50E96">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152</w:t>
            </w:r>
          </w:p>
        </w:tc>
        <w:tc>
          <w:tcPr>
            <w:tcW w:w="1026" w:type="dxa"/>
          </w:tcPr>
          <w:p w:rsidR="00E50E96" w:rsidRPr="00D37D3E" w:rsidRDefault="00E50E96" w:rsidP="00E50E96">
            <w:pPr>
              <w:spacing w:after="0" w:line="276" w:lineRule="auto"/>
              <w:jc w:val="center"/>
              <w:rPr>
                <w:rFonts w:ascii="Times New Roman" w:hAnsi="Times New Roman" w:cs="Times New Roman"/>
              </w:rPr>
            </w:pPr>
            <w:r w:rsidRPr="00D37D3E">
              <w:rPr>
                <w:rFonts w:ascii="Times New Roman" w:hAnsi="Times New Roman" w:cs="Times New Roman"/>
              </w:rPr>
              <w:t>70</w:t>
            </w:r>
          </w:p>
        </w:tc>
        <w:tc>
          <w:tcPr>
            <w:tcW w:w="861" w:type="dxa"/>
          </w:tcPr>
          <w:p w:rsidR="00E50E96" w:rsidRPr="00D37D3E" w:rsidRDefault="00860CAB">
            <w:pPr>
              <w:spacing w:after="0" w:line="276" w:lineRule="auto"/>
              <w:jc w:val="center"/>
              <w:rPr>
                <w:rFonts w:ascii="Times New Roman" w:hAnsi="Times New Roman" w:cs="Times New Roman"/>
              </w:rPr>
            </w:pPr>
            <w:r w:rsidRPr="00D37D3E">
              <w:rPr>
                <w:rFonts w:ascii="Times New Roman" w:hAnsi="Times New Roman" w:cs="Times New Roman"/>
              </w:rPr>
              <w:t>0.28</w:t>
            </w:r>
          </w:p>
        </w:tc>
        <w:tc>
          <w:tcPr>
            <w:tcW w:w="1544" w:type="dxa"/>
          </w:tcPr>
          <w:p w:rsidR="00E50E96" w:rsidRPr="00D37D3E" w:rsidRDefault="00860CAB" w:rsidP="00860CAB">
            <w:pPr>
              <w:spacing w:after="0" w:line="276" w:lineRule="auto"/>
              <w:jc w:val="center"/>
              <w:rPr>
                <w:rFonts w:ascii="Times New Roman" w:hAnsi="Times New Roman" w:cs="Times New Roman"/>
              </w:rPr>
            </w:pPr>
            <w:r w:rsidRPr="00D37D3E">
              <w:rPr>
                <w:rFonts w:ascii="Times New Roman" w:hAnsi="Times New Roman" w:cs="Times New Roman"/>
              </w:rPr>
              <w:t> combining liquid nitrogen-freezing and subsequent annealing.</w:t>
            </w:r>
          </w:p>
        </w:tc>
        <w:tc>
          <w:tcPr>
            <w:tcW w:w="1160" w:type="dxa"/>
          </w:tcPr>
          <w:p w:rsidR="00E50E96" w:rsidRPr="00D37D3E" w:rsidRDefault="00860CAB" w:rsidP="00860CAB">
            <w:pPr>
              <w:spacing w:after="0" w:line="276" w:lineRule="auto"/>
              <w:jc w:val="center"/>
              <w:rPr>
                <w:rFonts w:ascii="Georgia" w:hAnsi="Georgia"/>
                <w:color w:val="1F1F1F"/>
              </w:rPr>
            </w:pPr>
            <w:r w:rsidRPr="00D37D3E">
              <w:rPr>
                <w:rFonts w:ascii="Georgia" w:hAnsi="Georgia"/>
                <w:color w:val="1F1F1F"/>
              </w:rPr>
              <w:t>0.5 M H</w:t>
            </w:r>
            <w:r w:rsidRPr="00D37D3E">
              <w:rPr>
                <w:rFonts w:ascii="Georgia" w:hAnsi="Georgia"/>
                <w:color w:val="1F1F1F"/>
                <w:vertAlign w:val="subscript"/>
              </w:rPr>
              <w:t>2</w:t>
            </w:r>
            <w:r w:rsidRPr="00D37D3E">
              <w:rPr>
                <w:rFonts w:ascii="Georgia" w:hAnsi="Georgia"/>
                <w:color w:val="1F1F1F"/>
              </w:rPr>
              <w:t>SO</w:t>
            </w:r>
            <w:r w:rsidRPr="00D37D3E">
              <w:rPr>
                <w:rFonts w:ascii="Georgia" w:hAnsi="Georgia"/>
                <w:color w:val="1F1F1F"/>
                <w:vertAlign w:val="subscript"/>
              </w:rPr>
              <w:t>4</w:t>
            </w:r>
          </w:p>
        </w:tc>
        <w:tc>
          <w:tcPr>
            <w:tcW w:w="1172" w:type="dxa"/>
          </w:tcPr>
          <w:p w:rsidR="00E50E96" w:rsidRPr="00D37D3E" w:rsidRDefault="00860CAB">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&lt;EndNote&gt;&lt;Cite&gt;&lt;Author&gt;Liu&lt;/Author&gt;&lt;Year&gt;2019&lt;/Year&gt;&lt;RecNum&gt;24&lt;/RecNum&gt;&lt;DisplayText&gt;&lt;style face="superscript"&gt;10&lt;/style&gt;&lt;/DisplayText&gt;&lt;record&gt;&lt;rec-number&gt;24&lt;/rec-number&gt;&lt;foreign-keys&gt;&lt;key app="EN" db-id="f0dwsx5wez2tvwettslp5tfudwt09ptw5v05" timestamp="1754515746"&gt;24&lt;/key&gt;&lt;/foreign-keys&gt;&lt;ref-type name="Journal Article"&gt;17&lt;/ref-type&gt;&lt;contributors&gt;&lt;authors&gt;&lt;author&gt;Liu, Jiapeng&lt;/author&gt;&lt;author&gt;Liu, Yizhe&lt;/author&gt;&lt;author&gt;Xu, Danyun&lt;/author&gt;&lt;author&gt;Zhu, Yuanzhi&lt;/author&gt;&lt;author&gt;Peng, Wenchao&lt;/author&gt;&lt;author&gt;Li, Yang&lt;/author&gt;&lt;author&gt;Zhang, Fengbao&lt;/author&gt;&lt;author&gt;Fan, Xiaobin&lt;/author&gt;&lt;/authors&gt;&lt;/contributors&gt;&lt;titles&gt;&lt;title&gt;Hierarchical “nanoroll” like MoS2/Ti3C2Tx hybrid with high electrocatalytic hydrogen evolution activity&lt;/title&gt;&lt;secondary-title&gt;Applied Catalysis B: Environmental&lt;/secondary-title&gt;&lt;/titles&gt;&lt;periodical&gt;&lt;full-title&gt;Applied Catalysis B: Environmental&lt;/full-title&gt;&lt;/periodical&gt;&lt;pages&gt;89-94&lt;/pages&gt;&lt;volume&gt;241&lt;/volume&gt;&lt;keywords&gt;&lt;keyword&gt;MoS&lt;/keyword&gt;&lt;keyword&gt;MXene&lt;/keyword&gt;&lt;keyword&gt;Hierarchical&lt;/keyword&gt;&lt;keyword&gt;Nanoroll&lt;/keyword&gt;&lt;keyword&gt;Hydrogen evolution reaction&lt;/keyword&gt;&lt;/keywords&gt;&lt;dates&gt;&lt;year&gt;2019&lt;/year&gt;&lt;pub-dates&gt;&lt;date&gt;2019/02/01/&lt;/date&gt;&lt;/pub-dates&gt;&lt;/dates&gt;&lt;isbn&gt;0926-3373&lt;/isbn&gt;&lt;urls&gt;&lt;related-urls&gt;&lt;url&gt;https://www.sciencedirect.com/science/article/pii/S092633731830821X&lt;/url&gt;&lt;/related-urls&gt;&lt;/urls&gt;&lt;electronic-resource-num&gt;https://doi.org/10.1016/j.apcatb.2018.08.083&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10</w:t>
            </w:r>
            <w:r w:rsidRPr="00D37D3E">
              <w:rPr>
                <w:rFonts w:ascii="Times New Roman" w:hAnsi="Times New Roman" w:cs="Times New Roman"/>
              </w:rPr>
              <w:fldChar w:fldCharType="end"/>
            </w:r>
          </w:p>
        </w:tc>
      </w:tr>
      <w:tr w:rsidR="00E456C3" w:rsidRPr="00D37D3E" w:rsidTr="00E50E96">
        <w:tc>
          <w:tcPr>
            <w:tcW w:w="2189" w:type="dxa"/>
          </w:tcPr>
          <w:p w:rsidR="00E456C3" w:rsidRPr="00D37D3E" w:rsidRDefault="00E456C3" w:rsidP="00E456C3">
            <w:pPr>
              <w:spacing w:after="0" w:line="276" w:lineRule="auto"/>
              <w:rPr>
                <w:rFonts w:ascii="Times New Roman" w:hAnsi="Times New Roman" w:cs="Times New Roman"/>
              </w:rPr>
            </w:pPr>
            <w:r w:rsidRPr="00D37D3E">
              <w:rPr>
                <w:rFonts w:ascii="Times New Roman" w:hAnsi="Times New Roman" w:cs="Times New Roman"/>
              </w:rPr>
              <w:t>MoS2-Nb2CTx</w:t>
            </w:r>
          </w:p>
        </w:tc>
        <w:tc>
          <w:tcPr>
            <w:tcW w:w="1398" w:type="dxa"/>
          </w:tcPr>
          <w:p w:rsidR="00E456C3" w:rsidRPr="00D37D3E" w:rsidRDefault="00E456C3">
            <w:pPr>
              <w:spacing w:after="0" w:line="276" w:lineRule="auto"/>
              <w:jc w:val="center"/>
              <w:rPr>
                <w:rFonts w:ascii="Times New Roman" w:hAnsi="Times New Roman" w:cs="Times New Roman"/>
                <w:lang w:val="en-US"/>
              </w:rPr>
            </w:pPr>
            <w:r w:rsidRPr="00D37D3E">
              <w:rPr>
                <w:rFonts w:ascii="Times New Roman" w:hAnsi="Times New Roman" w:cs="Times New Roman"/>
                <w:lang w:val="en-US"/>
              </w:rPr>
              <w:t>141</w:t>
            </w:r>
          </w:p>
        </w:tc>
        <w:tc>
          <w:tcPr>
            <w:tcW w:w="1026" w:type="dxa"/>
          </w:tcPr>
          <w:p w:rsidR="00E456C3" w:rsidRPr="00D37D3E" w:rsidRDefault="00E456C3" w:rsidP="00E456C3">
            <w:pPr>
              <w:spacing w:after="0" w:line="276" w:lineRule="auto"/>
              <w:jc w:val="center"/>
              <w:rPr>
                <w:rFonts w:ascii="Times New Roman" w:hAnsi="Times New Roman" w:cs="Times New Roman"/>
              </w:rPr>
            </w:pPr>
            <w:r w:rsidRPr="00D37D3E">
              <w:rPr>
                <w:rFonts w:ascii="Times New Roman" w:hAnsi="Times New Roman" w:cs="Times New Roman"/>
              </w:rPr>
              <w:t>93.4</w:t>
            </w:r>
          </w:p>
        </w:tc>
        <w:tc>
          <w:tcPr>
            <w:tcW w:w="861" w:type="dxa"/>
          </w:tcPr>
          <w:p w:rsidR="00E456C3" w:rsidRPr="00D37D3E" w:rsidRDefault="0046070F">
            <w:pPr>
              <w:spacing w:after="0" w:line="276" w:lineRule="auto"/>
              <w:jc w:val="center"/>
              <w:rPr>
                <w:rFonts w:ascii="Times New Roman" w:hAnsi="Times New Roman" w:cs="Times New Roman"/>
              </w:rPr>
            </w:pPr>
            <w:r w:rsidRPr="00D37D3E">
              <w:rPr>
                <w:rFonts w:ascii="Times New Roman" w:hAnsi="Times New Roman" w:cs="Times New Roman"/>
              </w:rPr>
              <w:t>-</w:t>
            </w:r>
          </w:p>
        </w:tc>
        <w:tc>
          <w:tcPr>
            <w:tcW w:w="1544" w:type="dxa"/>
          </w:tcPr>
          <w:p w:rsidR="00E456C3" w:rsidRPr="00D37D3E" w:rsidRDefault="00E456C3" w:rsidP="00E456C3">
            <w:pPr>
              <w:spacing w:after="0" w:line="276" w:lineRule="auto"/>
              <w:jc w:val="center"/>
              <w:rPr>
                <w:rFonts w:ascii="Times New Roman" w:hAnsi="Times New Roman" w:cs="Times New Roman"/>
              </w:rPr>
            </w:pPr>
            <w:r w:rsidRPr="00D37D3E">
              <w:rPr>
                <w:rFonts w:ascii="Times New Roman" w:hAnsi="Times New Roman" w:cs="Times New Roman"/>
              </w:rPr>
              <w:t>hydrothermal method </w:t>
            </w:r>
          </w:p>
        </w:tc>
        <w:tc>
          <w:tcPr>
            <w:tcW w:w="1160" w:type="dxa"/>
          </w:tcPr>
          <w:p w:rsidR="00E456C3" w:rsidRPr="00D37D3E" w:rsidRDefault="00E456C3" w:rsidP="00E456C3">
            <w:pPr>
              <w:spacing w:after="0" w:line="276" w:lineRule="auto"/>
              <w:jc w:val="center"/>
              <w:rPr>
                <w:rFonts w:ascii="Georgia" w:hAnsi="Georgia"/>
                <w:color w:val="1F1F1F"/>
              </w:rPr>
            </w:pPr>
            <w:r w:rsidRPr="00D37D3E">
              <w:rPr>
                <w:rFonts w:ascii="Georgia" w:hAnsi="Georgia"/>
                <w:color w:val="1F1F1F"/>
              </w:rPr>
              <w:t>1 M KOH</w:t>
            </w:r>
          </w:p>
        </w:tc>
        <w:tc>
          <w:tcPr>
            <w:tcW w:w="1172" w:type="dxa"/>
          </w:tcPr>
          <w:p w:rsidR="00E456C3" w:rsidRPr="00D37D3E" w:rsidRDefault="00FF5B14">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&lt;EndNote&gt;&lt;Cite&gt;&lt;Author&gt;Hu&lt;/Author&gt;&lt;Year&gt;2020&lt;/Year&gt;&lt;RecNum&gt;25&lt;/RecNum&gt;&lt;DisplayText&gt;&lt;style face="superscript"&gt;9&lt;/style&gt;&lt;/DisplayText&gt;&lt;record&gt;&lt;rec-number&gt;25&lt;/rec-number&gt;&lt;foreign-keys&gt;&lt;key app="EN" db-id="f0dwsx5wez2tvwettslp5tfudwt09ptw5v05" timestamp="1754516182"&gt;25&lt;/key&gt;&lt;/foreign-keys&gt;&lt;ref-type name="Journal Article"&gt;17&lt;/ref-type&gt;&lt;contributors&gt;&lt;authors&gt;&lt;author&gt;Hu, Le&lt;/author&gt;&lt;author&gt;Sun, Yuyun&lt;/author&gt;&lt;author&gt;Gong, Shi-Jing&lt;/author&gt;&lt;author&gt;Zong, Hui&lt;/author&gt;&lt;author&gt;Yu, Ke&lt;/author&gt;&lt;author&gt;Zhu, Ziqiang&lt;/author&gt;&lt;/authors&gt;&lt;/contributors&gt;&lt;titles&gt;&lt;title&gt;Experimental and theoretical investigation on MoS2/MXene heterostructure as an efficient electrocatalyst for hydrogen evolution in both acidic and alkaline media&lt;/title&gt;&lt;secondary-title&gt;New Journal of Chemistry&lt;/secondary-title&gt;&lt;/titles&gt;&lt;periodical&gt;&lt;full-title&gt;New Journal of Chemistry&lt;/full-title&gt;&lt;/periodical&gt;&lt;pages&gt;7902-7911&lt;/pages&gt;&lt;volume&gt;44&lt;/volume&gt;&lt;number&gt;19&lt;/number&gt;&lt;dates&gt;&lt;year&gt;2020&lt;/year&gt;&lt;/dates&gt;&lt;publisher&gt;The Royal Society of Chemistry&lt;/publisher&gt;&lt;isbn&gt;1144-0546&lt;/isbn&gt;&lt;work-type&gt;10.1039/D0NJ00956C&lt;/work-type&gt;&lt;urls&gt;&lt;related-urls&gt;&lt;url&gt;http://dx.doi.org/10.1039/D0NJ00956C&lt;/url&gt;&lt;/related-urls&gt;&lt;/urls&gt;&lt;electronic-resource-num&gt;10.1039/D0NJ00956C&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9</w:t>
            </w:r>
            <w:r w:rsidRPr="00D37D3E">
              <w:rPr>
                <w:rFonts w:ascii="Times New Roman" w:hAnsi="Times New Roman" w:cs="Times New Roman"/>
              </w:rPr>
              <w:fldChar w:fldCharType="end"/>
            </w:r>
          </w:p>
        </w:tc>
      </w:tr>
      <w:tr w:rsidR="00A3719D" w:rsidRPr="00D37D3E" w:rsidTr="00E50E96">
        <w:tc>
          <w:tcPr>
            <w:tcW w:w="2189" w:type="dxa"/>
          </w:tcPr>
          <w:p w:rsidR="00A3719D" w:rsidRPr="00D37D3E" w:rsidRDefault="00A3719D" w:rsidP="00A3719D">
            <w:pPr>
              <w:spacing w:after="0" w:line="276" w:lineRule="auto"/>
              <w:rPr>
                <w:rFonts w:ascii="Times New Roman" w:hAnsi="Times New Roman" w:cs="Times New Roman"/>
              </w:rPr>
            </w:pPr>
            <w:r w:rsidRPr="00D37D3E">
              <w:rPr>
                <w:rFonts w:ascii="Times New Roman" w:hAnsi="Times New Roman" w:cs="Times New Roman"/>
              </w:rPr>
              <w:t>Fe</w:t>
            </w:r>
            <w:r w:rsidRPr="00D37D3E">
              <w:rPr>
                <w:rFonts w:ascii="Times New Roman" w:hAnsi="Times New Roman" w:cs="Times New Roman"/>
                <w:vertAlign w:val="subscript"/>
              </w:rPr>
              <w:t>2</w:t>
            </w:r>
            <w:r w:rsidRPr="00D37D3E">
              <w:rPr>
                <w:rFonts w:ascii="Times New Roman" w:hAnsi="Times New Roman" w:cs="Times New Roman"/>
              </w:rPr>
              <w:t>O</w:t>
            </w:r>
            <w:r w:rsidRPr="00D37D3E">
              <w:rPr>
                <w:rFonts w:ascii="Times New Roman" w:hAnsi="Times New Roman" w:cs="Times New Roman"/>
                <w:vertAlign w:val="subscript"/>
              </w:rPr>
              <w:t>3</w:t>
            </w:r>
            <w:r w:rsidRPr="00D37D3E">
              <w:rPr>
                <w:rFonts w:ascii="Times New Roman" w:hAnsi="Times New Roman" w:cs="Times New Roman"/>
              </w:rPr>
              <w:t>/MoS</w:t>
            </w:r>
            <w:r w:rsidRPr="00D37D3E">
              <w:rPr>
                <w:rFonts w:ascii="Times New Roman" w:hAnsi="Times New Roman" w:cs="Times New Roman"/>
                <w:vertAlign w:val="subscript"/>
              </w:rPr>
              <w:t>2</w:t>
            </w:r>
            <w:r w:rsidRPr="00D37D3E">
              <w:rPr>
                <w:rFonts w:ascii="Times New Roman" w:hAnsi="Times New Roman" w:cs="Times New Roman"/>
              </w:rPr>
              <w:t>/Ti</w:t>
            </w:r>
            <w:r w:rsidRPr="00D37D3E">
              <w:rPr>
                <w:rFonts w:ascii="Times New Roman" w:hAnsi="Times New Roman" w:cs="Times New Roman"/>
                <w:vertAlign w:val="subscript"/>
              </w:rPr>
              <w:t>3</w:t>
            </w:r>
            <w:r w:rsidRPr="00D37D3E">
              <w:rPr>
                <w:rFonts w:ascii="Times New Roman" w:hAnsi="Times New Roman" w:cs="Times New Roman"/>
              </w:rPr>
              <w:t>C</w:t>
            </w:r>
            <w:r w:rsidRPr="00D37D3E">
              <w:rPr>
                <w:rFonts w:ascii="Times New Roman" w:hAnsi="Times New Roman" w:cs="Times New Roman"/>
                <w:vertAlign w:val="subscript"/>
              </w:rPr>
              <w:t>2</w:t>
            </w:r>
            <w:r w:rsidRPr="00D37D3E">
              <w:rPr>
                <w:rFonts w:ascii="Times New Roman" w:hAnsi="Times New Roman" w:cs="Times New Roman"/>
              </w:rPr>
              <w:t>T</w:t>
            </w:r>
            <w:r w:rsidRPr="00D37D3E">
              <w:rPr>
                <w:rFonts w:ascii="Times New Roman" w:hAnsi="Times New Roman" w:cs="Times New Roman"/>
                <w:i/>
                <w:iCs/>
                <w:vertAlign w:val="subscript"/>
              </w:rPr>
              <w:t>x</w:t>
            </w:r>
            <w:r w:rsidRPr="00D37D3E">
              <w:rPr>
                <w:rFonts w:ascii="Times New Roman" w:hAnsi="Times New Roman" w:cs="Times New Roman"/>
              </w:rPr>
              <w:t> MXene</w:t>
            </w:r>
          </w:p>
        </w:tc>
        <w:tc>
          <w:tcPr>
            <w:tcW w:w="1398" w:type="dxa"/>
          </w:tcPr>
          <w:p w:rsidR="00A3719D" w:rsidRPr="00D37D3E" w:rsidRDefault="00A3719D" w:rsidP="00A3719D">
            <w:pPr>
              <w:spacing w:after="0" w:line="276" w:lineRule="auto"/>
              <w:jc w:val="center"/>
              <w:rPr>
                <w:rFonts w:ascii="Times New Roman" w:hAnsi="Times New Roman" w:cs="Times New Roman"/>
                <w:lang w:val="en-US"/>
              </w:rPr>
            </w:pPr>
            <w:r w:rsidRPr="00D37D3E">
              <w:rPr>
                <w:rFonts w:ascii="Times New Roman" w:hAnsi="Times New Roman" w:cs="Times New Roman"/>
              </w:rPr>
              <w:t>123</w:t>
            </w:r>
          </w:p>
        </w:tc>
        <w:tc>
          <w:tcPr>
            <w:tcW w:w="1026" w:type="dxa"/>
          </w:tcPr>
          <w:p w:rsidR="00A3719D" w:rsidRPr="00D37D3E" w:rsidRDefault="00A3719D" w:rsidP="00E456C3">
            <w:pPr>
              <w:spacing w:after="0" w:line="276" w:lineRule="auto"/>
              <w:jc w:val="center"/>
              <w:rPr>
                <w:rFonts w:ascii="Times New Roman" w:hAnsi="Times New Roman" w:cs="Times New Roman"/>
              </w:rPr>
            </w:pPr>
            <w:r w:rsidRPr="00D37D3E">
              <w:rPr>
                <w:rFonts w:ascii="Times New Roman" w:hAnsi="Times New Roman" w:cs="Times New Roman"/>
              </w:rPr>
              <w:t>71</w:t>
            </w:r>
          </w:p>
        </w:tc>
        <w:tc>
          <w:tcPr>
            <w:tcW w:w="861" w:type="dxa"/>
          </w:tcPr>
          <w:p w:rsidR="00A3719D" w:rsidRPr="00D37D3E" w:rsidRDefault="00A3719D">
            <w:pPr>
              <w:spacing w:after="0" w:line="276" w:lineRule="auto"/>
              <w:jc w:val="center"/>
              <w:rPr>
                <w:rFonts w:ascii="Times New Roman" w:hAnsi="Times New Roman" w:cs="Times New Roman"/>
              </w:rPr>
            </w:pPr>
          </w:p>
        </w:tc>
        <w:tc>
          <w:tcPr>
            <w:tcW w:w="1544" w:type="dxa"/>
          </w:tcPr>
          <w:p w:rsidR="00A3719D" w:rsidRPr="00D37D3E" w:rsidRDefault="00A3719D" w:rsidP="00A3719D">
            <w:pPr>
              <w:spacing w:after="0" w:line="276" w:lineRule="auto"/>
              <w:jc w:val="center"/>
              <w:rPr>
                <w:rFonts w:ascii="Times New Roman" w:hAnsi="Times New Roman" w:cs="Times New Roman"/>
              </w:rPr>
            </w:pPr>
            <w:r w:rsidRPr="00D37D3E">
              <w:rPr>
                <w:rFonts w:ascii="Times New Roman" w:hAnsi="Times New Roman" w:cs="Times New Roman"/>
              </w:rPr>
              <w:t>hydrothermal synthesis</w:t>
            </w:r>
          </w:p>
        </w:tc>
        <w:tc>
          <w:tcPr>
            <w:tcW w:w="1160" w:type="dxa"/>
          </w:tcPr>
          <w:p w:rsidR="00A3719D" w:rsidRPr="00D37D3E" w:rsidRDefault="00A3719D" w:rsidP="00A3719D">
            <w:pPr>
              <w:spacing w:after="0" w:line="276" w:lineRule="auto"/>
              <w:jc w:val="center"/>
              <w:rPr>
                <w:rFonts w:ascii="Georgia" w:hAnsi="Georgia"/>
                <w:color w:val="1F1F1F"/>
              </w:rPr>
            </w:pPr>
            <w:r w:rsidRPr="00D37D3E">
              <w:rPr>
                <w:rFonts w:ascii="Georgia" w:hAnsi="Georgia"/>
                <w:color w:val="1F1F1F"/>
              </w:rPr>
              <w:t>0.5 M H2SO4</w:t>
            </w:r>
          </w:p>
        </w:tc>
        <w:tc>
          <w:tcPr>
            <w:tcW w:w="1172" w:type="dxa"/>
          </w:tcPr>
          <w:p w:rsidR="00A3719D" w:rsidRPr="00D37D3E" w:rsidRDefault="00A3719D">
            <w:pPr>
              <w:spacing w:after="0" w:line="276" w:lineRule="auto"/>
              <w:jc w:val="center"/>
              <w:rPr>
                <w:rFonts w:ascii="Times New Roman" w:hAnsi="Times New Roman" w:cs="Times New Roman"/>
              </w:rPr>
            </w:pPr>
            <w:r w:rsidRPr="00D37D3E">
              <w:rPr>
                <w:rFonts w:ascii="Times New Roman" w:hAnsi="Times New Roman" w:cs="Times New Roman"/>
              </w:rPr>
              <w:fldChar w:fldCharType="begin"/>
            </w:r>
            <w:r w:rsidR="009A74CD">
              <w:rPr>
                <w:rFonts w:ascii="Times New Roman" w:hAnsi="Times New Roman" w:cs="Times New Roman"/>
              </w:rPr>
              <w:instrText xml:space="preserve"> ADDIN EN.CITE &lt;EndNote&gt;&lt;Cite&gt;&lt;Author&gt;Dongre S&lt;/Author&gt;&lt;Year&gt;2024&lt;/Year&gt;&lt;RecNum&gt;26&lt;/RecNum&gt;&lt;DisplayText&gt;&lt;style face="superscript"&gt;11&lt;/style&gt;&lt;/DisplayText&gt;&lt;record&gt;&lt;rec-number&gt;26&lt;/rec-number&gt;&lt;foreign-keys&gt;&lt;key app="EN" db-id="f0dwsx5wez2tvwettslp5tfudwt09ptw5v05" timestamp="1754517580"&gt;26&lt;/key&gt;&lt;/foreign-keys&gt;&lt;ref-type name="Journal Article"&gt;17&lt;/ref-type&gt;&lt;contributors&gt;&lt;authors&gt;&lt;author&gt;Dongre S, Sumanth&lt;/author&gt;&lt;author&gt;Iqbal, Asif&lt;/author&gt;&lt;author&gt;Thapa, Ranjit&lt;/author&gt;&lt;author&gt;M, Pratheeksha&lt;/author&gt;&lt;author&gt;Ramu, Shwetharani&lt;/author&gt;&lt;author&gt;Balakrishna, R. Geetha&lt;/author&gt;&lt;/authors&gt;&lt;/contributors&gt;&lt;titles&gt;&lt;title&gt;Synergistic Catalyst Design for Enhanced Electrochemical Hydrogen Evolution: Fe2O3/MoS2/Ti3C2Tx MXene Ternary Composite&lt;/title&gt;&lt;secondary-title&gt;ACS Applied Engineering Materials&lt;/secondary-title&gt;&lt;/titles&gt;&lt;periodical&gt;&lt;full-title&gt;ACS Applied Engineering Materials&lt;/full-title&gt;&lt;/periodical&gt;&lt;pages&gt;943-954&lt;/pages&gt;&lt;volume&gt;2&lt;/volume&gt;&lt;number&gt;4&lt;/number&gt;&lt;dates&gt;&lt;year&gt;2024&lt;/year&gt;&lt;pub-dates&gt;&lt;date&gt;2024/04/26&lt;/date&gt;&lt;/pub-dates&gt;&lt;/dates&gt;&lt;publisher&gt;American Chemical Society&lt;/publisher&gt;&lt;urls&gt;&lt;related-urls&gt;&lt;url&gt;https://doi.org/10.1021/acsaenm.4c00027&lt;/url&gt;&lt;/related-urls&gt;&lt;/urls&gt;&lt;electronic-resource-num&gt;10.1021/acsaenm.4c00027&lt;/electronic-resource-num&gt;&lt;/record&gt;&lt;/Cite&gt;&lt;/EndNote&gt;</w:instrText>
            </w:r>
            <w:r w:rsidRPr="00D37D3E">
              <w:rPr>
                <w:rFonts w:ascii="Times New Roman" w:hAnsi="Times New Roman" w:cs="Times New Roman"/>
              </w:rPr>
              <w:fldChar w:fldCharType="separate"/>
            </w:r>
            <w:r w:rsidR="009A74CD" w:rsidRPr="009A74CD">
              <w:rPr>
                <w:rFonts w:ascii="Times New Roman" w:hAnsi="Times New Roman" w:cs="Times New Roman"/>
                <w:noProof/>
                <w:vertAlign w:val="superscript"/>
              </w:rPr>
              <w:t>11</w:t>
            </w:r>
            <w:r w:rsidRPr="00D37D3E">
              <w:rPr>
                <w:rFonts w:ascii="Times New Roman" w:hAnsi="Times New Roman" w:cs="Times New Roman"/>
              </w:rPr>
              <w:fldChar w:fldCharType="end"/>
            </w:r>
          </w:p>
        </w:tc>
      </w:tr>
    </w:tbl>
    <w:p w:rsidR="008F1D5B" w:rsidRPr="00D37D3E" w:rsidRDefault="008F1D5B">
      <w:pPr>
        <w:jc w:val="center"/>
        <w:rPr>
          <w:rFonts w:ascii="Times New Roman" w:hAnsi="Times New Roman" w:cs="Times New Roman"/>
          <w:b/>
          <w:sz w:val="24"/>
        </w:rPr>
      </w:pPr>
    </w:p>
    <w:p w:rsidR="008F6B20" w:rsidRPr="00D37D3E" w:rsidRDefault="008F6B20">
      <w:pPr>
        <w:jc w:val="center"/>
        <w:rPr>
          <w:rFonts w:ascii="Times New Roman" w:hAnsi="Times New Roman" w:cs="Times New Roman"/>
          <w:b/>
          <w:sz w:val="24"/>
        </w:rPr>
      </w:pPr>
    </w:p>
    <w:p w:rsidR="008F6B20" w:rsidRPr="00D37D3E" w:rsidRDefault="00F34F3B">
      <w:pPr>
        <w:jc w:val="center"/>
        <w:rPr>
          <w:rFonts w:ascii="Times New Roman" w:hAnsi="Times New Roman" w:cs="Times New Roman"/>
          <w:b/>
          <w:sz w:val="24"/>
        </w:rPr>
      </w:pPr>
      <w:r w:rsidRPr="00D37D3E">
        <w:rPr>
          <w:rFonts w:ascii="Times New Roman" w:hAnsi="Times New Roman" w:cs="Times New Roman"/>
          <w:b/>
          <w:noProof/>
          <w:sz w:val="24"/>
        </w:rPr>
        <mc:AlternateContent>
          <mc:Choice Requires="wps">
            <w:drawing>
              <wp:anchor distT="0" distB="0" distL="114300" distR="114300" simplePos="0" relativeHeight="251659264" behindDoc="0" locked="0" layoutInCell="1" allowOverlap="1">
                <wp:simplePos x="0" y="0"/>
                <wp:positionH relativeFrom="margin">
                  <wp:posOffset>2876550</wp:posOffset>
                </wp:positionH>
                <wp:positionV relativeFrom="paragraph">
                  <wp:posOffset>7620</wp:posOffset>
                </wp:positionV>
                <wp:extent cx="317500" cy="285750"/>
                <wp:effectExtent l="19050" t="0" r="25400" b="38100"/>
                <wp:wrapNone/>
                <wp:docPr id="36032781" name="Arrow: Down 2"/>
                <wp:cNvGraphicFramePr/>
                <a:graphic xmlns:a="http://schemas.openxmlformats.org/drawingml/2006/main">
                  <a:graphicData uri="http://schemas.microsoft.com/office/word/2010/wordprocessingShape">
                    <wps:wsp>
                      <wps:cNvSpPr/>
                      <wps:spPr>
                        <a:xfrm>
                          <a:off x="0" y="0"/>
                          <a:ext cx="317500" cy="2857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6F0DD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226.5pt;margin-top:.6pt;width:25pt;height: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" adj="10800" fillcolor="#5b9bd5 [3204]" strokecolor="#091723 [484]" strokeweight="1pt">
                <w10:wrap anchorx="margin"/>
              </v:shape>
            </w:pict>
          </mc:Fallback>
        </mc:AlternateContent>
      </w:r>
    </w:p>
    <w:p w:rsidR="008F6B20" w:rsidRPr="00D37D3E" w:rsidRDefault="008F6B20">
      <w:pPr>
        <w:jc w:val="center"/>
        <w:rPr>
          <w:rFonts w:ascii="Times New Roman" w:hAnsi="Times New Roman" w:cs="Times New Roman"/>
          <w:b/>
          <w:sz w:val="24"/>
        </w:rPr>
      </w:pPr>
    </w:p>
    <w:p w:rsidR="008F6B20" w:rsidRPr="00D37D3E" w:rsidRDefault="008F6B20">
      <w:pPr>
        <w:jc w:val="center"/>
        <w:rPr>
          <w:rFonts w:ascii="Times New Roman" w:hAnsi="Times New Roman" w:cs="Times New Roman"/>
          <w:b/>
          <w:sz w:val="24"/>
        </w:rPr>
      </w:pPr>
      <w:r w:rsidRPr="00D37D3E">
        <w:rPr>
          <w:rFonts w:ascii="Times New Roman" w:hAnsi="Times New Roman" w:cs="Times New Roman"/>
          <w:b/>
          <w:noProof/>
          <w:sz w:val="24"/>
        </w:rPr>
        <w:drawing>
          <wp:inline distT="0" distB="0" distL="0" distR="0" wp14:anchorId="715892E3">
            <wp:extent cx="5088783" cy="2946400"/>
            <wp:effectExtent l="0" t="0" r="0" b="6350"/>
            <wp:docPr id="1432922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51770" cy="2982869"/>
                    </a:xfrm>
                    <a:prstGeom prst="rect">
                      <a:avLst/>
                    </a:prstGeom>
                    <a:noFill/>
                  </pic:spPr>
                </pic:pic>
              </a:graphicData>
            </a:graphic>
          </wp:inline>
        </w:drawing>
      </w:r>
    </w:p>
    <w:p w:rsidR="00D606CF" w:rsidRPr="00D37D3E" w:rsidRDefault="00D606CF" w:rsidP="00287B00">
      <w:pPr>
        <w:spacing w:line="360" w:lineRule="auto"/>
        <w:jc w:val="center"/>
        <w:rPr>
          <w:rFonts w:ascii="Times New Roman" w:hAnsi="Times New Roman" w:cs="Times New Roman"/>
          <w:b/>
          <w:sz w:val="24"/>
        </w:rPr>
      </w:pPr>
      <w:r w:rsidRPr="00D37D3E">
        <w:rPr>
          <w:rFonts w:ascii="Times New Roman" w:hAnsi="Times New Roman" w:cs="Times New Roman"/>
          <w:b/>
          <w:sz w:val="24"/>
        </w:rPr>
        <w:t>Figure S</w:t>
      </w:r>
      <w:r w:rsidR="00300E1C" w:rsidRPr="00D37D3E">
        <w:rPr>
          <w:rFonts w:ascii="Times New Roman" w:hAnsi="Times New Roman" w:cs="Times New Roman"/>
          <w:b/>
          <w:sz w:val="24"/>
        </w:rPr>
        <w:t>6</w:t>
      </w:r>
      <w:r w:rsidRPr="00D37D3E">
        <w:rPr>
          <w:rFonts w:ascii="Times New Roman" w:hAnsi="Times New Roman" w:cs="Times New Roman"/>
          <w:b/>
          <w:sz w:val="24"/>
        </w:rPr>
        <w:t xml:space="preserve">. </w:t>
      </w:r>
      <w:r w:rsidRPr="00D37D3E">
        <w:rPr>
          <w:rFonts w:ascii="Times New Roman" w:hAnsi="Times New Roman" w:cs="Times New Roman"/>
          <w:bCs/>
          <w:sz w:val="24"/>
        </w:rPr>
        <w:t>Bar chart comparing the Tafel slopes of MoS₂-MXene-based HER catalysts. The Ti₃C₂/1T-MoS₂ catalyst from this work is highlighted in red. Reference numbers correspond to those listed in Table S2.</w:t>
      </w:r>
    </w:p>
    <w:p w:rsidR="008F1D5B" w:rsidRPr="00D37D3E" w:rsidRDefault="008F1D5B">
      <w:pPr>
        <w:rPr>
          <w:rFonts w:ascii="Times New Roman" w:hAnsi="Times New Roman" w:cs="Times New Roman"/>
          <w:b/>
          <w:sz w:val="24"/>
        </w:rPr>
      </w:pPr>
    </w:p>
    <w:p w:rsidR="008F1D5B" w:rsidRPr="00D37D3E" w:rsidRDefault="00000000">
      <w:pPr>
        <w:jc w:val="center"/>
        <w:rPr>
          <w:rFonts w:ascii="Times New Roman" w:hAnsi="Times New Roman" w:cs="Times New Roman"/>
          <w:sz w:val="24"/>
        </w:rPr>
      </w:pPr>
      <w:r w:rsidRPr="00D37D3E">
        <w:rPr>
          <w:rFonts w:ascii="Times New Roman" w:hAnsi="Times New Roman" w:cs="Times New Roman"/>
          <w:b/>
          <w:sz w:val="24"/>
        </w:rPr>
        <w:t xml:space="preserve">Table S </w:t>
      </w:r>
      <w:r w:rsidR="00FF6F2B" w:rsidRPr="00D37D3E">
        <w:rPr>
          <w:rFonts w:ascii="Times New Roman" w:hAnsi="Times New Roman" w:cs="Times New Roman"/>
          <w:b/>
          <w:sz w:val="24"/>
        </w:rPr>
        <w:t>3</w:t>
      </w:r>
      <w:r w:rsidRPr="00D37D3E">
        <w:rPr>
          <w:rFonts w:ascii="Times New Roman" w:hAnsi="Times New Roman" w:cs="Times New Roman"/>
          <w:sz w:val="24"/>
        </w:rPr>
        <w:t>. The estimated Cdl and the corresponding ECSA of different samples</w:t>
      </w:r>
    </w:p>
    <w:tbl>
      <w:tblPr>
        <w:tblStyle w:val="TableGrid"/>
        <w:tblW w:w="0" w:type="auto"/>
        <w:jc w:val="center"/>
        <w:tblLook w:val="04A0" w:firstRow="1" w:lastRow="0" w:firstColumn="1" w:lastColumn="0" w:noHBand="0" w:noVBand="1"/>
      </w:tblPr>
      <w:tblGrid>
        <w:gridCol w:w="3116"/>
        <w:gridCol w:w="3117"/>
        <w:gridCol w:w="3117"/>
      </w:tblGrid>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b/>
                <w:sz w:val="24"/>
              </w:rPr>
            </w:pPr>
            <w:r w:rsidRPr="00D37D3E">
              <w:rPr>
                <w:rFonts w:ascii="Times New Roman" w:hAnsi="Times New Roman" w:cs="Times New Roman"/>
                <w:b/>
                <w:sz w:val="24"/>
              </w:rPr>
              <w:t>Catalysts</w:t>
            </w:r>
          </w:p>
        </w:tc>
        <w:tc>
          <w:tcPr>
            <w:tcW w:w="3117" w:type="dxa"/>
          </w:tcPr>
          <w:p w:rsidR="008F1D5B" w:rsidRPr="00D37D3E" w:rsidRDefault="00000000">
            <w:pPr>
              <w:spacing w:line="240" w:lineRule="auto"/>
              <w:jc w:val="center"/>
              <w:rPr>
                <w:rFonts w:ascii="Times New Roman" w:hAnsi="Times New Roman" w:cs="Times New Roman"/>
                <w:b/>
                <w:sz w:val="24"/>
              </w:rPr>
            </w:pPr>
            <w:r w:rsidRPr="00D37D3E">
              <w:rPr>
                <w:rFonts w:ascii="Times New Roman" w:hAnsi="Times New Roman" w:cs="Times New Roman"/>
                <w:b/>
                <w:sz w:val="24"/>
              </w:rPr>
              <w:t>Cdl (mF cm</w:t>
            </w:r>
            <w:r w:rsidRPr="00D37D3E">
              <w:rPr>
                <w:rFonts w:ascii="Times New Roman" w:hAnsi="Times New Roman" w:cs="Times New Roman"/>
                <w:b/>
                <w:sz w:val="24"/>
                <w:vertAlign w:val="superscript"/>
              </w:rPr>
              <w:t>-2</w:t>
            </w:r>
            <w:r w:rsidRPr="00D37D3E">
              <w:rPr>
                <w:rFonts w:ascii="Times New Roman" w:hAnsi="Times New Roman" w:cs="Times New Roman"/>
                <w:b/>
                <w:sz w:val="24"/>
              </w:rPr>
              <w:t>)</w:t>
            </w:r>
          </w:p>
        </w:tc>
        <w:tc>
          <w:tcPr>
            <w:tcW w:w="3117" w:type="dxa"/>
          </w:tcPr>
          <w:p w:rsidR="008F1D5B" w:rsidRPr="00D37D3E" w:rsidRDefault="00000000">
            <w:pPr>
              <w:spacing w:line="240" w:lineRule="auto"/>
              <w:jc w:val="center"/>
              <w:rPr>
                <w:rFonts w:ascii="Times New Roman" w:hAnsi="Times New Roman" w:cs="Times New Roman"/>
                <w:b/>
                <w:sz w:val="24"/>
              </w:rPr>
            </w:pPr>
            <w:r w:rsidRPr="00D37D3E">
              <w:rPr>
                <w:rFonts w:ascii="Times New Roman" w:hAnsi="Times New Roman" w:cs="Times New Roman"/>
                <w:b/>
                <w:sz w:val="24"/>
              </w:rPr>
              <w:t>ECSA (cm</w:t>
            </w:r>
            <w:r w:rsidRPr="00D37D3E">
              <w:rPr>
                <w:rFonts w:ascii="Times New Roman" w:hAnsi="Times New Roman" w:cs="Times New Roman"/>
                <w:b/>
                <w:sz w:val="24"/>
                <w:vertAlign w:val="superscript"/>
              </w:rPr>
              <w:t>2</w:t>
            </w:r>
            <w:r w:rsidRPr="00D37D3E">
              <w:rPr>
                <w:rFonts w:ascii="Times New Roman" w:hAnsi="Times New Roman" w:cs="Times New Roman"/>
                <w:b/>
                <w:sz w:val="24"/>
              </w:rPr>
              <w:t>)</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TM-1</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14</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350</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TM-2</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11.8</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295</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TM-5</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5.45</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136.25</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TM-10</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4.5</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112.5</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1T-MoS</w:t>
            </w:r>
            <w:r w:rsidRPr="00D37D3E">
              <w:rPr>
                <w:rFonts w:ascii="Times New Roman" w:hAnsi="Times New Roman" w:cs="Times New Roman"/>
                <w:sz w:val="24"/>
                <w:vertAlign w:val="subscript"/>
              </w:rPr>
              <w:t>2</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6.16</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154</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2H-MoS</w:t>
            </w:r>
            <w:r w:rsidRPr="00D37D3E">
              <w:rPr>
                <w:rFonts w:ascii="Times New Roman" w:hAnsi="Times New Roman" w:cs="Times New Roman"/>
                <w:sz w:val="24"/>
                <w:vertAlign w:val="subscript"/>
              </w:rPr>
              <w:t>2</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1.82</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45.5</w:t>
            </w:r>
          </w:p>
        </w:tc>
      </w:tr>
      <w:tr w:rsidR="008F1D5B" w:rsidRPr="00D37D3E">
        <w:trPr>
          <w:jc w:val="center"/>
        </w:trPr>
        <w:tc>
          <w:tcPr>
            <w:tcW w:w="3116"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Ti</w:t>
            </w:r>
            <w:r w:rsidRPr="00D37D3E">
              <w:rPr>
                <w:rFonts w:ascii="Times New Roman" w:hAnsi="Times New Roman" w:cs="Times New Roman"/>
                <w:sz w:val="24"/>
                <w:vertAlign w:val="subscript"/>
              </w:rPr>
              <w:t>3</w:t>
            </w:r>
            <w:r w:rsidRPr="00D37D3E">
              <w:rPr>
                <w:rFonts w:ascii="Times New Roman" w:hAnsi="Times New Roman" w:cs="Times New Roman"/>
                <w:sz w:val="24"/>
              </w:rPr>
              <w:t>C</w:t>
            </w:r>
            <w:r w:rsidRPr="00D37D3E">
              <w:rPr>
                <w:rFonts w:ascii="Times New Roman" w:hAnsi="Times New Roman" w:cs="Times New Roman"/>
                <w:sz w:val="24"/>
                <w:vertAlign w:val="subscript"/>
              </w:rPr>
              <w:t>2</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0.8</w:t>
            </w:r>
          </w:p>
        </w:tc>
        <w:tc>
          <w:tcPr>
            <w:tcW w:w="3117" w:type="dxa"/>
          </w:tcPr>
          <w:p w:rsidR="008F1D5B" w:rsidRPr="00D37D3E" w:rsidRDefault="00000000">
            <w:pPr>
              <w:spacing w:line="240" w:lineRule="auto"/>
              <w:jc w:val="center"/>
              <w:rPr>
                <w:rFonts w:ascii="Times New Roman" w:hAnsi="Times New Roman" w:cs="Times New Roman"/>
                <w:sz w:val="24"/>
              </w:rPr>
            </w:pPr>
            <w:r w:rsidRPr="00D37D3E">
              <w:rPr>
                <w:rFonts w:ascii="Times New Roman" w:hAnsi="Times New Roman" w:cs="Times New Roman"/>
                <w:sz w:val="24"/>
              </w:rPr>
              <w:t>20</w:t>
            </w:r>
          </w:p>
        </w:tc>
      </w:tr>
    </w:tbl>
    <w:p w:rsidR="008F1D5B" w:rsidRPr="00D37D3E" w:rsidRDefault="008F1D5B">
      <w:pPr>
        <w:spacing w:line="240" w:lineRule="auto"/>
        <w:rPr>
          <w:rFonts w:ascii="Times New Roman" w:hAnsi="Times New Roman" w:cs="Times New Roman"/>
          <w:b/>
          <w:sz w:val="24"/>
        </w:rPr>
      </w:pPr>
    </w:p>
    <w:p w:rsidR="008F1D5B" w:rsidRPr="00D37D3E" w:rsidRDefault="008F1D5B">
      <w:pPr>
        <w:rPr>
          <w:rFonts w:ascii="Times New Roman" w:hAnsi="Times New Roman" w:cs="Times New Roman"/>
          <w:b/>
          <w:sz w:val="24"/>
        </w:rPr>
      </w:pPr>
    </w:p>
    <w:p w:rsidR="008F1D5B" w:rsidRPr="00D37D3E" w:rsidRDefault="008F1D5B">
      <w:pPr>
        <w:rPr>
          <w:rFonts w:ascii="Times New Roman" w:hAnsi="Times New Roman" w:cs="Times New Roman"/>
          <w:b/>
          <w:sz w:val="24"/>
        </w:rPr>
      </w:pPr>
    </w:p>
    <w:p w:rsidR="008F1D5B" w:rsidRPr="00D37D3E" w:rsidRDefault="008F1D5B">
      <w:pPr>
        <w:rPr>
          <w:rFonts w:ascii="Times New Roman" w:hAnsi="Times New Roman" w:cs="Times New Roman"/>
          <w:b/>
          <w:sz w:val="24"/>
        </w:rPr>
      </w:pPr>
    </w:p>
    <w:p w:rsidR="008F1D5B" w:rsidRPr="00D37D3E" w:rsidRDefault="00000000">
      <w:pPr>
        <w:rPr>
          <w:rFonts w:ascii="Times New Roman" w:hAnsi="Times New Roman" w:cs="Times New Roman"/>
          <w:b/>
          <w:sz w:val="24"/>
        </w:rPr>
      </w:pPr>
      <w:r w:rsidRPr="00D37D3E">
        <w:rPr>
          <w:rFonts w:ascii="Times New Roman" w:hAnsi="Times New Roman" w:cs="Times New Roman"/>
          <w:b/>
          <w:sz w:val="24"/>
        </w:rPr>
        <w:t>References</w:t>
      </w:r>
    </w:p>
    <w:p w:rsidR="008F1D5B" w:rsidRPr="00D37D3E" w:rsidRDefault="008F1D5B">
      <w:pPr>
        <w:rPr>
          <w:rFonts w:ascii="Times New Roman" w:hAnsi="Times New Roman" w:cs="Times New Roman"/>
          <w:b/>
          <w:sz w:val="24"/>
        </w:rPr>
      </w:pPr>
    </w:p>
    <w:p w:rsidR="009A74CD" w:rsidRPr="009A74CD" w:rsidRDefault="00000000" w:rsidP="009A74CD">
      <w:pPr>
        <w:pStyle w:val="EndNoteBibliography"/>
        <w:spacing w:after="0"/>
        <w:ind w:left="720" w:hanging="720"/>
        <w:rPr>
          <w:noProof/>
        </w:rPr>
      </w:pPr>
      <w:r w:rsidRPr="00D37D3E">
        <w:rPr>
          <w:rFonts w:ascii="Times New Roman" w:hAnsi="Times New Roman" w:cs="Times New Roman"/>
          <w:b/>
          <w:sz w:val="24"/>
          <w:szCs w:val="24"/>
        </w:rPr>
        <w:fldChar w:fldCharType="begin"/>
      </w:r>
      <w:r w:rsidRPr="00D37D3E">
        <w:rPr>
          <w:rFonts w:ascii="Times New Roman" w:hAnsi="Times New Roman" w:cs="Times New Roman"/>
          <w:b/>
          <w:sz w:val="24"/>
          <w:szCs w:val="24"/>
        </w:rPr>
        <w:instrText xml:space="preserve"> ADDIN EN.REFLIST </w:instrText>
      </w:r>
      <w:r w:rsidRPr="00D37D3E">
        <w:rPr>
          <w:rFonts w:ascii="Times New Roman" w:hAnsi="Times New Roman" w:cs="Times New Roman"/>
          <w:b/>
          <w:sz w:val="24"/>
          <w:szCs w:val="24"/>
        </w:rPr>
        <w:fldChar w:fldCharType="separate"/>
      </w:r>
      <w:r w:rsidR="009A74CD" w:rsidRPr="009A74CD">
        <w:rPr>
          <w:noProof/>
        </w:rPr>
        <w:t>1</w:t>
      </w:r>
      <w:r w:rsidR="009A74CD" w:rsidRPr="009A74CD">
        <w:rPr>
          <w:noProof/>
        </w:rPr>
        <w:tab/>
        <w:t xml:space="preserve">Loh, J. Y., Yap, F. M. &amp; Ong, W.-J. 2D/2D heterojunction interface: Engineering of 1T/2H MoS2 coupled with Ti3C2Tx heterostructured electrocatalysts for pH-universal hydrogen evolution. </w:t>
      </w:r>
      <w:r w:rsidR="009A74CD" w:rsidRPr="009A74CD">
        <w:rPr>
          <w:i/>
          <w:noProof/>
        </w:rPr>
        <w:t>Journal of Materials Science &amp; Technology</w:t>
      </w:r>
      <w:r w:rsidR="009A74CD" w:rsidRPr="009A74CD">
        <w:rPr>
          <w:noProof/>
        </w:rPr>
        <w:t xml:space="preserve"> </w:t>
      </w:r>
      <w:r w:rsidR="009A74CD" w:rsidRPr="009A74CD">
        <w:rPr>
          <w:b/>
          <w:noProof/>
        </w:rPr>
        <w:t>179</w:t>
      </w:r>
      <w:r w:rsidR="009A74CD" w:rsidRPr="009A74CD">
        <w:rPr>
          <w:noProof/>
        </w:rPr>
        <w:t xml:space="preserve">, 86-97 (2024). </w:t>
      </w:r>
      <w:hyperlink r:id="rId14" w:history="1">
        <w:r w:rsidR="009A74CD" w:rsidRPr="009A74CD">
          <w:rPr>
            <w:rStyle w:val="Hyperlink"/>
            <w:noProof/>
          </w:rPr>
          <w:t>https://doi.org/https://doi.org/10.1016/j.jmst.2023.10.002</w:t>
        </w:r>
      </w:hyperlink>
    </w:p>
    <w:p w:rsidR="009A74CD" w:rsidRPr="009A74CD" w:rsidRDefault="009A74CD" w:rsidP="009A74CD">
      <w:pPr>
        <w:pStyle w:val="EndNoteBibliography"/>
        <w:spacing w:after="0"/>
        <w:ind w:left="720" w:hanging="720"/>
        <w:rPr>
          <w:noProof/>
        </w:rPr>
      </w:pPr>
      <w:r w:rsidRPr="009A74CD">
        <w:rPr>
          <w:noProof/>
        </w:rPr>
        <w:t>2</w:t>
      </w:r>
      <w:r w:rsidRPr="009A74CD">
        <w:rPr>
          <w:noProof/>
        </w:rPr>
        <w:tab/>
        <w:t xml:space="preserve">Huang, L., Ai, L., Wang, M., Jiang, J. &amp; Wang, S. Hierarchical MoS2 nanosheets integrated Ti3C2 MXenes for electrocatalytic hydrogen evolution. </w:t>
      </w:r>
      <w:r w:rsidRPr="009A74CD">
        <w:rPr>
          <w:i/>
          <w:noProof/>
        </w:rPr>
        <w:t>International Journal of Hydrogen Energy</w:t>
      </w:r>
      <w:r w:rsidRPr="009A74CD">
        <w:rPr>
          <w:noProof/>
        </w:rPr>
        <w:t xml:space="preserve"> </w:t>
      </w:r>
      <w:r w:rsidRPr="009A74CD">
        <w:rPr>
          <w:b/>
          <w:noProof/>
        </w:rPr>
        <w:t>44</w:t>
      </w:r>
      <w:r w:rsidRPr="009A74CD">
        <w:rPr>
          <w:noProof/>
        </w:rPr>
        <w:t xml:space="preserve">, 965-976 (2019). </w:t>
      </w:r>
      <w:hyperlink r:id="rId15" w:history="1">
        <w:r w:rsidRPr="009A74CD">
          <w:rPr>
            <w:rStyle w:val="Hyperlink"/>
            <w:noProof/>
          </w:rPr>
          <w:t>https://doi.org/https://doi.org/10.1016/j.ijhydene.2018.11.084</w:t>
        </w:r>
      </w:hyperlink>
    </w:p>
    <w:p w:rsidR="009A74CD" w:rsidRPr="009A74CD" w:rsidRDefault="009A74CD" w:rsidP="009A74CD">
      <w:pPr>
        <w:pStyle w:val="EndNoteBibliography"/>
        <w:spacing w:after="0"/>
        <w:ind w:left="720" w:hanging="720"/>
        <w:rPr>
          <w:noProof/>
        </w:rPr>
      </w:pPr>
      <w:r w:rsidRPr="009A74CD">
        <w:rPr>
          <w:noProof/>
        </w:rPr>
        <w:t>3</w:t>
      </w:r>
      <w:r w:rsidRPr="009A74CD">
        <w:rPr>
          <w:noProof/>
        </w:rPr>
        <w:tab/>
        <w:t>Lontio Fomekong, R.</w:t>
      </w:r>
      <w:r w:rsidRPr="009A74CD">
        <w:rPr>
          <w:i/>
          <w:noProof/>
        </w:rPr>
        <w:t xml:space="preserve"> et al.</w:t>
      </w:r>
      <w:r w:rsidRPr="009A74CD">
        <w:rPr>
          <w:noProof/>
        </w:rPr>
        <w:t xml:space="preserve"> Enhancing the Electrocatalytic Properties of a One-Pot Synthesis of Defect-Rich 2D/2D Nanoheterointerface of Titanium Carbo-Oxide and Molybdenum Disulfide for Hydrogen Evolution Reaction in Acidic Medium. </w:t>
      </w:r>
      <w:r w:rsidRPr="009A74CD">
        <w:rPr>
          <w:i/>
          <w:noProof/>
        </w:rPr>
        <w:t>ACS Sustainable Chemistry &amp; Engineering</w:t>
      </w:r>
      <w:r w:rsidRPr="009A74CD">
        <w:rPr>
          <w:noProof/>
        </w:rPr>
        <w:t xml:space="preserve"> </w:t>
      </w:r>
      <w:r w:rsidRPr="009A74CD">
        <w:rPr>
          <w:b/>
          <w:noProof/>
        </w:rPr>
        <w:t>11</w:t>
      </w:r>
      <w:r w:rsidRPr="009A74CD">
        <w:rPr>
          <w:noProof/>
        </w:rPr>
        <w:t xml:space="preserve">, 14528-14537 (2023). </w:t>
      </w:r>
      <w:hyperlink r:id="rId16" w:history="1">
        <w:r w:rsidRPr="009A74CD">
          <w:rPr>
            <w:rStyle w:val="Hyperlink"/>
            <w:noProof/>
          </w:rPr>
          <w:t>https://doi.org/10.1021/acssuschemeng.3c03621</w:t>
        </w:r>
      </w:hyperlink>
    </w:p>
    <w:p w:rsidR="009A74CD" w:rsidRPr="009A74CD" w:rsidRDefault="009A74CD" w:rsidP="009A74CD">
      <w:pPr>
        <w:pStyle w:val="EndNoteBibliography"/>
        <w:spacing w:after="0"/>
        <w:ind w:left="720" w:hanging="720"/>
        <w:rPr>
          <w:noProof/>
        </w:rPr>
      </w:pPr>
      <w:r w:rsidRPr="009A74CD">
        <w:rPr>
          <w:noProof/>
        </w:rPr>
        <w:t>4</w:t>
      </w:r>
      <w:r w:rsidRPr="009A74CD">
        <w:rPr>
          <w:noProof/>
        </w:rPr>
        <w:tab/>
        <w:t>Chen, L.</w:t>
      </w:r>
      <w:r w:rsidRPr="009A74CD">
        <w:rPr>
          <w:i/>
          <w:noProof/>
        </w:rPr>
        <w:t xml:space="preserve"> et al.</w:t>
      </w:r>
      <w:r w:rsidRPr="009A74CD">
        <w:rPr>
          <w:noProof/>
        </w:rPr>
        <w:t xml:space="preserve"> Quasi zero-dimensional MoS2 quantum dots decorated 2D Ti3C2Tx MXene as advanced electrocatalysts for hydrogen evolution reaction. </w:t>
      </w:r>
      <w:r w:rsidRPr="009A74CD">
        <w:rPr>
          <w:i/>
          <w:noProof/>
        </w:rPr>
        <w:t>International Journal of Hydrogen Energy</w:t>
      </w:r>
      <w:r w:rsidRPr="009A74CD">
        <w:rPr>
          <w:noProof/>
        </w:rPr>
        <w:t xml:space="preserve"> </w:t>
      </w:r>
      <w:r w:rsidRPr="009A74CD">
        <w:rPr>
          <w:b/>
          <w:noProof/>
        </w:rPr>
        <w:t>47</w:t>
      </w:r>
      <w:r w:rsidRPr="009A74CD">
        <w:rPr>
          <w:noProof/>
        </w:rPr>
        <w:t xml:space="preserve">, 10583-10593 (2022). </w:t>
      </w:r>
      <w:hyperlink r:id="rId17" w:history="1">
        <w:r w:rsidRPr="009A74CD">
          <w:rPr>
            <w:rStyle w:val="Hyperlink"/>
            <w:noProof/>
          </w:rPr>
          <w:t>https://doi.org/https://doi.org/10.1016/j.ijhydene.2021.12.185</w:t>
        </w:r>
      </w:hyperlink>
    </w:p>
    <w:p w:rsidR="009A74CD" w:rsidRPr="009A74CD" w:rsidRDefault="009A74CD" w:rsidP="009A74CD">
      <w:pPr>
        <w:pStyle w:val="EndNoteBibliography"/>
        <w:spacing w:after="0"/>
        <w:ind w:left="720" w:hanging="720"/>
        <w:rPr>
          <w:noProof/>
        </w:rPr>
      </w:pPr>
      <w:r w:rsidRPr="009A74CD">
        <w:rPr>
          <w:noProof/>
        </w:rPr>
        <w:t>5</w:t>
      </w:r>
      <w:r w:rsidRPr="009A74CD">
        <w:rPr>
          <w:noProof/>
        </w:rPr>
        <w:tab/>
        <w:t xml:space="preserve">Raj, S. K., Sharma, V., Mishra, S. &amp; Kulshrestha, V. MoS 2 quantum dot-modified MXene nanoflowers for efficient electrocatalytic hydrogen evolution reaction. </w:t>
      </w:r>
      <w:r w:rsidRPr="009A74CD">
        <w:rPr>
          <w:i/>
          <w:noProof/>
        </w:rPr>
        <w:t>RSC Applied Interfaces</w:t>
      </w:r>
      <w:r w:rsidRPr="009A74CD">
        <w:rPr>
          <w:noProof/>
        </w:rPr>
        <w:t xml:space="preserve"> </w:t>
      </w:r>
      <w:r w:rsidRPr="009A74CD">
        <w:rPr>
          <w:b/>
          <w:noProof/>
        </w:rPr>
        <w:t>1</w:t>
      </w:r>
      <w:r w:rsidRPr="009A74CD">
        <w:rPr>
          <w:noProof/>
        </w:rPr>
        <w:t xml:space="preserve">, 1057-1068 (2024). </w:t>
      </w:r>
    </w:p>
    <w:p w:rsidR="009A74CD" w:rsidRPr="009A74CD" w:rsidRDefault="009A74CD" w:rsidP="009A74CD">
      <w:pPr>
        <w:pStyle w:val="EndNoteBibliography"/>
        <w:spacing w:after="0"/>
        <w:ind w:left="720" w:hanging="720"/>
        <w:rPr>
          <w:noProof/>
        </w:rPr>
      </w:pPr>
      <w:r w:rsidRPr="009A74CD">
        <w:rPr>
          <w:noProof/>
        </w:rPr>
        <w:t>6</w:t>
      </w:r>
      <w:r w:rsidRPr="009A74CD">
        <w:rPr>
          <w:noProof/>
        </w:rPr>
        <w:tab/>
        <w:t>Jiang, J.</w:t>
      </w:r>
      <w:r w:rsidRPr="009A74CD">
        <w:rPr>
          <w:i/>
          <w:noProof/>
        </w:rPr>
        <w:t xml:space="preserve"> et al.</w:t>
      </w:r>
      <w:r w:rsidRPr="009A74CD">
        <w:rPr>
          <w:noProof/>
        </w:rPr>
        <w:t xml:space="preserve"> Carbonitride MXene Ti3CN(OH)x@MoS2 hybrids as efficient electrocatalyst for enhanced hydrogen evolution. </w:t>
      </w:r>
      <w:r w:rsidRPr="009A74CD">
        <w:rPr>
          <w:i/>
          <w:noProof/>
        </w:rPr>
        <w:t>Nano Research</w:t>
      </w:r>
      <w:r w:rsidRPr="009A74CD">
        <w:rPr>
          <w:noProof/>
        </w:rPr>
        <w:t xml:space="preserve"> </w:t>
      </w:r>
      <w:r w:rsidRPr="009A74CD">
        <w:rPr>
          <w:b/>
          <w:noProof/>
        </w:rPr>
        <w:t>16</w:t>
      </w:r>
      <w:r w:rsidRPr="009A74CD">
        <w:rPr>
          <w:noProof/>
        </w:rPr>
        <w:t xml:space="preserve">, 4656-4663 (2023). </w:t>
      </w:r>
      <w:hyperlink r:id="rId18" w:history="1">
        <w:r w:rsidRPr="009A74CD">
          <w:rPr>
            <w:rStyle w:val="Hyperlink"/>
            <w:noProof/>
          </w:rPr>
          <w:t>https://doi.org/10.1007/s12274-022-5112-x</w:t>
        </w:r>
      </w:hyperlink>
    </w:p>
    <w:p w:rsidR="009A74CD" w:rsidRPr="009A74CD" w:rsidRDefault="009A74CD" w:rsidP="009A74CD">
      <w:pPr>
        <w:pStyle w:val="EndNoteBibliography"/>
        <w:spacing w:after="0"/>
        <w:ind w:left="720" w:hanging="720"/>
        <w:rPr>
          <w:noProof/>
        </w:rPr>
      </w:pPr>
      <w:r w:rsidRPr="009A74CD">
        <w:rPr>
          <w:noProof/>
        </w:rPr>
        <w:t>7</w:t>
      </w:r>
      <w:r w:rsidRPr="009A74CD">
        <w:rPr>
          <w:noProof/>
        </w:rPr>
        <w:tab/>
        <w:t xml:space="preserve">Hanan, A., Numan, A., Norhaffis Mustafa, M., Walvekar, R. &amp; Khalid, M. High-performance Mo2Ti2C3Tx/MoS2 hybrid electrocatalyst for sustainable hydrogen production. </w:t>
      </w:r>
      <w:r w:rsidRPr="009A74CD">
        <w:rPr>
          <w:i/>
          <w:noProof/>
        </w:rPr>
        <w:t>International Journal of Hydrogen Energy</w:t>
      </w:r>
      <w:r w:rsidRPr="009A74CD">
        <w:rPr>
          <w:noProof/>
        </w:rPr>
        <w:t xml:space="preserve"> </w:t>
      </w:r>
      <w:r w:rsidRPr="009A74CD">
        <w:rPr>
          <w:b/>
          <w:noProof/>
        </w:rPr>
        <w:t>161</w:t>
      </w:r>
      <w:r w:rsidRPr="009A74CD">
        <w:rPr>
          <w:noProof/>
        </w:rPr>
        <w:t xml:space="preserve">, 150533 (2025). </w:t>
      </w:r>
      <w:hyperlink r:id="rId19" w:history="1">
        <w:r w:rsidRPr="009A74CD">
          <w:rPr>
            <w:rStyle w:val="Hyperlink"/>
            <w:noProof/>
          </w:rPr>
          <w:t>https://doi.org/https://doi.org/10.1016/j.ijhydene.2025.150533</w:t>
        </w:r>
      </w:hyperlink>
    </w:p>
    <w:p w:rsidR="009A74CD" w:rsidRPr="009A74CD" w:rsidRDefault="009A74CD" w:rsidP="009A74CD">
      <w:pPr>
        <w:pStyle w:val="EndNoteBibliography"/>
        <w:spacing w:after="0"/>
        <w:ind w:left="720" w:hanging="720"/>
        <w:rPr>
          <w:noProof/>
        </w:rPr>
      </w:pPr>
      <w:r w:rsidRPr="009A74CD">
        <w:rPr>
          <w:noProof/>
        </w:rPr>
        <w:t>8</w:t>
      </w:r>
      <w:r w:rsidRPr="009A74CD">
        <w:rPr>
          <w:noProof/>
        </w:rPr>
        <w:tab/>
        <w:t>Hasanah, R.</w:t>
      </w:r>
      <w:r w:rsidRPr="009A74CD">
        <w:rPr>
          <w:i/>
          <w:noProof/>
        </w:rPr>
        <w:t xml:space="preserve"> et al.</w:t>
      </w:r>
      <w:r w:rsidRPr="009A74CD">
        <w:rPr>
          <w:noProof/>
        </w:rPr>
        <w:t xml:space="preserve"> Two-dimension MoS2/Ti3C2 MXene nanocomposite for an efficient hydrogen evolution reaction in alkaline media. </w:t>
      </w:r>
      <w:r w:rsidRPr="009A74CD">
        <w:rPr>
          <w:i/>
          <w:noProof/>
        </w:rPr>
        <w:t>Materials Research Bulletin</w:t>
      </w:r>
      <w:r w:rsidRPr="009A74CD">
        <w:rPr>
          <w:noProof/>
        </w:rPr>
        <w:t xml:space="preserve"> </w:t>
      </w:r>
      <w:r w:rsidRPr="009A74CD">
        <w:rPr>
          <w:b/>
          <w:noProof/>
        </w:rPr>
        <w:t>190</w:t>
      </w:r>
      <w:r w:rsidRPr="009A74CD">
        <w:rPr>
          <w:noProof/>
        </w:rPr>
        <w:t xml:space="preserve">, 113514 (2025). </w:t>
      </w:r>
      <w:hyperlink r:id="rId20" w:history="1">
        <w:r w:rsidRPr="009A74CD">
          <w:rPr>
            <w:rStyle w:val="Hyperlink"/>
            <w:noProof/>
          </w:rPr>
          <w:t>https://doi.org/https://doi.org/10.1016/j.materresbull.2025.113514</w:t>
        </w:r>
      </w:hyperlink>
    </w:p>
    <w:p w:rsidR="009A74CD" w:rsidRPr="009A74CD" w:rsidRDefault="009A74CD" w:rsidP="009A74CD">
      <w:pPr>
        <w:pStyle w:val="EndNoteBibliography"/>
        <w:spacing w:after="0"/>
        <w:ind w:left="720" w:hanging="720"/>
        <w:rPr>
          <w:noProof/>
        </w:rPr>
      </w:pPr>
      <w:r w:rsidRPr="009A74CD">
        <w:rPr>
          <w:noProof/>
        </w:rPr>
        <w:t>9</w:t>
      </w:r>
      <w:r w:rsidRPr="009A74CD">
        <w:rPr>
          <w:noProof/>
        </w:rPr>
        <w:tab/>
        <w:t>Hu, L.</w:t>
      </w:r>
      <w:r w:rsidRPr="009A74CD">
        <w:rPr>
          <w:i/>
          <w:noProof/>
        </w:rPr>
        <w:t xml:space="preserve"> et al.</w:t>
      </w:r>
      <w:r w:rsidRPr="009A74CD">
        <w:rPr>
          <w:noProof/>
        </w:rPr>
        <w:t xml:space="preserve"> Experimental and theoretical investigation on MoS2/MXene heterostructure as an efficient electrocatalyst for hydrogen evolution in both acidic and alkaline media. </w:t>
      </w:r>
      <w:r w:rsidRPr="009A74CD">
        <w:rPr>
          <w:i/>
          <w:noProof/>
        </w:rPr>
        <w:t>New Journal of Chemistry</w:t>
      </w:r>
      <w:r w:rsidRPr="009A74CD">
        <w:rPr>
          <w:noProof/>
        </w:rPr>
        <w:t xml:space="preserve"> </w:t>
      </w:r>
      <w:r w:rsidRPr="009A74CD">
        <w:rPr>
          <w:b/>
          <w:noProof/>
        </w:rPr>
        <w:t>44</w:t>
      </w:r>
      <w:r w:rsidRPr="009A74CD">
        <w:rPr>
          <w:noProof/>
        </w:rPr>
        <w:t xml:space="preserve">, 7902-7911 (2020). </w:t>
      </w:r>
      <w:hyperlink r:id="rId21" w:history="1">
        <w:r w:rsidRPr="009A74CD">
          <w:rPr>
            <w:rStyle w:val="Hyperlink"/>
            <w:noProof/>
          </w:rPr>
          <w:t>https://doi.org/10.1039/D0NJ00956C</w:t>
        </w:r>
      </w:hyperlink>
    </w:p>
    <w:p w:rsidR="009A74CD" w:rsidRPr="009A74CD" w:rsidRDefault="009A74CD" w:rsidP="009A74CD">
      <w:pPr>
        <w:pStyle w:val="EndNoteBibliography"/>
        <w:spacing w:after="0"/>
        <w:ind w:left="720" w:hanging="720"/>
        <w:rPr>
          <w:noProof/>
        </w:rPr>
      </w:pPr>
      <w:r w:rsidRPr="009A74CD">
        <w:rPr>
          <w:noProof/>
        </w:rPr>
        <w:t>10</w:t>
      </w:r>
      <w:r w:rsidRPr="009A74CD">
        <w:rPr>
          <w:noProof/>
        </w:rPr>
        <w:tab/>
        <w:t>Liu, J.</w:t>
      </w:r>
      <w:r w:rsidRPr="009A74CD">
        <w:rPr>
          <w:i/>
          <w:noProof/>
        </w:rPr>
        <w:t xml:space="preserve"> et al.</w:t>
      </w:r>
      <w:r w:rsidRPr="009A74CD">
        <w:rPr>
          <w:noProof/>
        </w:rPr>
        <w:t xml:space="preserve"> Hierarchical “nanoroll” like MoS2/Ti3C2Tx hybrid with high electrocatalytic hydrogen evolution activity. </w:t>
      </w:r>
      <w:r w:rsidRPr="009A74CD">
        <w:rPr>
          <w:i/>
          <w:noProof/>
        </w:rPr>
        <w:t>Applied Catalysis B: Environmental</w:t>
      </w:r>
      <w:r w:rsidRPr="009A74CD">
        <w:rPr>
          <w:noProof/>
        </w:rPr>
        <w:t xml:space="preserve"> </w:t>
      </w:r>
      <w:r w:rsidRPr="009A74CD">
        <w:rPr>
          <w:b/>
          <w:noProof/>
        </w:rPr>
        <w:t>241</w:t>
      </w:r>
      <w:r w:rsidRPr="009A74CD">
        <w:rPr>
          <w:noProof/>
        </w:rPr>
        <w:t xml:space="preserve">, 89-94 (2019). </w:t>
      </w:r>
      <w:hyperlink r:id="rId22" w:history="1">
        <w:r w:rsidRPr="009A74CD">
          <w:rPr>
            <w:rStyle w:val="Hyperlink"/>
            <w:noProof/>
          </w:rPr>
          <w:t>https://doi.org/https://doi.org/10.1016/j.apcatb.2018.08.083</w:t>
        </w:r>
      </w:hyperlink>
    </w:p>
    <w:p w:rsidR="009A74CD" w:rsidRPr="009A74CD" w:rsidRDefault="009A74CD" w:rsidP="009A74CD">
      <w:pPr>
        <w:pStyle w:val="EndNoteBibliography"/>
        <w:ind w:left="720" w:hanging="720"/>
        <w:rPr>
          <w:noProof/>
        </w:rPr>
      </w:pPr>
      <w:r w:rsidRPr="009A74CD">
        <w:rPr>
          <w:noProof/>
        </w:rPr>
        <w:t>11</w:t>
      </w:r>
      <w:r w:rsidRPr="009A74CD">
        <w:rPr>
          <w:noProof/>
        </w:rPr>
        <w:tab/>
        <w:t>Dongre S, S.</w:t>
      </w:r>
      <w:r w:rsidRPr="009A74CD">
        <w:rPr>
          <w:i/>
          <w:noProof/>
        </w:rPr>
        <w:t xml:space="preserve"> et al.</w:t>
      </w:r>
      <w:r w:rsidRPr="009A74CD">
        <w:rPr>
          <w:noProof/>
        </w:rPr>
        <w:t xml:space="preserve"> Synergistic Catalyst Design for Enhanced Electrochemical Hydrogen Evolution: Fe2O3/MoS2/Ti3C2Tx MXene Ternary Composite. </w:t>
      </w:r>
      <w:r w:rsidRPr="009A74CD">
        <w:rPr>
          <w:i/>
          <w:noProof/>
        </w:rPr>
        <w:t>ACS Applied Engineering Materials</w:t>
      </w:r>
      <w:r w:rsidRPr="009A74CD">
        <w:rPr>
          <w:noProof/>
        </w:rPr>
        <w:t xml:space="preserve"> </w:t>
      </w:r>
      <w:r w:rsidRPr="009A74CD">
        <w:rPr>
          <w:b/>
          <w:noProof/>
        </w:rPr>
        <w:t>2</w:t>
      </w:r>
      <w:r w:rsidRPr="009A74CD">
        <w:rPr>
          <w:noProof/>
        </w:rPr>
        <w:t xml:space="preserve">, 943-954 (2024). </w:t>
      </w:r>
      <w:hyperlink r:id="rId23" w:history="1">
        <w:r w:rsidRPr="009A74CD">
          <w:rPr>
            <w:rStyle w:val="Hyperlink"/>
            <w:noProof/>
          </w:rPr>
          <w:t>https://doi.org/10.1021/acsaenm.4c00027</w:t>
        </w:r>
      </w:hyperlink>
    </w:p>
    <w:p w:rsidR="008F1D5B" w:rsidRDefault="00000000" w:rsidP="009A74CD">
      <w:pPr>
        <w:spacing w:line="360" w:lineRule="auto"/>
        <w:jc w:val="both"/>
        <w:rPr>
          <w:rFonts w:ascii="Times New Roman" w:hAnsi="Times New Roman" w:cs="Times New Roman"/>
          <w:b/>
          <w:sz w:val="24"/>
          <w:szCs w:val="24"/>
        </w:rPr>
      </w:pPr>
      <w:r w:rsidRPr="00D37D3E">
        <w:rPr>
          <w:rFonts w:ascii="Times New Roman" w:hAnsi="Times New Roman" w:cs="Times New Roman"/>
          <w:b/>
          <w:sz w:val="24"/>
          <w:szCs w:val="24"/>
        </w:rPr>
        <w:fldChar w:fldCharType="end"/>
      </w:r>
    </w:p>
    <w:sectPr w:rsidR="008F1D5B">
      <w:footerReference w:type="default" r:id="rId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F3294" w:rsidRDefault="005F3294">
      <w:pPr>
        <w:spacing w:line="240" w:lineRule="auto"/>
      </w:pPr>
      <w:r>
        <w:separator/>
      </w:r>
    </w:p>
  </w:endnote>
  <w:endnote w:type="continuationSeparator" w:id="0">
    <w:p w:rsidR="005F3294" w:rsidRDefault="005F32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3446247"/>
      <w:docPartObj>
        <w:docPartGallery w:val="Page Numbers (Bottom of Page)"/>
        <w:docPartUnique/>
      </w:docPartObj>
    </w:sdtPr>
    <w:sdtEndPr>
      <w:rPr>
        <w:noProof/>
      </w:rPr>
    </w:sdtEndPr>
    <w:sdtContent>
      <w:p w:rsidR="009972A6" w:rsidRDefault="009972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9972A6" w:rsidRDefault="009972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F3294" w:rsidRDefault="005F3294">
      <w:pPr>
        <w:spacing w:after="0"/>
      </w:pPr>
      <w:r>
        <w:separator/>
      </w:r>
    </w:p>
  </w:footnote>
  <w:footnote w:type="continuationSeparator" w:id="0">
    <w:p w:rsidR="005F3294" w:rsidRDefault="005F329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0dwsx5wez2tvwettslp5tfudwt09ptw5v05&quot;&gt;Reference-Paper-1&lt;record-ids&gt;&lt;item&gt;15&lt;/item&gt;&lt;item&gt;19&lt;/item&gt;&lt;item&gt;20&lt;/item&gt;&lt;item&gt;22&lt;/item&gt;&lt;item&gt;24&lt;/item&gt;&lt;item&gt;25&lt;/item&gt;&lt;item&gt;26&lt;/item&gt;&lt;/record-ids&gt;&lt;/item&gt;&lt;/Libraries&gt;"/>
  </w:docVars>
  <w:rsids>
    <w:rsidRoot w:val="002D0E08"/>
    <w:rsid w:val="000023D7"/>
    <w:rsid w:val="00004886"/>
    <w:rsid w:val="00004E54"/>
    <w:rsid w:val="00016D81"/>
    <w:rsid w:val="00021AD7"/>
    <w:rsid w:val="000245DB"/>
    <w:rsid w:val="000258A4"/>
    <w:rsid w:val="00027120"/>
    <w:rsid w:val="0003062A"/>
    <w:rsid w:val="0004389C"/>
    <w:rsid w:val="00060300"/>
    <w:rsid w:val="00077C9A"/>
    <w:rsid w:val="00083FCC"/>
    <w:rsid w:val="000874DE"/>
    <w:rsid w:val="00087EA3"/>
    <w:rsid w:val="0009029E"/>
    <w:rsid w:val="00091926"/>
    <w:rsid w:val="000924BD"/>
    <w:rsid w:val="000A5AF4"/>
    <w:rsid w:val="000A632B"/>
    <w:rsid w:val="000A7EC9"/>
    <w:rsid w:val="000B2FAB"/>
    <w:rsid w:val="000B49C9"/>
    <w:rsid w:val="000B6119"/>
    <w:rsid w:val="000C1821"/>
    <w:rsid w:val="000E6BF6"/>
    <w:rsid w:val="000E73AD"/>
    <w:rsid w:val="000F208A"/>
    <w:rsid w:val="00102027"/>
    <w:rsid w:val="00103089"/>
    <w:rsid w:val="00104410"/>
    <w:rsid w:val="00106986"/>
    <w:rsid w:val="00110CEB"/>
    <w:rsid w:val="00110D8B"/>
    <w:rsid w:val="001177F7"/>
    <w:rsid w:val="0012602D"/>
    <w:rsid w:val="0012666C"/>
    <w:rsid w:val="00131D98"/>
    <w:rsid w:val="00144251"/>
    <w:rsid w:val="00145E36"/>
    <w:rsid w:val="001512F4"/>
    <w:rsid w:val="00167775"/>
    <w:rsid w:val="00174F3C"/>
    <w:rsid w:val="00182C7F"/>
    <w:rsid w:val="00187020"/>
    <w:rsid w:val="001A446A"/>
    <w:rsid w:val="001B16CD"/>
    <w:rsid w:val="001B7AFC"/>
    <w:rsid w:val="001D7D15"/>
    <w:rsid w:val="001F03B4"/>
    <w:rsid w:val="00213FFB"/>
    <w:rsid w:val="00215FBA"/>
    <w:rsid w:val="0023102D"/>
    <w:rsid w:val="00231FB3"/>
    <w:rsid w:val="00240985"/>
    <w:rsid w:val="0024400D"/>
    <w:rsid w:val="00261E9F"/>
    <w:rsid w:val="002622E0"/>
    <w:rsid w:val="002632D6"/>
    <w:rsid w:val="00271FCC"/>
    <w:rsid w:val="00287B00"/>
    <w:rsid w:val="002A436E"/>
    <w:rsid w:val="002B5B59"/>
    <w:rsid w:val="002C08FD"/>
    <w:rsid w:val="002C75A7"/>
    <w:rsid w:val="002D0E08"/>
    <w:rsid w:val="002E5E46"/>
    <w:rsid w:val="002E612F"/>
    <w:rsid w:val="002F0530"/>
    <w:rsid w:val="002F148D"/>
    <w:rsid w:val="002F30AB"/>
    <w:rsid w:val="002F40AE"/>
    <w:rsid w:val="002F58EA"/>
    <w:rsid w:val="00300E1C"/>
    <w:rsid w:val="00315470"/>
    <w:rsid w:val="0031748E"/>
    <w:rsid w:val="00333608"/>
    <w:rsid w:val="00341D32"/>
    <w:rsid w:val="003564DF"/>
    <w:rsid w:val="00383580"/>
    <w:rsid w:val="00386928"/>
    <w:rsid w:val="003B36EB"/>
    <w:rsid w:val="003C66CA"/>
    <w:rsid w:val="003D088A"/>
    <w:rsid w:val="003D6699"/>
    <w:rsid w:val="003F2945"/>
    <w:rsid w:val="00410A22"/>
    <w:rsid w:val="00412476"/>
    <w:rsid w:val="004406D8"/>
    <w:rsid w:val="00441692"/>
    <w:rsid w:val="00441E6E"/>
    <w:rsid w:val="004471F6"/>
    <w:rsid w:val="00454C0D"/>
    <w:rsid w:val="0046070F"/>
    <w:rsid w:val="00464DCF"/>
    <w:rsid w:val="0047692F"/>
    <w:rsid w:val="00485056"/>
    <w:rsid w:val="0049256E"/>
    <w:rsid w:val="004A5591"/>
    <w:rsid w:val="004D13D9"/>
    <w:rsid w:val="004E3739"/>
    <w:rsid w:val="004F07AE"/>
    <w:rsid w:val="004F15BF"/>
    <w:rsid w:val="00502C6A"/>
    <w:rsid w:val="00517A41"/>
    <w:rsid w:val="0052259D"/>
    <w:rsid w:val="00526D68"/>
    <w:rsid w:val="005418DB"/>
    <w:rsid w:val="005530B4"/>
    <w:rsid w:val="0055436F"/>
    <w:rsid w:val="00561A36"/>
    <w:rsid w:val="00575DF8"/>
    <w:rsid w:val="005766A1"/>
    <w:rsid w:val="0058372B"/>
    <w:rsid w:val="00587ADB"/>
    <w:rsid w:val="00593443"/>
    <w:rsid w:val="00597155"/>
    <w:rsid w:val="005A1B91"/>
    <w:rsid w:val="005A2485"/>
    <w:rsid w:val="005A3BB8"/>
    <w:rsid w:val="005A4E13"/>
    <w:rsid w:val="005A683A"/>
    <w:rsid w:val="005A7EDF"/>
    <w:rsid w:val="005B2D5F"/>
    <w:rsid w:val="005B44B7"/>
    <w:rsid w:val="005C26B1"/>
    <w:rsid w:val="005F1162"/>
    <w:rsid w:val="005F3294"/>
    <w:rsid w:val="00600E13"/>
    <w:rsid w:val="00605FF9"/>
    <w:rsid w:val="00607CD3"/>
    <w:rsid w:val="00617DE7"/>
    <w:rsid w:val="006238D6"/>
    <w:rsid w:val="006320DE"/>
    <w:rsid w:val="00636B86"/>
    <w:rsid w:val="00643092"/>
    <w:rsid w:val="006525A0"/>
    <w:rsid w:val="006560CF"/>
    <w:rsid w:val="006617A1"/>
    <w:rsid w:val="00664DD1"/>
    <w:rsid w:val="0068374F"/>
    <w:rsid w:val="006A4376"/>
    <w:rsid w:val="00700EAB"/>
    <w:rsid w:val="00711630"/>
    <w:rsid w:val="00716EE9"/>
    <w:rsid w:val="00733BA0"/>
    <w:rsid w:val="00734282"/>
    <w:rsid w:val="007414F8"/>
    <w:rsid w:val="00747884"/>
    <w:rsid w:val="007514BA"/>
    <w:rsid w:val="007542AD"/>
    <w:rsid w:val="00761FC0"/>
    <w:rsid w:val="00772067"/>
    <w:rsid w:val="00772411"/>
    <w:rsid w:val="00772B56"/>
    <w:rsid w:val="00781B1A"/>
    <w:rsid w:val="00787193"/>
    <w:rsid w:val="007A164D"/>
    <w:rsid w:val="007A2F82"/>
    <w:rsid w:val="007A6149"/>
    <w:rsid w:val="007C6289"/>
    <w:rsid w:val="007D173F"/>
    <w:rsid w:val="007D28D6"/>
    <w:rsid w:val="007E496A"/>
    <w:rsid w:val="007E6031"/>
    <w:rsid w:val="007E6C5E"/>
    <w:rsid w:val="00813023"/>
    <w:rsid w:val="0082707D"/>
    <w:rsid w:val="008333BF"/>
    <w:rsid w:val="00835FB0"/>
    <w:rsid w:val="0084147B"/>
    <w:rsid w:val="00860CAB"/>
    <w:rsid w:val="00862A78"/>
    <w:rsid w:val="00863973"/>
    <w:rsid w:val="00876BC7"/>
    <w:rsid w:val="00886532"/>
    <w:rsid w:val="008A3AA3"/>
    <w:rsid w:val="008B4195"/>
    <w:rsid w:val="008B4494"/>
    <w:rsid w:val="008C1FC1"/>
    <w:rsid w:val="008C601D"/>
    <w:rsid w:val="008D406D"/>
    <w:rsid w:val="008E14E1"/>
    <w:rsid w:val="008E1922"/>
    <w:rsid w:val="008E5AD5"/>
    <w:rsid w:val="008F1D5B"/>
    <w:rsid w:val="008F6B20"/>
    <w:rsid w:val="008F7F71"/>
    <w:rsid w:val="00902207"/>
    <w:rsid w:val="00902981"/>
    <w:rsid w:val="00907ACB"/>
    <w:rsid w:val="009173AC"/>
    <w:rsid w:val="009223A6"/>
    <w:rsid w:val="00926253"/>
    <w:rsid w:val="009332CD"/>
    <w:rsid w:val="00946564"/>
    <w:rsid w:val="009716DB"/>
    <w:rsid w:val="00972C1E"/>
    <w:rsid w:val="009810B1"/>
    <w:rsid w:val="0098240C"/>
    <w:rsid w:val="00990DEA"/>
    <w:rsid w:val="009951AB"/>
    <w:rsid w:val="009972A6"/>
    <w:rsid w:val="009A3FE2"/>
    <w:rsid w:val="009A583D"/>
    <w:rsid w:val="009A74CD"/>
    <w:rsid w:val="009B3191"/>
    <w:rsid w:val="009B7DF0"/>
    <w:rsid w:val="009C0BD7"/>
    <w:rsid w:val="009D02CE"/>
    <w:rsid w:val="009D0A1B"/>
    <w:rsid w:val="009F5D5B"/>
    <w:rsid w:val="00A12218"/>
    <w:rsid w:val="00A16873"/>
    <w:rsid w:val="00A17FC4"/>
    <w:rsid w:val="00A213DE"/>
    <w:rsid w:val="00A2174B"/>
    <w:rsid w:val="00A2198D"/>
    <w:rsid w:val="00A3505E"/>
    <w:rsid w:val="00A3719D"/>
    <w:rsid w:val="00A4441C"/>
    <w:rsid w:val="00A46788"/>
    <w:rsid w:val="00A667D2"/>
    <w:rsid w:val="00A66FE6"/>
    <w:rsid w:val="00A76E12"/>
    <w:rsid w:val="00A94976"/>
    <w:rsid w:val="00A97F14"/>
    <w:rsid w:val="00AA2A8D"/>
    <w:rsid w:val="00AB10F4"/>
    <w:rsid w:val="00AB3A60"/>
    <w:rsid w:val="00AC2818"/>
    <w:rsid w:val="00AC4D4C"/>
    <w:rsid w:val="00AD3967"/>
    <w:rsid w:val="00AD725A"/>
    <w:rsid w:val="00AE183B"/>
    <w:rsid w:val="00AE37F8"/>
    <w:rsid w:val="00AE407A"/>
    <w:rsid w:val="00AF1B6F"/>
    <w:rsid w:val="00B04715"/>
    <w:rsid w:val="00B05CDA"/>
    <w:rsid w:val="00B123D7"/>
    <w:rsid w:val="00B2438A"/>
    <w:rsid w:val="00B40E35"/>
    <w:rsid w:val="00B4577B"/>
    <w:rsid w:val="00B50AF9"/>
    <w:rsid w:val="00B6099B"/>
    <w:rsid w:val="00B811E0"/>
    <w:rsid w:val="00B91821"/>
    <w:rsid w:val="00B926EE"/>
    <w:rsid w:val="00BD099B"/>
    <w:rsid w:val="00BD5267"/>
    <w:rsid w:val="00BE0A18"/>
    <w:rsid w:val="00BF2C08"/>
    <w:rsid w:val="00BF6A9D"/>
    <w:rsid w:val="00C109A0"/>
    <w:rsid w:val="00C15B4C"/>
    <w:rsid w:val="00C24F89"/>
    <w:rsid w:val="00C3599C"/>
    <w:rsid w:val="00C36330"/>
    <w:rsid w:val="00C365CD"/>
    <w:rsid w:val="00C41C24"/>
    <w:rsid w:val="00C45381"/>
    <w:rsid w:val="00C62D6A"/>
    <w:rsid w:val="00C7188B"/>
    <w:rsid w:val="00C73435"/>
    <w:rsid w:val="00C749C2"/>
    <w:rsid w:val="00C80504"/>
    <w:rsid w:val="00C83EC9"/>
    <w:rsid w:val="00C87921"/>
    <w:rsid w:val="00CA3F93"/>
    <w:rsid w:val="00CA4344"/>
    <w:rsid w:val="00CB4217"/>
    <w:rsid w:val="00CB5403"/>
    <w:rsid w:val="00CC2A6A"/>
    <w:rsid w:val="00CC4689"/>
    <w:rsid w:val="00CD2CAD"/>
    <w:rsid w:val="00CD30B9"/>
    <w:rsid w:val="00CE20FE"/>
    <w:rsid w:val="00CE625C"/>
    <w:rsid w:val="00CF5967"/>
    <w:rsid w:val="00D07843"/>
    <w:rsid w:val="00D1320E"/>
    <w:rsid w:val="00D16342"/>
    <w:rsid w:val="00D31DE7"/>
    <w:rsid w:val="00D37D3E"/>
    <w:rsid w:val="00D404B8"/>
    <w:rsid w:val="00D55DF1"/>
    <w:rsid w:val="00D606CF"/>
    <w:rsid w:val="00D614EF"/>
    <w:rsid w:val="00D62EF0"/>
    <w:rsid w:val="00D66D65"/>
    <w:rsid w:val="00D911C2"/>
    <w:rsid w:val="00DA77D8"/>
    <w:rsid w:val="00DA7EE4"/>
    <w:rsid w:val="00DC48C3"/>
    <w:rsid w:val="00DC5DAC"/>
    <w:rsid w:val="00DE3BE9"/>
    <w:rsid w:val="00DE5148"/>
    <w:rsid w:val="00DE6267"/>
    <w:rsid w:val="00DF4510"/>
    <w:rsid w:val="00DF6C42"/>
    <w:rsid w:val="00E22D63"/>
    <w:rsid w:val="00E24513"/>
    <w:rsid w:val="00E266D4"/>
    <w:rsid w:val="00E300F5"/>
    <w:rsid w:val="00E331E4"/>
    <w:rsid w:val="00E366A3"/>
    <w:rsid w:val="00E456C3"/>
    <w:rsid w:val="00E50E96"/>
    <w:rsid w:val="00E83A39"/>
    <w:rsid w:val="00EA2961"/>
    <w:rsid w:val="00EA3988"/>
    <w:rsid w:val="00EA7E6F"/>
    <w:rsid w:val="00EC6DFE"/>
    <w:rsid w:val="00ED5405"/>
    <w:rsid w:val="00ED718B"/>
    <w:rsid w:val="00EF675C"/>
    <w:rsid w:val="00F066DD"/>
    <w:rsid w:val="00F07699"/>
    <w:rsid w:val="00F17535"/>
    <w:rsid w:val="00F34F3B"/>
    <w:rsid w:val="00F43EE3"/>
    <w:rsid w:val="00F6137B"/>
    <w:rsid w:val="00F61C72"/>
    <w:rsid w:val="00F627A8"/>
    <w:rsid w:val="00F63D52"/>
    <w:rsid w:val="00F836B7"/>
    <w:rsid w:val="00F91C0F"/>
    <w:rsid w:val="00FA159C"/>
    <w:rsid w:val="00FC7C79"/>
    <w:rsid w:val="00FD17DC"/>
    <w:rsid w:val="00FD36F1"/>
    <w:rsid w:val="00FD4298"/>
    <w:rsid w:val="00FD4A6C"/>
    <w:rsid w:val="00FD6FE9"/>
    <w:rsid w:val="00FF2F98"/>
    <w:rsid w:val="00FF5B14"/>
    <w:rsid w:val="00FF6F2B"/>
    <w:rsid w:val="4D7C10A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F1294"/>
  <w15:docId w15:val="{B45A1849-155D-4F0F-974F-8C16A3A93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DE" w:eastAsia="en-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GB"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heme="minorEastAsia" w:hAnsi="Times New Roman" w:cs="Times New Roman"/>
      <w:sz w:val="24"/>
      <w:szCs w:val="24"/>
      <w:lang w:eastAsia="en-GB"/>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qFormat/>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qFormat/>
    <w:rPr>
      <w:rFonts w:ascii="Calibri" w:hAnsi="Calibri" w:cs="Calibri"/>
      <w:sz w:val="22"/>
      <w:szCs w:val="22"/>
      <w:lang w:val="en-US" w:eastAsia="en-US"/>
    </w:rPr>
  </w:style>
  <w:style w:type="paragraph" w:customStyle="1" w:styleId="EndNoteBibliography">
    <w:name w:val="EndNote Bibliography"/>
    <w:basedOn w:val="Normal"/>
    <w:link w:val="EndNoteBibliographyChar"/>
    <w:qFormat/>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qFormat/>
    <w:rPr>
      <w:rFonts w:ascii="Calibri" w:hAnsi="Calibri" w:cs="Calibri"/>
      <w:sz w:val="22"/>
      <w:szCs w:val="22"/>
      <w:lang w:val="en-US" w:eastAsia="en-US"/>
    </w:rPr>
  </w:style>
  <w:style w:type="paragraph" w:styleId="ListParagraph">
    <w:name w:val="List Paragraph"/>
    <w:basedOn w:val="Normal"/>
    <w:uiPriority w:val="34"/>
    <w:qFormat/>
    <w:pPr>
      <w:ind w:left="720"/>
      <w:contextualSpacing/>
    </w:pPr>
  </w:style>
  <w:style w:type="character" w:customStyle="1" w:styleId="BalloonTextChar">
    <w:name w:val="Balloon Text Char"/>
    <w:basedOn w:val="DefaultParagraphFont"/>
    <w:link w:val="BalloonText"/>
    <w:uiPriority w:val="99"/>
    <w:semiHidden/>
    <w:qFormat/>
    <w:rPr>
      <w:rFonts w:ascii="Segoe UI" w:hAnsi="Segoe UI" w:cs="Segoe UI"/>
      <w:sz w:val="18"/>
      <w:szCs w:val="18"/>
      <w:lang w:val="en-GB"/>
    </w:rPr>
  </w:style>
  <w:style w:type="table" w:styleId="PlainTable1">
    <w:name w:val="Plain Table 1"/>
    <w:basedOn w:val="TableNormal"/>
    <w:uiPriority w:val="41"/>
    <w:rsid w:val="00110D8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
    <w:name w:val="Table Grid1"/>
    <w:basedOn w:val="TableNormal"/>
    <w:next w:val="TableGrid"/>
    <w:uiPriority w:val="39"/>
    <w:rsid w:val="00A97F14"/>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C66CA"/>
    <w:rPr>
      <w:color w:val="605E5C"/>
      <w:shd w:val="clear" w:color="auto" w:fill="E1DFDD"/>
    </w:rPr>
  </w:style>
  <w:style w:type="paragraph" w:styleId="Header">
    <w:name w:val="header"/>
    <w:basedOn w:val="Normal"/>
    <w:link w:val="HeaderChar"/>
    <w:uiPriority w:val="99"/>
    <w:unhideWhenUsed/>
    <w:rsid w:val="009972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2A6"/>
    <w:rPr>
      <w:sz w:val="22"/>
      <w:szCs w:val="22"/>
      <w:lang w:val="en-GB" w:eastAsia="en-US"/>
    </w:rPr>
  </w:style>
  <w:style w:type="paragraph" w:styleId="Footer">
    <w:name w:val="footer"/>
    <w:basedOn w:val="Normal"/>
    <w:link w:val="FooterChar"/>
    <w:uiPriority w:val="99"/>
    <w:unhideWhenUsed/>
    <w:rsid w:val="009972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2A6"/>
    <w:rPr>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86354">
      <w:bodyDiv w:val="1"/>
      <w:marLeft w:val="0"/>
      <w:marRight w:val="0"/>
      <w:marTop w:val="0"/>
      <w:marBottom w:val="0"/>
      <w:divBdr>
        <w:top w:val="none" w:sz="0" w:space="0" w:color="auto"/>
        <w:left w:val="none" w:sz="0" w:space="0" w:color="auto"/>
        <w:bottom w:val="none" w:sz="0" w:space="0" w:color="auto"/>
        <w:right w:val="none" w:sz="0" w:space="0" w:color="auto"/>
      </w:divBdr>
    </w:div>
    <w:div w:id="125049697">
      <w:bodyDiv w:val="1"/>
      <w:marLeft w:val="0"/>
      <w:marRight w:val="0"/>
      <w:marTop w:val="0"/>
      <w:marBottom w:val="0"/>
      <w:divBdr>
        <w:top w:val="none" w:sz="0" w:space="0" w:color="auto"/>
        <w:left w:val="none" w:sz="0" w:space="0" w:color="auto"/>
        <w:bottom w:val="none" w:sz="0" w:space="0" w:color="auto"/>
        <w:right w:val="none" w:sz="0" w:space="0" w:color="auto"/>
      </w:divBdr>
    </w:div>
    <w:div w:id="230964972">
      <w:bodyDiv w:val="1"/>
      <w:marLeft w:val="0"/>
      <w:marRight w:val="0"/>
      <w:marTop w:val="0"/>
      <w:marBottom w:val="0"/>
      <w:divBdr>
        <w:top w:val="none" w:sz="0" w:space="0" w:color="auto"/>
        <w:left w:val="none" w:sz="0" w:space="0" w:color="auto"/>
        <w:bottom w:val="none" w:sz="0" w:space="0" w:color="auto"/>
        <w:right w:val="none" w:sz="0" w:space="0" w:color="auto"/>
      </w:divBdr>
    </w:div>
    <w:div w:id="340812721">
      <w:bodyDiv w:val="1"/>
      <w:marLeft w:val="0"/>
      <w:marRight w:val="0"/>
      <w:marTop w:val="0"/>
      <w:marBottom w:val="0"/>
      <w:divBdr>
        <w:top w:val="none" w:sz="0" w:space="0" w:color="auto"/>
        <w:left w:val="none" w:sz="0" w:space="0" w:color="auto"/>
        <w:bottom w:val="none" w:sz="0" w:space="0" w:color="auto"/>
        <w:right w:val="none" w:sz="0" w:space="0" w:color="auto"/>
      </w:divBdr>
    </w:div>
    <w:div w:id="449784174">
      <w:bodyDiv w:val="1"/>
      <w:marLeft w:val="0"/>
      <w:marRight w:val="0"/>
      <w:marTop w:val="0"/>
      <w:marBottom w:val="0"/>
      <w:divBdr>
        <w:top w:val="none" w:sz="0" w:space="0" w:color="auto"/>
        <w:left w:val="none" w:sz="0" w:space="0" w:color="auto"/>
        <w:bottom w:val="none" w:sz="0" w:space="0" w:color="auto"/>
        <w:right w:val="none" w:sz="0" w:space="0" w:color="auto"/>
      </w:divBdr>
    </w:div>
    <w:div w:id="869537294">
      <w:bodyDiv w:val="1"/>
      <w:marLeft w:val="0"/>
      <w:marRight w:val="0"/>
      <w:marTop w:val="0"/>
      <w:marBottom w:val="0"/>
      <w:divBdr>
        <w:top w:val="none" w:sz="0" w:space="0" w:color="auto"/>
        <w:left w:val="none" w:sz="0" w:space="0" w:color="auto"/>
        <w:bottom w:val="none" w:sz="0" w:space="0" w:color="auto"/>
        <w:right w:val="none" w:sz="0" w:space="0" w:color="auto"/>
      </w:divBdr>
    </w:div>
    <w:div w:id="1556042902">
      <w:bodyDiv w:val="1"/>
      <w:marLeft w:val="0"/>
      <w:marRight w:val="0"/>
      <w:marTop w:val="0"/>
      <w:marBottom w:val="0"/>
      <w:divBdr>
        <w:top w:val="none" w:sz="0" w:space="0" w:color="auto"/>
        <w:left w:val="none" w:sz="0" w:space="0" w:color="auto"/>
        <w:bottom w:val="none" w:sz="0" w:space="0" w:color="auto"/>
        <w:right w:val="none" w:sz="0" w:space="0" w:color="auto"/>
      </w:divBdr>
    </w:div>
    <w:div w:id="1926038745">
      <w:bodyDiv w:val="1"/>
      <w:marLeft w:val="0"/>
      <w:marRight w:val="0"/>
      <w:marTop w:val="0"/>
      <w:marBottom w:val="0"/>
      <w:divBdr>
        <w:top w:val="none" w:sz="0" w:space="0" w:color="auto"/>
        <w:left w:val="none" w:sz="0" w:space="0" w:color="auto"/>
        <w:bottom w:val="none" w:sz="0" w:space="0" w:color="auto"/>
        <w:right w:val="none" w:sz="0" w:space="0" w:color="auto"/>
      </w:divBdr>
    </w:div>
    <w:div w:id="2011053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hyperlink" Target="https://doi.org/10.1007/s12274-022-5112-x"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doi.org/10.1039/D0NJ00956C" TargetMode="External"/><Relationship Id="rId7" Type="http://schemas.openxmlformats.org/officeDocument/2006/relationships/image" Target="media/image2.png"/><Relationship Id="rId12" Type="http://schemas.openxmlformats.org/officeDocument/2006/relationships/hyperlink" Target="https://www.sciencedirect.com/topics/physics-and-astronomy/hydrothermal-synthesis" TargetMode="External"/><Relationship Id="rId17" Type="http://schemas.openxmlformats.org/officeDocument/2006/relationships/hyperlink" Target="https://doi.org/https://doi.org/10.1016/j.ijhydene.2021.12.185"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doi.org/10.1021/acssuschemeng.3c03621" TargetMode="External"/><Relationship Id="rId20" Type="http://schemas.openxmlformats.org/officeDocument/2006/relationships/hyperlink" Target="https://doi.org/https://doi.org/10.1016/j.materresbull.2025.113514"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sciencedirect.com/topics/physics-and-astronomy/hydrothermal-synthesis"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s://doi.org/https://doi.org/10.1016/j.ijhydene.2018.11.084" TargetMode="External"/><Relationship Id="rId23" Type="http://schemas.openxmlformats.org/officeDocument/2006/relationships/hyperlink" Target="https://doi.org/10.1021/acsaenm.4c00027" TargetMode="External"/><Relationship Id="rId10" Type="http://schemas.openxmlformats.org/officeDocument/2006/relationships/image" Target="media/image5.png"/><Relationship Id="rId19" Type="http://schemas.openxmlformats.org/officeDocument/2006/relationships/hyperlink" Target="https://doi.org/https://doi.org/10.1016/j.ijhydene.2025.150533"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s://doi.org/https://doi.org/10.1016/j.jmst.2023.10.002" TargetMode="External"/><Relationship Id="rId22" Type="http://schemas.openxmlformats.org/officeDocument/2006/relationships/hyperlink" Target="https://doi.org/https://doi.org/10.1016/j.apcatb.2018.08.0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18195</TotalTime>
  <Pages>8</Pages>
  <Words>3670</Words>
  <Characters>21769</Characters>
  <Application>Microsoft Office Word</Application>
  <DocSecurity>0</DocSecurity>
  <Lines>1209</Lines>
  <Paragraphs>820</Paragraphs>
  <ScaleCrop>false</ScaleCrop>
  <HeadingPairs>
    <vt:vector size="2" baseType="variant">
      <vt:variant>
        <vt:lpstr>Title</vt:lpstr>
      </vt:variant>
      <vt:variant>
        <vt:i4>1</vt:i4>
      </vt:variant>
    </vt:vector>
  </HeadingPairs>
  <TitlesOfParts>
    <vt:vector size="1" baseType="lpstr">
      <vt:lpstr/>
    </vt:vector>
  </TitlesOfParts>
  <Company>HZB</Company>
  <LinksUpToDate>false</LinksUpToDate>
  <CharactersWithSpaces>24619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Akir Ep Benabdelhafidh, Sana</dc:creator>
  <cp:lastModifiedBy>Akir Ep Benabdelhafidh, Sana</cp:lastModifiedBy>
  <cp:revision>530</cp:revision>
  <dcterms:created xsi:type="dcterms:W3CDTF">2024-10-04T10:23:00Z</dcterms:created>
  <dcterms:modified xsi:type="dcterms:W3CDTF">2025-09-16T10:51:00Z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5a8b05b0355a7cea874a72645f6324567924bacfeff124c37d5754f7ed6d0d1b</vt:lpwstr>
  </property>
  <property fmtid="{D5CDD505-2E9C-101B-9397-08002B2CF9AE}" pid="3" name="KSOProductBuildVer">
    <vt:lpwstr>2057-12.2.0.20782</vt:lpwstr>
  </property>
  <property fmtid="{D5CDD505-2E9C-101B-9397-08002B2CF9AE}" pid="4" name="ICV">
    <vt:lpwstr>2F4B4749D0514D7A8D4AB9A928A8553D_12</vt:lpwstr>
  </property>
</Properties>
</file>