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DE0CC" w14:textId="77777777" w:rsidR="00E679DF" w:rsidRPr="00476706" w:rsidRDefault="00E679DF" w:rsidP="00E679DF">
      <w:pPr>
        <w:spacing w:before="10" w:after="10"/>
        <w:ind w:left="283" w:right="283"/>
        <w:rPr>
          <w:rFonts w:ascii="Arial" w:hAnsi="Arial" w:cs="Arial"/>
          <w:b/>
          <w:bCs/>
          <w:sz w:val="20"/>
          <w:szCs w:val="20"/>
        </w:rPr>
      </w:pPr>
      <w:r w:rsidRPr="00476706">
        <w:rPr>
          <w:rFonts w:ascii="Arial" w:hAnsi="Arial" w:cs="Arial"/>
          <w:color w:val="000000" w:themeColor="text1"/>
          <w:sz w:val="20"/>
          <w:szCs w:val="20"/>
        </w:rPr>
        <w:t>Appendi</w:t>
      </w:r>
      <w:r w:rsidRPr="00476706">
        <w:rPr>
          <w:rFonts w:ascii="Arial" w:hAnsi="Arial" w:cs="Arial"/>
          <w:b/>
          <w:bCs/>
          <w:sz w:val="20"/>
          <w:szCs w:val="20"/>
        </w:rPr>
        <w:t>x 1: Evidence from Literature: Ecosystem Services Associated with Invasive Species</w:t>
      </w:r>
    </w:p>
    <w:tbl>
      <w:tblPr>
        <w:tblStyle w:val="TableGrid"/>
        <w:tblW w:w="0" w:type="auto"/>
        <w:tblLook w:val="04A0" w:firstRow="1" w:lastRow="0" w:firstColumn="1" w:lastColumn="0" w:noHBand="0" w:noVBand="1"/>
      </w:tblPr>
      <w:tblGrid>
        <w:gridCol w:w="2254"/>
        <w:gridCol w:w="2254"/>
        <w:gridCol w:w="2254"/>
        <w:gridCol w:w="2254"/>
      </w:tblGrid>
      <w:tr w:rsidR="00E679DF" w:rsidRPr="00476706" w14:paraId="1A83F910" w14:textId="77777777" w:rsidTr="0089695B">
        <w:tc>
          <w:tcPr>
            <w:tcW w:w="2254" w:type="dxa"/>
          </w:tcPr>
          <w:p w14:paraId="0D65AD15"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b/>
                <w:bCs/>
                <w:sz w:val="20"/>
                <w:szCs w:val="20"/>
              </w:rPr>
              <w:t>Category</w:t>
            </w:r>
          </w:p>
        </w:tc>
        <w:tc>
          <w:tcPr>
            <w:tcW w:w="2254" w:type="dxa"/>
          </w:tcPr>
          <w:p w14:paraId="10ADB03C"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b/>
                <w:bCs/>
                <w:sz w:val="20"/>
                <w:szCs w:val="20"/>
              </w:rPr>
              <w:t>Description</w:t>
            </w:r>
          </w:p>
        </w:tc>
        <w:tc>
          <w:tcPr>
            <w:tcW w:w="2254" w:type="dxa"/>
          </w:tcPr>
          <w:p w14:paraId="724EAAB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b/>
                <w:bCs/>
                <w:sz w:val="20"/>
                <w:szCs w:val="20"/>
              </w:rPr>
              <w:t>Examples</w:t>
            </w:r>
          </w:p>
        </w:tc>
        <w:tc>
          <w:tcPr>
            <w:tcW w:w="2254" w:type="dxa"/>
          </w:tcPr>
          <w:p w14:paraId="4EF7FBCE"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b/>
                <w:bCs/>
                <w:sz w:val="20"/>
                <w:szCs w:val="20"/>
              </w:rPr>
              <w:t>References</w:t>
            </w:r>
          </w:p>
        </w:tc>
      </w:tr>
      <w:tr w:rsidR="00E679DF" w:rsidRPr="00476706" w14:paraId="3B3BB1A6" w14:textId="77777777" w:rsidTr="0089695B">
        <w:tc>
          <w:tcPr>
            <w:tcW w:w="2254" w:type="dxa"/>
          </w:tcPr>
          <w:p w14:paraId="53F68B84"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Supporting Services</w:t>
            </w:r>
          </w:p>
        </w:tc>
        <w:tc>
          <w:tcPr>
            <w:tcW w:w="2254" w:type="dxa"/>
          </w:tcPr>
          <w:p w14:paraId="34532357"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Certain invasive species, such as Acacia and Prosopis juliflora, increase nitrogen levels and enhance soil fertility, benefiting degraded ecosystems. In areas with sparse native vegetation, invasive plants like Lantana camara provide shelter and resources for wildlife, thus supporting biodiversity in altered landscapes</w:t>
            </w:r>
          </w:p>
        </w:tc>
        <w:tc>
          <w:tcPr>
            <w:tcW w:w="2254" w:type="dxa"/>
          </w:tcPr>
          <w:p w14:paraId="747F9905"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-Soil Fertility Improvement</w:t>
            </w:r>
          </w:p>
          <w:p w14:paraId="5E1E3B8B"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-Habitat Provision</w:t>
            </w:r>
          </w:p>
        </w:tc>
        <w:tc>
          <w:tcPr>
            <w:tcW w:w="2254" w:type="dxa"/>
          </w:tcPr>
          <w:p w14:paraId="48DF1E89"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(Hagos &amp; Smit, 2005)</w:t>
            </w:r>
          </w:p>
          <w:p w14:paraId="32A33BD9"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(Sharma et al., 2005).</w:t>
            </w:r>
          </w:p>
        </w:tc>
      </w:tr>
      <w:tr w:rsidR="00E679DF" w:rsidRPr="00476706" w14:paraId="2EF4AAA9" w14:textId="77777777" w:rsidTr="0089695B">
        <w:tc>
          <w:tcPr>
            <w:tcW w:w="2254" w:type="dxa"/>
          </w:tcPr>
          <w:p w14:paraId="7C1B0185"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Regulating Services</w:t>
            </w:r>
          </w:p>
        </w:tc>
        <w:tc>
          <w:tcPr>
            <w:tcW w:w="2254" w:type="dxa"/>
          </w:tcPr>
          <w:p w14:paraId="331651D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Invasive species like Acacia mearnsii can contribute to carbon storage, helping mitigate climate change through biomass accumulation </w:t>
            </w:r>
          </w:p>
          <w:p w14:paraId="7A4D7432"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-Species such as </w:t>
            </w:r>
            <w:r w:rsidRPr="00476706">
              <w:rPr>
                <w:rFonts w:ascii="Arial" w:hAnsi="Arial" w:cs="Arial"/>
                <w:i/>
                <w:iCs/>
                <w:sz w:val="20"/>
                <w:szCs w:val="20"/>
              </w:rPr>
              <w:t>Tamarix spp.</w:t>
            </w:r>
            <w:r w:rsidRPr="00476706">
              <w:rPr>
                <w:rFonts w:ascii="Arial" w:hAnsi="Arial" w:cs="Arial"/>
                <w:sz w:val="20"/>
                <w:szCs w:val="20"/>
              </w:rPr>
              <w:t xml:space="preserve"> stabilize soils in arid areas, reducing erosion and maintaining soil integrity </w:t>
            </w:r>
          </w:p>
          <w:p w14:paraId="086FA7FD"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-Water hyacinth absorbs pollutants, including heavy </w:t>
            </w:r>
          </w:p>
        </w:tc>
        <w:tc>
          <w:tcPr>
            <w:tcW w:w="2254" w:type="dxa"/>
          </w:tcPr>
          <w:p w14:paraId="3E8C5845"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Carbon Sequestration and Climate Regulation</w:t>
            </w:r>
          </w:p>
          <w:p w14:paraId="29233439"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Erosion Control and Soil Stabilization</w:t>
            </w:r>
          </w:p>
          <w:p w14:paraId="46972A6D"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Water Purification</w:t>
            </w:r>
          </w:p>
        </w:tc>
        <w:tc>
          <w:tcPr>
            <w:tcW w:w="2254" w:type="dxa"/>
          </w:tcPr>
          <w:p w14:paraId="3043688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Le Maitre et al., (2011).</w:t>
            </w:r>
          </w:p>
          <w:p w14:paraId="250D96C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Zavaleta, (2000).</w:t>
            </w:r>
          </w:p>
          <w:p w14:paraId="155D14D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Singh &amp; Kalamdhad, (2013)</w:t>
            </w:r>
          </w:p>
        </w:tc>
      </w:tr>
      <w:tr w:rsidR="00E679DF" w:rsidRPr="00476706" w14:paraId="3F27E222" w14:textId="77777777" w:rsidTr="0089695B">
        <w:tc>
          <w:tcPr>
            <w:tcW w:w="2254" w:type="dxa"/>
          </w:tcPr>
          <w:p w14:paraId="7B43DE39"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Provisional Services</w:t>
            </w:r>
          </w:p>
        </w:tc>
        <w:tc>
          <w:tcPr>
            <w:tcW w:w="2254" w:type="dxa"/>
          </w:tcPr>
          <w:p w14:paraId="75B11FD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Some invasive species act as sources of food, medicine, raw materials, and Agriculture pests.</w:t>
            </w:r>
          </w:p>
        </w:tc>
        <w:tc>
          <w:tcPr>
            <w:tcW w:w="2254" w:type="dxa"/>
          </w:tcPr>
          <w:p w14:paraId="271EC9E1"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fuel or firewood</w:t>
            </w:r>
          </w:p>
          <w:p w14:paraId="633389B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-Agriculture pests/animal fodder</w:t>
            </w:r>
          </w:p>
          <w:p w14:paraId="4B3613AE"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-Medicinal values</w:t>
            </w:r>
          </w:p>
        </w:tc>
        <w:tc>
          <w:tcPr>
            <w:tcW w:w="2254" w:type="dxa"/>
          </w:tcPr>
          <w:p w14:paraId="749DE5E1" w14:textId="77777777" w:rsidR="00E679DF" w:rsidRPr="00476706" w:rsidRDefault="00E679DF" w:rsidP="0089695B">
            <w:pPr>
              <w:spacing w:before="10" w:after="10"/>
              <w:ind w:left="283" w:right="283"/>
              <w:rPr>
                <w:rFonts w:ascii="Arial" w:hAnsi="Arial" w:cs="Arial"/>
                <w:sz w:val="20"/>
                <w:szCs w:val="20"/>
                <w:lang w:val="de-DE"/>
              </w:rPr>
            </w:pPr>
            <w:r w:rsidRPr="00476706">
              <w:rPr>
                <w:rFonts w:ascii="Arial" w:hAnsi="Arial" w:cs="Arial"/>
                <w:sz w:val="20"/>
                <w:szCs w:val="20"/>
                <w:lang w:val="de-DE"/>
              </w:rPr>
              <w:t>Simberloff, D., &amp; Gibbons, L. (2004)</w:t>
            </w:r>
          </w:p>
          <w:p w14:paraId="6888E99D" w14:textId="77777777" w:rsidR="00E679DF" w:rsidRPr="00476706" w:rsidRDefault="00E679DF" w:rsidP="0089695B">
            <w:pPr>
              <w:spacing w:before="10" w:after="10"/>
              <w:ind w:left="283" w:right="283"/>
              <w:rPr>
                <w:rFonts w:ascii="Arial" w:hAnsi="Arial" w:cs="Arial"/>
                <w:sz w:val="20"/>
                <w:szCs w:val="20"/>
                <w:lang w:val="de-DE"/>
              </w:rPr>
            </w:pPr>
            <w:r w:rsidRPr="00476706">
              <w:rPr>
                <w:rFonts w:ascii="Arial" w:hAnsi="Arial" w:cs="Arial"/>
                <w:sz w:val="20"/>
                <w:szCs w:val="20"/>
                <w:lang w:val="de-DE"/>
              </w:rPr>
              <w:t>Kumar, A., &amp; Singh, N. (2015)</w:t>
            </w:r>
          </w:p>
          <w:p w14:paraId="6777160E" w14:textId="77777777" w:rsidR="00E679DF" w:rsidRPr="00476706" w:rsidRDefault="00E679DF" w:rsidP="0089695B">
            <w:pPr>
              <w:spacing w:before="10" w:after="10"/>
              <w:ind w:left="283" w:right="283"/>
              <w:rPr>
                <w:rFonts w:ascii="Arial" w:hAnsi="Arial" w:cs="Arial"/>
                <w:sz w:val="20"/>
                <w:szCs w:val="20"/>
                <w:lang w:val="de-DE"/>
              </w:rPr>
            </w:pPr>
            <w:r w:rsidRPr="00476706">
              <w:rPr>
                <w:rFonts w:ascii="Arial" w:hAnsi="Arial" w:cs="Arial"/>
                <w:sz w:val="20"/>
                <w:szCs w:val="20"/>
                <w:lang w:val="de-DE"/>
              </w:rPr>
              <w:t>Naylor, R. L., &amp; Stein, C. J. (2002)</w:t>
            </w:r>
          </w:p>
          <w:p w14:paraId="5E96181C"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lastRenderedPageBreak/>
              <w:t>González-Moreno, P., &amp; Quesada, M. (2017)</w:t>
            </w:r>
          </w:p>
        </w:tc>
      </w:tr>
      <w:tr w:rsidR="00E679DF" w:rsidRPr="00476706" w14:paraId="25041A10" w14:textId="77777777" w:rsidTr="0089695B">
        <w:tc>
          <w:tcPr>
            <w:tcW w:w="2254" w:type="dxa"/>
          </w:tcPr>
          <w:p w14:paraId="781B04C5"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lastRenderedPageBreak/>
              <w:t>Cultural services</w:t>
            </w:r>
          </w:p>
        </w:tc>
        <w:tc>
          <w:tcPr>
            <w:tcW w:w="2254" w:type="dxa"/>
          </w:tcPr>
          <w:p w14:paraId="3F92F247"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Some invasive species create habitats that support tourism, such as Phragmites australis, which attracts birdwatchers in wetlands and benefits local economies.</w:t>
            </w:r>
          </w:p>
        </w:tc>
        <w:tc>
          <w:tcPr>
            <w:tcW w:w="2254" w:type="dxa"/>
          </w:tcPr>
          <w:p w14:paraId="0365594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Recreational and Economic Benefits</w:t>
            </w:r>
          </w:p>
        </w:tc>
        <w:tc>
          <w:tcPr>
            <w:tcW w:w="2254" w:type="dxa"/>
          </w:tcPr>
          <w:p w14:paraId="621D9C5A"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Meyerson et al., (2000).</w:t>
            </w:r>
          </w:p>
        </w:tc>
      </w:tr>
    </w:tbl>
    <w:p w14:paraId="2968AAD6" w14:textId="77777777" w:rsidR="00E679DF" w:rsidRPr="00476706" w:rsidRDefault="00E679DF" w:rsidP="00E679DF">
      <w:pPr>
        <w:tabs>
          <w:tab w:val="left" w:pos="1493"/>
        </w:tabs>
        <w:spacing w:before="10" w:after="10" w:line="360" w:lineRule="auto"/>
        <w:ind w:left="283" w:right="283"/>
        <w:jc w:val="both"/>
        <w:rPr>
          <w:rFonts w:ascii="Arial" w:hAnsi="Arial" w:cs="Arial"/>
          <w:color w:val="000000" w:themeColor="text1"/>
          <w:sz w:val="20"/>
          <w:szCs w:val="20"/>
        </w:rPr>
      </w:pPr>
    </w:p>
    <w:p w14:paraId="2F6E911C" w14:textId="77777777" w:rsidR="00E679DF" w:rsidRPr="00476706" w:rsidRDefault="00E679DF" w:rsidP="00E679DF">
      <w:pPr>
        <w:spacing w:before="10" w:after="10"/>
        <w:ind w:left="283" w:right="283"/>
        <w:rPr>
          <w:rFonts w:ascii="Arial" w:hAnsi="Arial" w:cs="Arial"/>
          <w:b/>
          <w:bCs/>
          <w:sz w:val="20"/>
          <w:szCs w:val="20"/>
        </w:rPr>
      </w:pPr>
      <w:r w:rsidRPr="00476706">
        <w:rPr>
          <w:rFonts w:ascii="Arial" w:hAnsi="Arial" w:cs="Arial"/>
          <w:color w:val="000000" w:themeColor="text1"/>
          <w:sz w:val="20"/>
          <w:szCs w:val="20"/>
        </w:rPr>
        <w:t>Appendix 2:</w:t>
      </w:r>
      <w:r w:rsidRPr="00476706">
        <w:rPr>
          <w:rFonts w:ascii="Arial" w:hAnsi="Arial" w:cs="Arial"/>
          <w:b/>
          <w:bCs/>
          <w:sz w:val="20"/>
          <w:szCs w:val="20"/>
        </w:rPr>
        <w:t xml:space="preserve"> Evidence from Literature: Ecosystem Disservices Linked to Invasive Species</w:t>
      </w:r>
    </w:p>
    <w:tbl>
      <w:tblPr>
        <w:tblStyle w:val="TableGrid"/>
        <w:tblW w:w="0" w:type="auto"/>
        <w:tblInd w:w="137" w:type="dxa"/>
        <w:tblLook w:val="04A0" w:firstRow="1" w:lastRow="0" w:firstColumn="1" w:lastColumn="0" w:noHBand="0" w:noVBand="1"/>
      </w:tblPr>
      <w:tblGrid>
        <w:gridCol w:w="2021"/>
        <w:gridCol w:w="2924"/>
        <w:gridCol w:w="1956"/>
        <w:gridCol w:w="1978"/>
      </w:tblGrid>
      <w:tr w:rsidR="00E679DF" w:rsidRPr="00476706" w14:paraId="66C6C37F" w14:textId="77777777" w:rsidTr="0089695B">
        <w:tc>
          <w:tcPr>
            <w:tcW w:w="2117" w:type="dxa"/>
          </w:tcPr>
          <w:p w14:paraId="3FC1AFF2" w14:textId="77777777" w:rsidR="00E679DF" w:rsidRPr="00476706" w:rsidRDefault="00E679DF" w:rsidP="0089695B">
            <w:pPr>
              <w:spacing w:before="10" w:after="10"/>
              <w:ind w:left="283" w:right="283"/>
              <w:rPr>
                <w:rFonts w:ascii="Arial" w:hAnsi="Arial" w:cs="Arial"/>
                <w:b/>
                <w:bCs/>
                <w:sz w:val="20"/>
                <w:szCs w:val="20"/>
              </w:rPr>
            </w:pPr>
            <w:r w:rsidRPr="00476706">
              <w:rPr>
                <w:rFonts w:ascii="Arial" w:hAnsi="Arial" w:cs="Arial"/>
                <w:b/>
                <w:bCs/>
                <w:sz w:val="20"/>
                <w:szCs w:val="20"/>
              </w:rPr>
              <w:t>Categories/ type</w:t>
            </w:r>
          </w:p>
        </w:tc>
        <w:tc>
          <w:tcPr>
            <w:tcW w:w="2254" w:type="dxa"/>
          </w:tcPr>
          <w:p w14:paraId="0487A96A" w14:textId="77777777" w:rsidR="00E679DF" w:rsidRPr="00476706" w:rsidRDefault="00E679DF" w:rsidP="0089695B">
            <w:pPr>
              <w:spacing w:before="10" w:after="10"/>
              <w:ind w:left="283" w:right="283"/>
              <w:rPr>
                <w:rFonts w:ascii="Arial" w:hAnsi="Arial" w:cs="Arial"/>
                <w:b/>
                <w:bCs/>
                <w:sz w:val="20"/>
                <w:szCs w:val="20"/>
              </w:rPr>
            </w:pPr>
            <w:r w:rsidRPr="00476706">
              <w:rPr>
                <w:rFonts w:ascii="Arial" w:hAnsi="Arial" w:cs="Arial"/>
                <w:b/>
                <w:bCs/>
                <w:sz w:val="20"/>
                <w:szCs w:val="20"/>
              </w:rPr>
              <w:t>Description</w:t>
            </w:r>
          </w:p>
        </w:tc>
        <w:tc>
          <w:tcPr>
            <w:tcW w:w="2254" w:type="dxa"/>
          </w:tcPr>
          <w:p w14:paraId="637AFA75" w14:textId="77777777" w:rsidR="00E679DF" w:rsidRPr="00476706" w:rsidRDefault="00E679DF" w:rsidP="0089695B">
            <w:pPr>
              <w:spacing w:before="10" w:after="10"/>
              <w:ind w:left="283" w:right="283"/>
              <w:rPr>
                <w:rFonts w:ascii="Arial" w:hAnsi="Arial" w:cs="Arial"/>
                <w:b/>
                <w:bCs/>
                <w:sz w:val="20"/>
                <w:szCs w:val="20"/>
              </w:rPr>
            </w:pPr>
            <w:r w:rsidRPr="00476706">
              <w:rPr>
                <w:rFonts w:ascii="Arial" w:hAnsi="Arial" w:cs="Arial"/>
                <w:b/>
                <w:bCs/>
                <w:sz w:val="20"/>
                <w:szCs w:val="20"/>
              </w:rPr>
              <w:t>Examples</w:t>
            </w:r>
          </w:p>
        </w:tc>
        <w:tc>
          <w:tcPr>
            <w:tcW w:w="2254" w:type="dxa"/>
          </w:tcPr>
          <w:p w14:paraId="7FE7481F" w14:textId="77777777" w:rsidR="00E679DF" w:rsidRPr="00476706" w:rsidRDefault="00E679DF" w:rsidP="0089695B">
            <w:pPr>
              <w:spacing w:before="10" w:after="10"/>
              <w:ind w:left="283" w:right="283"/>
              <w:rPr>
                <w:rFonts w:ascii="Arial" w:hAnsi="Arial" w:cs="Arial"/>
                <w:b/>
                <w:bCs/>
                <w:sz w:val="20"/>
                <w:szCs w:val="20"/>
              </w:rPr>
            </w:pPr>
            <w:r w:rsidRPr="00476706">
              <w:rPr>
                <w:rFonts w:ascii="Arial" w:hAnsi="Arial" w:cs="Arial"/>
                <w:b/>
                <w:bCs/>
                <w:sz w:val="20"/>
                <w:szCs w:val="20"/>
              </w:rPr>
              <w:t>References</w:t>
            </w:r>
          </w:p>
        </w:tc>
      </w:tr>
      <w:tr w:rsidR="00E679DF" w:rsidRPr="00476706" w14:paraId="6BC328CC" w14:textId="77777777" w:rsidTr="0089695B">
        <w:tc>
          <w:tcPr>
            <w:tcW w:w="2117" w:type="dxa"/>
          </w:tcPr>
          <w:p w14:paraId="7246D14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Biodiversity loss (Supporting disservices)</w:t>
            </w:r>
          </w:p>
        </w:tc>
        <w:tc>
          <w:tcPr>
            <w:tcW w:w="2254" w:type="dxa"/>
          </w:tcPr>
          <w:p w14:paraId="21D67698"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IAS causes land degradation and disrupts ecosystem processes and services that support the systems</w:t>
            </w:r>
          </w:p>
          <w:p w14:paraId="3B905FE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w:t>
            </w:r>
          </w:p>
          <w:p w14:paraId="2CBB69EC" w14:textId="77777777" w:rsidR="00E679DF" w:rsidRPr="00476706" w:rsidRDefault="00E679DF" w:rsidP="0089695B">
            <w:pPr>
              <w:spacing w:before="10" w:after="10"/>
              <w:ind w:left="283" w:right="283"/>
              <w:rPr>
                <w:rFonts w:ascii="Arial" w:hAnsi="Arial" w:cs="Arial"/>
                <w:sz w:val="20"/>
                <w:szCs w:val="20"/>
              </w:rPr>
            </w:pPr>
          </w:p>
        </w:tc>
        <w:tc>
          <w:tcPr>
            <w:tcW w:w="2254" w:type="dxa"/>
          </w:tcPr>
          <w:p w14:paraId="2CDB502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-Displacement of native plants</w:t>
            </w:r>
          </w:p>
          <w:p w14:paraId="749E1A8A"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-Reduction of habitats for animals and reduction of grazing land</w:t>
            </w:r>
          </w:p>
          <w:p w14:paraId="706D197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-Endangered tree species</w:t>
            </w:r>
          </w:p>
        </w:tc>
        <w:tc>
          <w:tcPr>
            <w:tcW w:w="2254" w:type="dxa"/>
          </w:tcPr>
          <w:p w14:paraId="2475E0E4"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Carruthers et al. (2011); Dickie et al. (2014);</w:t>
            </w:r>
          </w:p>
          <w:p w14:paraId="59414067"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Kull et al. (2011); Le Maitre et al. (2011).</w:t>
            </w:r>
          </w:p>
          <w:p w14:paraId="3750846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Shackleton et al. (2016); van Wilgen and</w:t>
            </w:r>
          </w:p>
          <w:p w14:paraId="26F3A30E"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Richardson (2014); Vicente et al. (2013)</w:t>
            </w:r>
          </w:p>
        </w:tc>
      </w:tr>
      <w:tr w:rsidR="00E679DF" w:rsidRPr="00476706" w14:paraId="3D018491" w14:textId="77777777" w:rsidTr="0089695B">
        <w:tc>
          <w:tcPr>
            <w:tcW w:w="2117" w:type="dxa"/>
          </w:tcPr>
          <w:p w14:paraId="39011CB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Environmental and Agricultural problems</w:t>
            </w:r>
          </w:p>
        </w:tc>
        <w:tc>
          <w:tcPr>
            <w:tcW w:w="2254" w:type="dxa"/>
          </w:tcPr>
          <w:p w14:paraId="7AB73CAB"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Harm to farming and Livestock</w:t>
            </w:r>
          </w:p>
          <w:p w14:paraId="629F620E"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-Generating green waste</w:t>
            </w:r>
          </w:p>
          <w:p w14:paraId="1781AFB2"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Reduced soil quality</w:t>
            </w:r>
          </w:p>
          <w:p w14:paraId="653DF5C3" w14:textId="77777777" w:rsidR="00E679DF" w:rsidRPr="00476706" w:rsidRDefault="00E679DF" w:rsidP="0089695B">
            <w:pPr>
              <w:spacing w:before="10" w:after="10"/>
              <w:ind w:left="283" w:right="283"/>
              <w:rPr>
                <w:rFonts w:ascii="Arial" w:hAnsi="Arial" w:cs="Arial"/>
                <w:sz w:val="20"/>
                <w:szCs w:val="20"/>
              </w:rPr>
            </w:pPr>
          </w:p>
          <w:p w14:paraId="150A193A" w14:textId="77777777" w:rsidR="00E679DF" w:rsidRPr="00476706" w:rsidRDefault="00E679DF" w:rsidP="0089695B">
            <w:pPr>
              <w:spacing w:before="10" w:after="10"/>
              <w:ind w:left="283" w:right="283"/>
              <w:rPr>
                <w:rFonts w:ascii="Arial" w:hAnsi="Arial" w:cs="Arial"/>
                <w:sz w:val="20"/>
                <w:szCs w:val="20"/>
              </w:rPr>
            </w:pPr>
          </w:p>
        </w:tc>
        <w:tc>
          <w:tcPr>
            <w:tcW w:w="2254" w:type="dxa"/>
          </w:tcPr>
          <w:p w14:paraId="3F76825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-Horbor pest</w:t>
            </w:r>
          </w:p>
          <w:p w14:paraId="4072126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-Toxic to livestock</w:t>
            </w:r>
          </w:p>
          <w:p w14:paraId="7338BD0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-Reduce pastureland</w:t>
            </w:r>
          </w:p>
          <w:p w14:paraId="62B7A30E"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-Act as a weed</w:t>
            </w:r>
          </w:p>
          <w:p w14:paraId="39F74C3E"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-Invades cropland and Interfere harvesting</w:t>
            </w:r>
          </w:p>
          <w:p w14:paraId="5F34BF89"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-Alteration of soil quality and enhancement of soil erosion</w:t>
            </w:r>
          </w:p>
        </w:tc>
        <w:tc>
          <w:tcPr>
            <w:tcW w:w="2254" w:type="dxa"/>
          </w:tcPr>
          <w:p w14:paraId="05A4E2E2"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w:t>
            </w:r>
            <w:r w:rsidRPr="00476706">
              <w:rPr>
                <w:rFonts w:ascii="Arial" w:hAnsi="Arial" w:cs="Arial"/>
                <w:sz w:val="20"/>
                <w:szCs w:val="20"/>
                <w:lang w:val="de-DE"/>
              </w:rPr>
              <w:t xml:space="preserve">Yelenik et al. (2004); Gaertner et al. </w:t>
            </w:r>
            <w:r w:rsidRPr="00476706">
              <w:rPr>
                <w:rFonts w:ascii="Arial" w:hAnsi="Arial" w:cs="Arial"/>
                <w:sz w:val="20"/>
                <w:szCs w:val="20"/>
              </w:rPr>
              <w:t>(2014); Qiu</w:t>
            </w:r>
          </w:p>
          <w:p w14:paraId="21A0B219"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(2015)</w:t>
            </w:r>
          </w:p>
          <w:p w14:paraId="2CDD333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Carruthers et al. (2011). Kull et al. (2011); Le Maitre et al. (2002, 2011); van Wilgen and Richardson (2014); de Wit et al. (2001); Shackleton et al. (2016) Zhang, W. Kremen, C., </w:t>
            </w:r>
            <w:r w:rsidRPr="00476706">
              <w:rPr>
                <w:rFonts w:ascii="Arial" w:hAnsi="Arial" w:cs="Arial"/>
                <w:sz w:val="20"/>
                <w:szCs w:val="20"/>
              </w:rPr>
              <w:lastRenderedPageBreak/>
              <w:t>&amp; Chen, S. (2007)</w:t>
            </w:r>
          </w:p>
        </w:tc>
      </w:tr>
      <w:tr w:rsidR="00E679DF" w:rsidRPr="00476706" w14:paraId="3EC2280A" w14:textId="77777777" w:rsidTr="0089695B">
        <w:tc>
          <w:tcPr>
            <w:tcW w:w="2117" w:type="dxa"/>
          </w:tcPr>
          <w:p w14:paraId="7E477721"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lastRenderedPageBreak/>
              <w:t>Fire Risk</w:t>
            </w:r>
          </w:p>
        </w:tc>
        <w:tc>
          <w:tcPr>
            <w:tcW w:w="2254" w:type="dxa"/>
          </w:tcPr>
          <w:p w14:paraId="16B21FA2"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Alter natural fire cycles and increase fire hazards.</w:t>
            </w:r>
          </w:p>
        </w:tc>
        <w:tc>
          <w:tcPr>
            <w:tcW w:w="2254" w:type="dxa"/>
          </w:tcPr>
          <w:p w14:paraId="4A743A08"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Highly flammable, Increases wildlife fire</w:t>
            </w:r>
          </w:p>
        </w:tc>
        <w:tc>
          <w:tcPr>
            <w:tcW w:w="2254" w:type="dxa"/>
          </w:tcPr>
          <w:p w14:paraId="67E316E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Gaertner et al. (2014); Le Maitre et al. (2011).</w:t>
            </w:r>
          </w:p>
          <w:p w14:paraId="0DF184A4"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van Wilgen and Richardson (2014); Potgieter</w:t>
            </w:r>
          </w:p>
          <w:p w14:paraId="057A455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et al. (2018)</w:t>
            </w:r>
          </w:p>
        </w:tc>
      </w:tr>
      <w:tr w:rsidR="00E679DF" w:rsidRPr="00476706" w14:paraId="7593E204" w14:textId="77777777" w:rsidTr="0089695B">
        <w:tc>
          <w:tcPr>
            <w:tcW w:w="2117" w:type="dxa"/>
          </w:tcPr>
          <w:p w14:paraId="3986EBE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Toxicity</w:t>
            </w:r>
          </w:p>
        </w:tc>
        <w:tc>
          <w:tcPr>
            <w:tcW w:w="2254" w:type="dxa"/>
          </w:tcPr>
          <w:p w14:paraId="08143EA8"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Harmful to Flora and Fauna</w:t>
            </w:r>
          </w:p>
        </w:tc>
        <w:tc>
          <w:tcPr>
            <w:tcW w:w="2254" w:type="dxa"/>
          </w:tcPr>
          <w:p w14:paraId="0BB468AF"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Toxic compounds affect local ecosystems, including species such as Chromolaena and Lantana, which are also present in the study site.</w:t>
            </w:r>
          </w:p>
        </w:tc>
        <w:tc>
          <w:tcPr>
            <w:tcW w:w="2254" w:type="dxa"/>
          </w:tcPr>
          <w:p w14:paraId="2320B72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Rentería, J. L., &amp; Saavedra, L. (2013)</w:t>
            </w:r>
          </w:p>
          <w:p w14:paraId="391F01C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Koutika, L. S., &amp; Rainey, H. J. (2010), Sharma, G. P., Raghubanshi, A. S., &amp; Singh, J. S. (2005)</w:t>
            </w:r>
          </w:p>
        </w:tc>
      </w:tr>
      <w:tr w:rsidR="00E679DF" w:rsidRPr="00476706" w14:paraId="43D53BA7" w14:textId="77777777" w:rsidTr="0089695B">
        <w:tc>
          <w:tcPr>
            <w:tcW w:w="2117" w:type="dxa"/>
          </w:tcPr>
          <w:p w14:paraId="4552B288"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Health and Safety</w:t>
            </w:r>
          </w:p>
        </w:tc>
        <w:tc>
          <w:tcPr>
            <w:tcW w:w="2254" w:type="dxa"/>
          </w:tcPr>
          <w:p w14:paraId="1097E7A5"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A direct threat to human health and safety</w:t>
            </w:r>
          </w:p>
          <w:p w14:paraId="2E9E6F6C" w14:textId="77777777" w:rsidR="00E679DF" w:rsidRPr="00476706" w:rsidRDefault="00E679DF" w:rsidP="0089695B">
            <w:pPr>
              <w:spacing w:before="10" w:after="10"/>
              <w:ind w:left="283" w:right="283"/>
              <w:rPr>
                <w:rFonts w:ascii="Arial" w:hAnsi="Arial" w:cs="Arial"/>
                <w:sz w:val="20"/>
                <w:szCs w:val="20"/>
              </w:rPr>
            </w:pPr>
          </w:p>
        </w:tc>
        <w:tc>
          <w:tcPr>
            <w:tcW w:w="2254" w:type="dxa"/>
          </w:tcPr>
          <w:p w14:paraId="0F254AD8"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-Human poisoning</w:t>
            </w:r>
          </w:p>
          <w:p w14:paraId="24B4F452"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Skin Irritation</w:t>
            </w:r>
          </w:p>
          <w:p w14:paraId="4D0DBBF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-Diseases Vector</w:t>
            </w:r>
          </w:p>
          <w:p w14:paraId="22EFD15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-Increasing attacks by associated insects and</w:t>
            </w:r>
          </w:p>
          <w:p w14:paraId="653EA057"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other animals</w:t>
            </w:r>
          </w:p>
        </w:tc>
        <w:tc>
          <w:tcPr>
            <w:tcW w:w="2254" w:type="dxa"/>
          </w:tcPr>
          <w:p w14:paraId="2E9A0A1D"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Roy et al. (2012)</w:t>
            </w:r>
          </w:p>
          <w:p w14:paraId="6682D293"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Pyšek and Richardson (2010)</w:t>
            </w:r>
          </w:p>
        </w:tc>
      </w:tr>
      <w:tr w:rsidR="00E679DF" w:rsidRPr="00476706" w14:paraId="559DDC24" w14:textId="77777777" w:rsidTr="0089695B">
        <w:tc>
          <w:tcPr>
            <w:tcW w:w="2117" w:type="dxa"/>
          </w:tcPr>
          <w:p w14:paraId="665E3EDF"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Cultural and</w:t>
            </w:r>
          </w:p>
          <w:p w14:paraId="489EDC9C"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Aesthetic</w:t>
            </w:r>
          </w:p>
        </w:tc>
        <w:tc>
          <w:tcPr>
            <w:tcW w:w="2254" w:type="dxa"/>
          </w:tcPr>
          <w:p w14:paraId="11822038"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Loss of sense of place and aesthetic values</w:t>
            </w:r>
          </w:p>
        </w:tc>
        <w:tc>
          <w:tcPr>
            <w:tcW w:w="2254" w:type="dxa"/>
          </w:tcPr>
          <w:p w14:paraId="481ACC20"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Loss of sense of place and aesthetic values</w:t>
            </w:r>
          </w:p>
          <w:p w14:paraId="4715C1EA"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due to the presence of invasive alien plant</w:t>
            </w:r>
          </w:p>
          <w:p w14:paraId="28BD0321"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species</w:t>
            </w:r>
          </w:p>
        </w:tc>
        <w:tc>
          <w:tcPr>
            <w:tcW w:w="2254" w:type="dxa"/>
          </w:tcPr>
          <w:p w14:paraId="762DC9A6" w14:textId="77777777" w:rsidR="00E679DF" w:rsidRPr="00476706" w:rsidRDefault="00E679DF" w:rsidP="0089695B">
            <w:pPr>
              <w:spacing w:before="10" w:after="10"/>
              <w:ind w:left="283" w:right="283"/>
              <w:rPr>
                <w:rFonts w:ascii="Arial" w:hAnsi="Arial" w:cs="Arial"/>
                <w:sz w:val="20"/>
                <w:szCs w:val="20"/>
              </w:rPr>
            </w:pPr>
            <w:r w:rsidRPr="00476706">
              <w:rPr>
                <w:rFonts w:ascii="Arial" w:hAnsi="Arial" w:cs="Arial"/>
                <w:sz w:val="20"/>
                <w:szCs w:val="20"/>
              </w:rPr>
              <w:t xml:space="preserve"> de Wit et al. (2001); Le Maitre et al. (2011</w:t>
            </w:r>
          </w:p>
        </w:tc>
      </w:tr>
    </w:tbl>
    <w:p w14:paraId="24132E37" w14:textId="77777777" w:rsidR="00E679DF" w:rsidRPr="00476706" w:rsidRDefault="00E679DF" w:rsidP="00E679DF">
      <w:pPr>
        <w:spacing w:before="10" w:after="10" w:line="360" w:lineRule="auto"/>
        <w:ind w:left="283" w:right="283"/>
        <w:jc w:val="both"/>
        <w:rPr>
          <w:rFonts w:ascii="Arial" w:hAnsi="Arial" w:cs="Arial"/>
          <w:color w:val="000000" w:themeColor="text1"/>
          <w:sz w:val="20"/>
          <w:szCs w:val="20"/>
        </w:rPr>
      </w:pPr>
    </w:p>
    <w:p w14:paraId="0EE0C55B" w14:textId="77777777" w:rsidR="00E679DF" w:rsidRPr="00476706" w:rsidRDefault="00E679DF" w:rsidP="00E679DF">
      <w:pPr>
        <w:spacing w:before="10" w:after="10"/>
        <w:ind w:left="283" w:right="283"/>
        <w:rPr>
          <w:rFonts w:ascii="Arial" w:hAnsi="Arial" w:cs="Arial"/>
          <w:sz w:val="20"/>
          <w:szCs w:val="20"/>
        </w:rPr>
      </w:pPr>
    </w:p>
    <w:p w14:paraId="5FFFF193" w14:textId="77777777" w:rsidR="004E780C" w:rsidRDefault="004E780C"/>
    <w:sectPr w:rsidR="004E780C" w:rsidSect="00E679DF">
      <w:pgSz w:w="11906" w:h="16838"/>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9DF"/>
    <w:rsid w:val="002978F5"/>
    <w:rsid w:val="003852CF"/>
    <w:rsid w:val="00397D4F"/>
    <w:rsid w:val="004E780C"/>
    <w:rsid w:val="00E679D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0C6F7"/>
  <w15:chartTrackingRefBased/>
  <w15:docId w15:val="{98FBFE27-B2DB-4A70-96B6-1819187B3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79DF"/>
    <w:rPr>
      <w:kern w:val="0"/>
      <w:lang w:val="en-GB"/>
    </w:rPr>
  </w:style>
  <w:style w:type="paragraph" w:styleId="Heading1">
    <w:name w:val="heading 1"/>
    <w:basedOn w:val="Normal"/>
    <w:next w:val="Normal"/>
    <w:link w:val="Heading1Char"/>
    <w:uiPriority w:val="9"/>
    <w:qFormat/>
    <w:rsid w:val="00E679DF"/>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rPr>
  </w:style>
  <w:style w:type="paragraph" w:styleId="Heading2">
    <w:name w:val="heading 2"/>
    <w:basedOn w:val="Normal"/>
    <w:next w:val="Normal"/>
    <w:link w:val="Heading2Char"/>
    <w:uiPriority w:val="9"/>
    <w:semiHidden/>
    <w:unhideWhenUsed/>
    <w:qFormat/>
    <w:rsid w:val="00E679DF"/>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rPr>
  </w:style>
  <w:style w:type="paragraph" w:styleId="Heading3">
    <w:name w:val="heading 3"/>
    <w:basedOn w:val="Normal"/>
    <w:next w:val="Normal"/>
    <w:link w:val="Heading3Char"/>
    <w:uiPriority w:val="9"/>
    <w:semiHidden/>
    <w:unhideWhenUsed/>
    <w:qFormat/>
    <w:rsid w:val="00E679DF"/>
    <w:pPr>
      <w:keepNext/>
      <w:keepLines/>
      <w:spacing w:before="160" w:after="80"/>
      <w:outlineLvl w:val="2"/>
    </w:pPr>
    <w:rPr>
      <w:rFonts w:eastAsiaTheme="majorEastAsia" w:cstheme="majorBidi"/>
      <w:color w:val="0F4761" w:themeColor="accent1" w:themeShade="BF"/>
      <w:kern w:val="2"/>
      <w:sz w:val="28"/>
      <w:szCs w:val="28"/>
      <w:lang w:val="en-US"/>
    </w:rPr>
  </w:style>
  <w:style w:type="paragraph" w:styleId="Heading4">
    <w:name w:val="heading 4"/>
    <w:basedOn w:val="Normal"/>
    <w:next w:val="Normal"/>
    <w:link w:val="Heading4Char"/>
    <w:uiPriority w:val="9"/>
    <w:semiHidden/>
    <w:unhideWhenUsed/>
    <w:qFormat/>
    <w:rsid w:val="00E679DF"/>
    <w:pPr>
      <w:keepNext/>
      <w:keepLines/>
      <w:spacing w:before="80" w:after="40"/>
      <w:outlineLvl w:val="3"/>
    </w:pPr>
    <w:rPr>
      <w:rFonts w:eastAsiaTheme="majorEastAsia" w:cstheme="majorBidi"/>
      <w:i/>
      <w:iCs/>
      <w:color w:val="0F4761" w:themeColor="accent1" w:themeShade="BF"/>
      <w:kern w:val="2"/>
      <w:lang w:val="en-US"/>
    </w:rPr>
  </w:style>
  <w:style w:type="paragraph" w:styleId="Heading5">
    <w:name w:val="heading 5"/>
    <w:basedOn w:val="Normal"/>
    <w:next w:val="Normal"/>
    <w:link w:val="Heading5Char"/>
    <w:uiPriority w:val="9"/>
    <w:semiHidden/>
    <w:unhideWhenUsed/>
    <w:qFormat/>
    <w:rsid w:val="00E679DF"/>
    <w:pPr>
      <w:keepNext/>
      <w:keepLines/>
      <w:spacing w:before="80" w:after="40"/>
      <w:outlineLvl w:val="4"/>
    </w:pPr>
    <w:rPr>
      <w:rFonts w:eastAsiaTheme="majorEastAsia" w:cstheme="majorBidi"/>
      <w:color w:val="0F4761" w:themeColor="accent1" w:themeShade="BF"/>
      <w:kern w:val="2"/>
      <w:lang w:val="en-US"/>
    </w:rPr>
  </w:style>
  <w:style w:type="paragraph" w:styleId="Heading6">
    <w:name w:val="heading 6"/>
    <w:basedOn w:val="Normal"/>
    <w:next w:val="Normal"/>
    <w:link w:val="Heading6Char"/>
    <w:uiPriority w:val="9"/>
    <w:semiHidden/>
    <w:unhideWhenUsed/>
    <w:qFormat/>
    <w:rsid w:val="00E679DF"/>
    <w:pPr>
      <w:keepNext/>
      <w:keepLines/>
      <w:spacing w:before="40" w:after="0"/>
      <w:outlineLvl w:val="5"/>
    </w:pPr>
    <w:rPr>
      <w:rFonts w:eastAsiaTheme="majorEastAsia" w:cstheme="majorBidi"/>
      <w:i/>
      <w:iCs/>
      <w:color w:val="595959" w:themeColor="text1" w:themeTint="A6"/>
      <w:kern w:val="2"/>
      <w:lang w:val="en-US"/>
    </w:rPr>
  </w:style>
  <w:style w:type="paragraph" w:styleId="Heading7">
    <w:name w:val="heading 7"/>
    <w:basedOn w:val="Normal"/>
    <w:next w:val="Normal"/>
    <w:link w:val="Heading7Char"/>
    <w:uiPriority w:val="9"/>
    <w:semiHidden/>
    <w:unhideWhenUsed/>
    <w:qFormat/>
    <w:rsid w:val="00E679DF"/>
    <w:pPr>
      <w:keepNext/>
      <w:keepLines/>
      <w:spacing w:before="40" w:after="0"/>
      <w:outlineLvl w:val="6"/>
    </w:pPr>
    <w:rPr>
      <w:rFonts w:eastAsiaTheme="majorEastAsia" w:cstheme="majorBidi"/>
      <w:color w:val="595959" w:themeColor="text1" w:themeTint="A6"/>
      <w:kern w:val="2"/>
      <w:lang w:val="en-US"/>
    </w:rPr>
  </w:style>
  <w:style w:type="paragraph" w:styleId="Heading8">
    <w:name w:val="heading 8"/>
    <w:basedOn w:val="Normal"/>
    <w:next w:val="Normal"/>
    <w:link w:val="Heading8Char"/>
    <w:uiPriority w:val="9"/>
    <w:semiHidden/>
    <w:unhideWhenUsed/>
    <w:qFormat/>
    <w:rsid w:val="00E679DF"/>
    <w:pPr>
      <w:keepNext/>
      <w:keepLines/>
      <w:spacing w:after="0"/>
      <w:outlineLvl w:val="7"/>
    </w:pPr>
    <w:rPr>
      <w:rFonts w:eastAsiaTheme="majorEastAsia" w:cstheme="majorBidi"/>
      <w:i/>
      <w:iCs/>
      <w:color w:val="272727" w:themeColor="text1" w:themeTint="D8"/>
      <w:kern w:val="2"/>
      <w:lang w:val="en-US"/>
    </w:rPr>
  </w:style>
  <w:style w:type="paragraph" w:styleId="Heading9">
    <w:name w:val="heading 9"/>
    <w:basedOn w:val="Normal"/>
    <w:next w:val="Normal"/>
    <w:link w:val="Heading9Char"/>
    <w:uiPriority w:val="9"/>
    <w:semiHidden/>
    <w:unhideWhenUsed/>
    <w:qFormat/>
    <w:rsid w:val="00E679DF"/>
    <w:pPr>
      <w:keepNext/>
      <w:keepLines/>
      <w:spacing w:after="0"/>
      <w:outlineLvl w:val="8"/>
    </w:pPr>
    <w:rPr>
      <w:rFonts w:eastAsiaTheme="majorEastAsia" w:cstheme="majorBidi"/>
      <w:color w:val="272727" w:themeColor="text1" w:themeTint="D8"/>
      <w:kern w:val="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9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79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79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79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79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79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79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79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79DF"/>
    <w:rPr>
      <w:rFonts w:eastAsiaTheme="majorEastAsia" w:cstheme="majorBidi"/>
      <w:color w:val="272727" w:themeColor="text1" w:themeTint="D8"/>
    </w:rPr>
  </w:style>
  <w:style w:type="paragraph" w:styleId="Title">
    <w:name w:val="Title"/>
    <w:basedOn w:val="Normal"/>
    <w:next w:val="Normal"/>
    <w:link w:val="TitleChar"/>
    <w:uiPriority w:val="10"/>
    <w:qFormat/>
    <w:rsid w:val="00E679DF"/>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679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79DF"/>
    <w:pPr>
      <w:numPr>
        <w:ilvl w:val="1"/>
      </w:numPr>
    </w:pPr>
    <w:rPr>
      <w:rFonts w:eastAsiaTheme="majorEastAsia" w:cstheme="majorBidi"/>
      <w:color w:val="595959" w:themeColor="text1" w:themeTint="A6"/>
      <w:spacing w:val="15"/>
      <w:kern w:val="2"/>
      <w:sz w:val="28"/>
      <w:szCs w:val="28"/>
      <w:lang w:val="en-US"/>
    </w:rPr>
  </w:style>
  <w:style w:type="character" w:customStyle="1" w:styleId="SubtitleChar">
    <w:name w:val="Subtitle Char"/>
    <w:basedOn w:val="DefaultParagraphFont"/>
    <w:link w:val="Subtitle"/>
    <w:uiPriority w:val="11"/>
    <w:rsid w:val="00E679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79DF"/>
    <w:pPr>
      <w:spacing w:before="160"/>
      <w:jc w:val="center"/>
    </w:pPr>
    <w:rPr>
      <w:i/>
      <w:iCs/>
      <w:color w:val="404040" w:themeColor="text1" w:themeTint="BF"/>
      <w:kern w:val="2"/>
      <w:lang w:val="en-US"/>
    </w:rPr>
  </w:style>
  <w:style w:type="character" w:customStyle="1" w:styleId="QuoteChar">
    <w:name w:val="Quote Char"/>
    <w:basedOn w:val="DefaultParagraphFont"/>
    <w:link w:val="Quote"/>
    <w:uiPriority w:val="29"/>
    <w:rsid w:val="00E679DF"/>
    <w:rPr>
      <w:i/>
      <w:iCs/>
      <w:color w:val="404040" w:themeColor="text1" w:themeTint="BF"/>
    </w:rPr>
  </w:style>
  <w:style w:type="paragraph" w:styleId="ListParagraph">
    <w:name w:val="List Paragraph"/>
    <w:basedOn w:val="Normal"/>
    <w:uiPriority w:val="34"/>
    <w:qFormat/>
    <w:rsid w:val="00E679DF"/>
    <w:pPr>
      <w:ind w:left="720"/>
      <w:contextualSpacing/>
    </w:pPr>
    <w:rPr>
      <w:kern w:val="2"/>
      <w:lang w:val="en-US"/>
    </w:rPr>
  </w:style>
  <w:style w:type="character" w:styleId="IntenseEmphasis">
    <w:name w:val="Intense Emphasis"/>
    <w:basedOn w:val="DefaultParagraphFont"/>
    <w:uiPriority w:val="21"/>
    <w:qFormat/>
    <w:rsid w:val="00E679DF"/>
    <w:rPr>
      <w:i/>
      <w:iCs/>
      <w:color w:val="0F4761" w:themeColor="accent1" w:themeShade="BF"/>
    </w:rPr>
  </w:style>
  <w:style w:type="paragraph" w:styleId="IntenseQuote">
    <w:name w:val="Intense Quote"/>
    <w:basedOn w:val="Normal"/>
    <w:next w:val="Normal"/>
    <w:link w:val="IntenseQuoteChar"/>
    <w:uiPriority w:val="30"/>
    <w:qFormat/>
    <w:rsid w:val="00E679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US"/>
    </w:rPr>
  </w:style>
  <w:style w:type="character" w:customStyle="1" w:styleId="IntenseQuoteChar">
    <w:name w:val="Intense Quote Char"/>
    <w:basedOn w:val="DefaultParagraphFont"/>
    <w:link w:val="IntenseQuote"/>
    <w:uiPriority w:val="30"/>
    <w:rsid w:val="00E679DF"/>
    <w:rPr>
      <w:i/>
      <w:iCs/>
      <w:color w:val="0F4761" w:themeColor="accent1" w:themeShade="BF"/>
    </w:rPr>
  </w:style>
  <w:style w:type="character" w:styleId="IntenseReference">
    <w:name w:val="Intense Reference"/>
    <w:basedOn w:val="DefaultParagraphFont"/>
    <w:uiPriority w:val="32"/>
    <w:qFormat/>
    <w:rsid w:val="00E679DF"/>
    <w:rPr>
      <w:b/>
      <w:bCs/>
      <w:smallCaps/>
      <w:color w:val="0F4761" w:themeColor="accent1" w:themeShade="BF"/>
      <w:spacing w:val="5"/>
    </w:rPr>
  </w:style>
  <w:style w:type="table" w:styleId="TableGrid">
    <w:name w:val="Table Grid"/>
    <w:basedOn w:val="TableNormal"/>
    <w:uiPriority w:val="39"/>
    <w:rsid w:val="00E679DF"/>
    <w:pPr>
      <w:spacing w:after="0" w:line="240" w:lineRule="auto"/>
    </w:pPr>
    <w:rPr>
      <w:kern w:val="0"/>
      <w:lang w:val="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538</Words>
  <Characters>3185</Characters>
  <Application>Microsoft Office Word</Application>
  <DocSecurity>0</DocSecurity>
  <Lines>81</Lines>
  <Paragraphs>32</Paragraphs>
  <ScaleCrop>false</ScaleCrop>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2025-12-22T16:10:00Z</dcterms:created>
  <dcterms:modified xsi:type="dcterms:W3CDTF">2025-12-22T16:10:00Z</dcterms:modified>
</cp:coreProperties>
</file>