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675C9" w14:textId="19C2F072" w:rsidR="00255716" w:rsidRDefault="00123A21" w:rsidP="00A776B7">
      <w:pPr>
        <w:pStyle w:val="Ttulo"/>
        <w:rPr>
          <w:lang w:val="en-US"/>
        </w:rPr>
      </w:pPr>
      <w:r w:rsidRPr="00267C91">
        <w:rPr>
          <w:lang w:val="en-US"/>
        </w:rPr>
        <w:t xml:space="preserve">Supplementary material </w:t>
      </w:r>
    </w:p>
    <w:p w14:paraId="251F7F2B" w14:textId="77777777" w:rsidR="00267C91" w:rsidRPr="00267C91" w:rsidRDefault="00267C91" w:rsidP="00267C91"/>
    <w:p w14:paraId="62C835CD" w14:textId="77777777" w:rsidR="00255716" w:rsidRDefault="00255716" w:rsidP="00255716">
      <w:pPr>
        <w:spacing w:line="360" w:lineRule="auto"/>
        <w:jc w:val="both"/>
        <w:rPr>
          <w:rFonts w:ascii="MinionPro-Regular" w:hAnsi="MinionPro-Regular"/>
          <w:color w:val="262727"/>
          <w:sz w:val="18"/>
          <w:szCs w:val="18"/>
        </w:rPr>
      </w:pPr>
      <w:r>
        <w:rPr>
          <w:noProof/>
        </w:rPr>
        <w:drawing>
          <wp:inline distT="0" distB="0" distL="0" distR="0" wp14:anchorId="5B6FAFC9" wp14:editId="41AAF0CD">
            <wp:extent cx="5105400" cy="7861238"/>
            <wp:effectExtent l="0" t="0" r="0" b="6985"/>
            <wp:docPr id="1837366328" name="Imagen 4" descr="Gráfico, Diagrama, Esquemát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66328" name="Imagen 4" descr="Gráfico, Diagrama, Esquemát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513" cy="78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D4120" w14:textId="44B46096" w:rsidR="00255716" w:rsidRPr="00255716" w:rsidRDefault="00255716" w:rsidP="00255716">
      <w:pPr>
        <w:spacing w:line="360" w:lineRule="auto"/>
        <w:jc w:val="both"/>
        <w:rPr>
          <w:rFonts w:ascii="MinionPro-Regular" w:hAnsi="MinionPro-Regular"/>
          <w:color w:val="262727"/>
          <w:sz w:val="18"/>
          <w:szCs w:val="18"/>
        </w:rPr>
      </w:pPr>
      <w:r w:rsidRPr="00107321">
        <w:rPr>
          <w:rFonts w:ascii="MinionPro-Regular" w:hAnsi="MinionPro-Regular"/>
          <w:color w:val="DA3034"/>
          <w:sz w:val="18"/>
          <w:szCs w:val="18"/>
        </w:rPr>
        <w:t xml:space="preserve">Figure </w:t>
      </w:r>
      <w:r>
        <w:rPr>
          <w:rFonts w:ascii="MinionPro-Regular" w:hAnsi="MinionPro-Regular"/>
          <w:color w:val="DA3034"/>
          <w:sz w:val="18"/>
          <w:szCs w:val="18"/>
        </w:rPr>
        <w:t>1</w:t>
      </w:r>
      <w:r w:rsidRPr="00107321">
        <w:rPr>
          <w:rFonts w:ascii="MinionPro-Regular" w:hAnsi="MinionPro-Regular"/>
          <w:color w:val="DA3034"/>
          <w:sz w:val="18"/>
          <w:szCs w:val="18"/>
        </w:rPr>
        <w:t xml:space="preserve">. </w:t>
      </w:r>
      <w:r>
        <w:rPr>
          <w:rFonts w:ascii="MinionPro-Regular" w:hAnsi="MinionPro-Regular"/>
          <w:color w:val="DA3034"/>
          <w:sz w:val="18"/>
          <w:szCs w:val="18"/>
        </w:rPr>
        <w:t>M</w:t>
      </w:r>
      <w:r w:rsidRPr="00107321">
        <w:rPr>
          <w:rFonts w:ascii="MinionPro-Regular" w:hAnsi="MinionPro-Regular"/>
          <w:color w:val="DA3034"/>
          <w:sz w:val="18"/>
          <w:szCs w:val="18"/>
        </w:rPr>
        <w:t>easures across experimental conditions</w:t>
      </w:r>
      <w:r>
        <w:rPr>
          <w:rFonts w:ascii="MinionPro-Regular" w:hAnsi="MinionPro-Regular"/>
          <w:color w:val="DA3034"/>
          <w:sz w:val="18"/>
          <w:szCs w:val="18"/>
        </w:rPr>
        <w:t>.</w:t>
      </w:r>
      <w:r w:rsidRPr="00236109">
        <w:rPr>
          <w:rFonts w:ascii="MinionPro-Regular" w:hAnsi="MinionPro-Regular"/>
          <w:color w:val="DA3034"/>
          <w:sz w:val="18"/>
          <w:szCs w:val="18"/>
        </w:rPr>
        <w:t xml:space="preserve"> </w:t>
      </w:r>
      <w:r w:rsidRPr="001768D3">
        <w:rPr>
          <w:rFonts w:ascii="MinionPro-Regular" w:hAnsi="MinionPro-Regular"/>
          <w:color w:val="262727"/>
          <w:sz w:val="18"/>
          <w:szCs w:val="18"/>
        </w:rPr>
        <w:t xml:space="preserve">Boxplots show distributions across participants. Each dot represents an individual subject; boxes represent interquartile ranges; whiskers indicate variability outside the </w:t>
      </w:r>
      <w:r w:rsidRPr="001768D3">
        <w:rPr>
          <w:rFonts w:ascii="MinionPro-Regular" w:hAnsi="MinionPro-Regular"/>
          <w:color w:val="262727"/>
          <w:sz w:val="18"/>
          <w:szCs w:val="18"/>
        </w:rPr>
        <w:lastRenderedPageBreak/>
        <w:t>upper and lower quartiles. A) Z-scored amplitude of pupil diameter (in mm) measured as the area under the curve in the seconds preceding each event, comparing pre-treatment (baseline) and post-treatment conditions. Reflects anticipatory autonomic arousal. B) Z-scored amplitude of pupil diameter comparing trials where the circles eventually collided and triggered an electric shock (“ZAP”) versus trials where they approached but did not collide (“No-ZAP”). C) Coefficient of determination (R²) from a linear regression model predicting pupil diameter from the proximity signal (</w:t>
      </w:r>
      <w:r>
        <w:rPr>
          <w:rFonts w:ascii="MinionPro-Regular" w:hAnsi="MinionPro-Regular"/>
          <w:color w:val="262727"/>
          <w:sz w:val="18"/>
          <w:szCs w:val="18"/>
        </w:rPr>
        <w:t>circles distance</w:t>
      </w:r>
      <w:r w:rsidRPr="001768D3">
        <w:rPr>
          <w:rFonts w:ascii="MinionPro-Regular" w:hAnsi="MinionPro-Regular"/>
          <w:color w:val="262727"/>
          <w:sz w:val="18"/>
          <w:szCs w:val="18"/>
        </w:rPr>
        <w:t>). Indicates how much of the variability in pupil response is explained by the stimulus. D) Beta coefficient (slope) of the same regression model (</w:t>
      </w:r>
      <w:r>
        <w:rPr>
          <w:rFonts w:ascii="MinionPro-Regular" w:hAnsi="MinionPro-Regular"/>
          <w:color w:val="262727"/>
          <w:sz w:val="18"/>
          <w:szCs w:val="18"/>
        </w:rPr>
        <w:t>circles distance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</w:t>
      </w:r>
      <w:r w:rsidRPr="001768D3">
        <w:rPr>
          <w:rFonts w:ascii="MinionPro-Regular" w:hAnsi="MinionPro-Regular"/>
          <w:color w:val="262727"/>
          <w:sz w:val="18"/>
          <w:szCs w:val="18"/>
        </w:rPr>
        <w:t>→ pupil diameter), indicating the strength and direction of the association between circle proximity and pupil dilation.</w:t>
      </w:r>
      <w:r>
        <w:rPr>
          <w:rFonts w:ascii="MinionPro-Regular" w:hAnsi="MinionPro-Regular"/>
          <w:color w:val="262727"/>
          <w:sz w:val="18"/>
          <w:szCs w:val="18"/>
        </w:rPr>
        <w:t xml:space="preserve"> E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 Log-transformed </w:t>
      </w:r>
      <w:proofErr w:type="gramStart"/>
      <w:r w:rsidRPr="00FF70CB">
        <w:rPr>
          <w:rFonts w:ascii="MinionPro-Regular" w:hAnsi="MinionPro-Regular"/>
          <w:color w:val="262727"/>
          <w:sz w:val="18"/>
          <w:szCs w:val="18"/>
        </w:rPr>
        <w:t>mean</w:t>
      </w:r>
      <w:proofErr w:type="gramEnd"/>
      <w:r w:rsidRPr="00FF70CB">
        <w:rPr>
          <w:rFonts w:ascii="MinionPro-Regular" w:hAnsi="MinionPro-Regular"/>
          <w:color w:val="262727"/>
          <w:sz w:val="18"/>
          <w:szCs w:val="18"/>
        </w:rPr>
        <w:t xml:space="preserve"> squared error (MSE) from the same regression model (</w:t>
      </w:r>
      <w:r>
        <w:rPr>
          <w:rFonts w:ascii="MinionPro-Regular" w:hAnsi="MinionPro-Regular"/>
          <w:color w:val="262727"/>
          <w:sz w:val="18"/>
          <w:szCs w:val="18"/>
        </w:rPr>
        <w:t>circles distance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→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). Represents model fit quality, with lower values indicating more accurate predictions of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from the proximity signal.</w:t>
      </w:r>
      <w:r>
        <w:rPr>
          <w:rFonts w:ascii="MinionPro-Regular" w:hAnsi="MinionPro-Regular"/>
          <w:color w:val="262727"/>
          <w:sz w:val="18"/>
          <w:szCs w:val="18"/>
        </w:rPr>
        <w:t xml:space="preserve"> F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 Log-transformed amplitude of the phasic component of the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signal, measured as the area under the curve in the seconds preceding each event, comparing trials with electric shock (“ZAP”) and trials without shock (“No-ZAP”). Reflects autonomic arousal through sweat gland activity.</w:t>
      </w:r>
      <w:r>
        <w:rPr>
          <w:rFonts w:ascii="MinionPro-Regular" w:hAnsi="MinionPro-Regular"/>
          <w:color w:val="262727"/>
          <w:sz w:val="18"/>
          <w:szCs w:val="18"/>
        </w:rPr>
        <w:t xml:space="preserve"> G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 Coefficient of determination (R²) from a linear regression model predicting phasic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from the proximity signal (</w:t>
      </w:r>
      <w:r w:rsidRPr="000F6B25">
        <w:rPr>
          <w:rFonts w:ascii="MinionPro-Regular" w:hAnsi="MinionPro-Regular"/>
          <w:color w:val="262727"/>
          <w:sz w:val="18"/>
          <w:szCs w:val="18"/>
        </w:rPr>
        <w:t>circles distance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). Indicates how much of the variability in the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response is explained by stimulus proximity.</w:t>
      </w:r>
      <w:r>
        <w:rPr>
          <w:rFonts w:ascii="MinionPro-Regular" w:hAnsi="MinionPro-Regular"/>
          <w:color w:val="262727"/>
          <w:sz w:val="18"/>
          <w:szCs w:val="18"/>
        </w:rPr>
        <w:t xml:space="preserve"> H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) Beta coefficient (slope) of the regression model predicting phasic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from </w:t>
      </w:r>
      <w:r w:rsidRPr="000F6B25">
        <w:rPr>
          <w:rFonts w:ascii="MinionPro-Regular" w:hAnsi="MinionPro-Regular"/>
          <w:color w:val="262727"/>
          <w:sz w:val="18"/>
          <w:szCs w:val="18"/>
        </w:rPr>
        <w:t>circles distance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, indicating the strength and direction of the association between stimulus proximity and </w:t>
      </w:r>
      <w:r>
        <w:rPr>
          <w:rFonts w:ascii="MinionPro-Regular" w:hAnsi="MinionPro-Regular"/>
          <w:color w:val="262727"/>
          <w:sz w:val="18"/>
          <w:szCs w:val="18"/>
        </w:rPr>
        <w:t>EDA</w:t>
      </w:r>
      <w:r w:rsidRPr="00FF70CB">
        <w:rPr>
          <w:rFonts w:ascii="MinionPro-Regular" w:hAnsi="MinionPro-Regular"/>
          <w:color w:val="262727"/>
          <w:sz w:val="18"/>
          <w:szCs w:val="18"/>
        </w:rPr>
        <w:t xml:space="preserve"> activation.</w:t>
      </w:r>
    </w:p>
    <w:sectPr w:rsidR="00255716" w:rsidRPr="002557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BA"/>
    <w:rsid w:val="00123A21"/>
    <w:rsid w:val="00255716"/>
    <w:rsid w:val="00267C91"/>
    <w:rsid w:val="002F58BA"/>
    <w:rsid w:val="00353CE5"/>
    <w:rsid w:val="00606ABB"/>
    <w:rsid w:val="00806C1B"/>
    <w:rsid w:val="00A7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57B9C5"/>
  <w15:chartTrackingRefBased/>
  <w15:docId w15:val="{31304590-7B2C-454F-B103-8241222CC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716"/>
    <w:pPr>
      <w:spacing w:before="120" w:after="240" w:line="240" w:lineRule="auto"/>
    </w:pPr>
    <w:rPr>
      <w:rFonts w:ascii="Times New Roman" w:hAnsi="Times New Roman"/>
      <w:kern w:val="0"/>
      <w:sz w:val="24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F58B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58B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58B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E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58B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s-E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58B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s-E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58B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s-E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58B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s-E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58BA"/>
    <w:pPr>
      <w:keepNext/>
      <w:keepLines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s-E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58BA"/>
    <w:pPr>
      <w:keepNext/>
      <w:keepLines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s-E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5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5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5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58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58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58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58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58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58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F58BA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2F5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F58BA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2F5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F58BA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s-E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2F58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F58BA"/>
    <w:pPr>
      <w:spacing w:before="0" w:after="160" w:line="259" w:lineRule="auto"/>
      <w:ind w:left="720"/>
      <w:contextualSpacing/>
    </w:pPr>
    <w:rPr>
      <w:rFonts w:asciiTheme="minorHAnsi" w:hAnsiTheme="minorHAnsi"/>
      <w:kern w:val="2"/>
      <w:sz w:val="22"/>
      <w:lang w:val="es-E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2F58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5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s-E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58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F58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318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Romero Marin</dc:creator>
  <cp:keywords/>
  <dc:description/>
  <cp:lastModifiedBy>Ruben Romero Marin</cp:lastModifiedBy>
  <cp:revision>6</cp:revision>
  <dcterms:created xsi:type="dcterms:W3CDTF">2025-05-29T09:33:00Z</dcterms:created>
  <dcterms:modified xsi:type="dcterms:W3CDTF">2025-05-29T09:36:00Z</dcterms:modified>
</cp:coreProperties>
</file>