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79012" w14:textId="77777777" w:rsidR="0046270D" w:rsidRDefault="0046270D" w:rsidP="0046270D">
      <w:pPr>
        <w:spacing w:line="480" w:lineRule="auto"/>
        <w:rPr>
          <w:lang w:val="en-US"/>
        </w:rPr>
      </w:pPr>
    </w:p>
    <w:p w14:paraId="3EDEB5B8" w14:textId="77777777" w:rsidR="0046270D" w:rsidRDefault="0046270D" w:rsidP="0046270D">
      <w:pPr>
        <w:spacing w:line="480" w:lineRule="auto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2CEE6DA7" wp14:editId="51F17370">
            <wp:extent cx="5760720" cy="6399530"/>
            <wp:effectExtent l="0" t="0" r="5080" b="1270"/>
            <wp:docPr id="1197885106" name="Grafik 7" descr="Ein Bild, das Diagramm, Zeichnung, Entwurf, Muste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885106" name="Grafik 7" descr="Ein Bild, das Diagramm, Zeichnung, Entwurf, Muster enthält.&#10;&#10;KI-generierte Inhalte können fehlerhaft sein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9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E20A6" w14:textId="77777777" w:rsidR="0046270D" w:rsidRDefault="0046270D" w:rsidP="0046270D">
      <w:pPr>
        <w:spacing w:line="480" w:lineRule="auto"/>
        <w:rPr>
          <w:color w:val="000000" w:themeColor="text1"/>
          <w:lang w:val="en-US"/>
        </w:rPr>
      </w:pPr>
      <w:r w:rsidRPr="004226AB">
        <w:rPr>
          <w:b/>
          <w:bCs/>
          <w:lang w:val="en-US"/>
        </w:rPr>
        <w:t>Supplemental Digital Content 1</w:t>
      </w:r>
      <w:r w:rsidRPr="00444828">
        <w:rPr>
          <w:lang w:val="en-US"/>
        </w:rPr>
        <w:t xml:space="preserve">: Maximum iodine uptake in mg/mL for estrogen receptor status (A), progesterone receptor status (B), HER2 status (c), triple negative versus non-triple negative cancer (D), and all cancer entities (E). </w:t>
      </w:r>
      <w:r>
        <w:rPr>
          <w:color w:val="000000" w:themeColor="text1"/>
          <w:lang w:val="en-US"/>
        </w:rPr>
        <w:t>There was no</w:t>
      </w:r>
      <w:r w:rsidRPr="00444828">
        <w:rPr>
          <w:color w:val="000000" w:themeColor="text1"/>
          <w:lang w:val="en-US"/>
        </w:rPr>
        <w:t xml:space="preserve"> significant difference regarding estrogen or progesterone receptor status</w:t>
      </w:r>
      <w:r>
        <w:rPr>
          <w:color w:val="000000" w:themeColor="text1"/>
          <w:lang w:val="en-US"/>
        </w:rPr>
        <w:t xml:space="preserve"> and HER2 status (p = 0.975/0.424/0.386)</w:t>
      </w:r>
      <w:r w:rsidRPr="00444828">
        <w:rPr>
          <w:color w:val="000000" w:themeColor="text1"/>
          <w:lang w:val="en-US"/>
        </w:rPr>
        <w:t>, between triple negative and all other cancer subtypes (</w:t>
      </w:r>
      <w:r w:rsidRPr="00444828">
        <w:rPr>
          <w:i/>
          <w:iCs/>
          <w:color w:val="000000" w:themeColor="text1"/>
          <w:lang w:val="en-US"/>
        </w:rPr>
        <w:t>p</w:t>
      </w:r>
      <w:r w:rsidRPr="00444828">
        <w:rPr>
          <w:color w:val="000000" w:themeColor="text1"/>
          <w:lang w:val="en-US"/>
        </w:rPr>
        <w:t xml:space="preserve"> = 0.5</w:t>
      </w:r>
      <w:r>
        <w:rPr>
          <w:color w:val="000000" w:themeColor="text1"/>
          <w:lang w:val="en-US"/>
        </w:rPr>
        <w:t>15</w:t>
      </w:r>
      <w:r w:rsidRPr="00444828">
        <w:rPr>
          <w:color w:val="000000" w:themeColor="text1"/>
          <w:lang w:val="en-US"/>
        </w:rPr>
        <w:t xml:space="preserve">), and altogether between all cancer </w:t>
      </w:r>
      <w:r w:rsidRPr="00444828">
        <w:rPr>
          <w:color w:val="000000" w:themeColor="text1"/>
          <w:lang w:val="en-US"/>
        </w:rPr>
        <w:lastRenderedPageBreak/>
        <w:t>subtypes (Luminal A, Luminal B HER2+, Luminal B HER2-, HER2 type and triple negative type) (</w:t>
      </w:r>
      <w:r w:rsidRPr="00444828">
        <w:rPr>
          <w:i/>
          <w:iCs/>
          <w:color w:val="000000" w:themeColor="text1"/>
          <w:lang w:val="en-US"/>
        </w:rPr>
        <w:t>p</w:t>
      </w:r>
      <w:r w:rsidRPr="00444828">
        <w:rPr>
          <w:color w:val="000000" w:themeColor="text1"/>
          <w:lang w:val="en-US"/>
        </w:rPr>
        <w:t xml:space="preserve"> = 0.711</w:t>
      </w:r>
      <w:r>
        <w:rPr>
          <w:color w:val="000000" w:themeColor="text1"/>
          <w:lang w:val="en-US"/>
        </w:rPr>
        <w:t>).</w:t>
      </w:r>
    </w:p>
    <w:p w14:paraId="4A673AC0" w14:textId="77777777" w:rsidR="0046270D" w:rsidRDefault="0046270D" w:rsidP="0046270D">
      <w:pPr>
        <w:spacing w:line="480" w:lineRule="auto"/>
        <w:rPr>
          <w:color w:val="000000" w:themeColor="text1"/>
          <w:lang w:val="en-US"/>
        </w:rPr>
      </w:pPr>
    </w:p>
    <w:p w14:paraId="7545A54D" w14:textId="77777777" w:rsidR="0046270D" w:rsidRDefault="0046270D" w:rsidP="0046270D">
      <w:pPr>
        <w:spacing w:line="480" w:lineRule="auto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  <w14:ligatures w14:val="standardContextual"/>
        </w:rPr>
        <w:drawing>
          <wp:inline distT="0" distB="0" distL="0" distR="0" wp14:anchorId="36E66C60" wp14:editId="40D86CCD">
            <wp:extent cx="5760720" cy="1978660"/>
            <wp:effectExtent l="0" t="0" r="5080" b="2540"/>
            <wp:docPr id="779892024" name="Grafik 8" descr="Ein Bild, das Text, Diagramm, Reihe, parall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892024" name="Grafik 8" descr="Ein Bild, das Text, Diagramm, Reihe, parallel enthält.&#10;&#10;KI-generierte Inhalte können fehlerhaft sein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36034" w14:textId="77777777" w:rsidR="0046270D" w:rsidRPr="00444828" w:rsidRDefault="0046270D" w:rsidP="0046270D">
      <w:pPr>
        <w:spacing w:line="480" w:lineRule="auto"/>
        <w:rPr>
          <w:lang w:val="en-US"/>
        </w:rPr>
      </w:pPr>
      <w:r w:rsidRPr="004226AB">
        <w:rPr>
          <w:b/>
          <w:bCs/>
          <w:lang w:val="en-US"/>
        </w:rPr>
        <w:t>Supplemental Digital Content 2</w:t>
      </w:r>
      <w:r w:rsidRPr="00444828">
        <w:rPr>
          <w:lang w:val="en-US"/>
        </w:rPr>
        <w:t>: Measured maximum (A) and mean (B) iodine uptake in mg/mL shows no significant differences between tumor grade 1, 2, and 3.</w:t>
      </w:r>
    </w:p>
    <w:p w14:paraId="6597225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70D"/>
    <w:rsid w:val="0046270D"/>
    <w:rsid w:val="005C0D39"/>
    <w:rsid w:val="0070406C"/>
    <w:rsid w:val="00724754"/>
    <w:rsid w:val="00C321FA"/>
    <w:rsid w:val="00CA3D2F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1B2B"/>
  <w15:chartTrackingRefBased/>
  <w15:docId w15:val="{F93738BC-83E8-463D-953F-F42E2423C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70D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27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7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7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7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7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7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7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7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7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7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7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7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7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7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7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7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2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7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2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7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27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7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27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7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7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620</Characters>
  <Application>Microsoft Office Word</Application>
  <DocSecurity>0</DocSecurity>
  <Lines>13</Lines>
  <Paragraphs>5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2025-11-13T07:32:00Z</dcterms:created>
  <dcterms:modified xsi:type="dcterms:W3CDTF">2025-11-13T07:32:00Z</dcterms:modified>
</cp:coreProperties>
</file>