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Supplementary material 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Criteria for the admission of children to the Pediatric Intermediate Care Unit: the patient may have one of the listed diagnoses and/or require one of the listed interventions, or both.</w:t>
      </w:r>
    </w:p>
    <w:tbl>
      <w:tblPr>
        <w:tblStyle w:val="Table1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3510"/>
        <w:gridCol w:w="3090"/>
        <w:tblGridChange w:id="0">
          <w:tblGrid>
            <w:gridCol w:w="2520"/>
            <w:gridCol w:w="3510"/>
            <w:gridCol w:w="30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Organ System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Conditions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Interventions</w:t>
            </w:r>
          </w:p>
        </w:tc>
      </w:tr>
      <w:tr>
        <w:trPr>
          <w:cantSplit w:val="0"/>
          <w:trHeight w:val="3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Respiratory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Acute or acute-on-chronic respiratory failure (e.g., asthma, bronchiolitis, croup, tracheitis, pneumonia), apnea workup, impaired airway clearance requiring frequent suctioning, tracheostomized patients with stable home ventilation, pleural drainage.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Continuous cardiorespiratory monitoring, high-flow oxygen therapy (FiO₂ &gt; 40%), noninvasive positive pressure ventilation, , frequent airway suctioning (q2–4h), light-to-moderate sedation, tracheostomy and ventilator management, chest tube management.</w:t>
            </w:r>
          </w:p>
        </w:tc>
      </w:tr>
      <w:tr>
        <w:trPr>
          <w:cantSplit w:val="0"/>
          <w:trHeight w:val="267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Cardiovascular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Non-life-threatening arrhythmias without need for cardioversion; cardiovascular involvement in systemic illness (e.g., SIRS/sepsis/shock).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782198951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Continuous cardiorespiratory monitoring, fluid balance monitoring, frequent laboratory testing (≤ q4h), intravenous antiarrhythmics, intravenous fluids.</w:t>
                </w:r>
              </w:sdtContent>
            </w:sdt>
          </w:p>
        </w:tc>
      </w:tr>
      <w:tr>
        <w:trPr>
          <w:cantSplit w:val="0"/>
          <w:trHeight w:val="198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Neurologic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Non-refractory status epilepticus, seizures requiring IV antiepileptic treatment, CNS infections (e.g., meningitis), severe head trauma, neuromuscular disease requiring respiratory support.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841539303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Continuous cardiorespiratory and neurologic monitoring (≤ q4h), EEG monitoring, continuous CNS-active/sedative drug infusions (light to moderate sedation).</w:t>
                </w:r>
              </w:sdtContent>
            </w:sdt>
          </w:p>
        </w:tc>
      </w:tr>
      <w:tr>
        <w:trPr>
          <w:cantSplit w:val="0"/>
          <w:trHeight w:val="267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Endocrine/Metabolic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Diabetic ketoacidosis requiring IV insulin, moderate-to-severe electrolyte disturbances needing IV correction, metabolic acidosis needing bicarbonate, acute decompensation in congenital metabolic diseases.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583400080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Continuous cardiorespiratory and neurologic monitoring,  continuous IV insulin, disease-specific metabolic therapy, frequent blood sampling (≤ q4h), continuous/frequent cardiorespiratory and neurologic monitoring, fluid balance monitoring.</w:t>
                </w:r>
              </w:sdtContent>
            </w:sdt>
          </w:p>
        </w:tc>
      </w:tr>
      <w:tr>
        <w:trPr>
          <w:cantSplit w:val="0"/>
          <w:trHeight w:val="16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Gastrointestinal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Acute GI bleeding requiring transfusions or IV therapy, acute or chronic liver/pancreatic insufficiency, foreign body requiring endoscopic removal.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455105702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Continuous cardiorespiratory monitoring (≤ q4h), fluid balance monitoring, frequent lab testing (≤ q4h).</w:t>
                </w:r>
              </w:sdtContent>
            </w:sdt>
          </w:p>
        </w:tc>
      </w:tr>
      <w:tr>
        <w:trPr>
          <w:cantSplit w:val="0"/>
          <w:trHeight w:val="258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Hematologic/Oncologic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Severe anemia needing transfusions, sickle cell crises (VOC/ACS), neutropenic/pancytopenic oncology patients.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94845549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Continuous cardiorespiratory monitoring (≤ q4h), fluid balance monitoring, frequent transfusions or blood product infusions, CNS/sedative/analgesic infusions (light to moderate sedation), cytapheresis</w:t>
                </w:r>
              </w:sdtContent>
            </w:sdt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Acute or acute-on-chronic hypertension needing IV therapy without neurologic impairment, nephrotic syndrome with mild hemodynamic compromise, renal failure with metabolic derangement.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658361019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Continuous cardiorespiratory monitoring, IV antihypertensives (bolus or continuous), fluid balance monitoring, frequent blood testing (≤ q4h), intermittent dialysis.</w:t>
                </w:r>
              </w:sdtContent>
            </w:sdt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Multisystem/Other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Acute intoxication with moderate neurologic or respiratory compromise, palliative patients requiring continuous infusions for end-of-life care or anxiety.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Continuous cardiorespiratory and neurologic monitoring, continuous CNS/sedative infusions (light to moderate sedation), tracheostomy and ventilator management.</w:t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Supplementary material 2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NIV Group (underlined text indicates reason for exclusion from the Low-Risk Group).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5.0" w:type="dxa"/>
        <w:jc w:val="left"/>
        <w:tblLayout w:type="fixed"/>
        <w:tblLook w:val="0400"/>
      </w:tblPr>
      <w:tblGrid>
        <w:gridCol w:w="1060"/>
        <w:gridCol w:w="1624"/>
        <w:gridCol w:w="2268"/>
        <w:gridCol w:w="1559"/>
        <w:gridCol w:w="1276"/>
        <w:gridCol w:w="2268"/>
        <w:tblGridChange w:id="0">
          <w:tblGrid>
            <w:gridCol w:w="1060"/>
            <w:gridCol w:w="1624"/>
            <w:gridCol w:w="2268"/>
            <w:gridCol w:w="1559"/>
            <w:gridCol w:w="1276"/>
            <w:gridCol w:w="2268"/>
          </w:tblGrid>
        </w:tblGridChange>
      </w:tblGrid>
      <w:tr>
        <w:trPr>
          <w:cantSplit w:val="0"/>
          <w:trHeight w:val="75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2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e0e0e"/>
                <w:sz w:val="20"/>
                <w:szCs w:val="20"/>
                <w:rtl w:val="0"/>
              </w:rPr>
              <w:t xml:space="preserve">Interfaces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e0e0e"/>
                <w:sz w:val="20"/>
                <w:szCs w:val="20"/>
                <w:rtl w:val="0"/>
              </w:rPr>
              <w:t xml:space="preserve">Sedation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2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e0e0e"/>
                <w:sz w:val="20"/>
                <w:szCs w:val="20"/>
                <w:rtl w:val="0"/>
              </w:rPr>
              <w:t xml:space="preserve">As needed adjunctive sedation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2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e0e0e"/>
                <w:sz w:val="20"/>
                <w:szCs w:val="20"/>
                <w:rtl w:val="0"/>
              </w:rPr>
              <w:t xml:space="preserve">NIV days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2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e0e0e"/>
                <w:sz w:val="20"/>
                <w:szCs w:val="20"/>
                <w:rtl w:val="0"/>
              </w:rPr>
              <w:t xml:space="preserve">Respiratory support at discharge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e0e0e"/>
                <w:sz w:val="20"/>
                <w:szCs w:val="20"/>
                <w:rtl w:val="0"/>
              </w:rPr>
              <w:t xml:space="preserve">Patients who met the criteria for the Low-Risk NIV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mask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3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4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5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e0e0e"/>
                <w:sz w:val="20"/>
                <w:szCs w:val="20"/>
                <w:rtl w:val="0"/>
              </w:rPr>
              <w:t xml:space="preserve">Patients who did not met the criteria for the Low-Risk NIV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6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Morphine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Ketamine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Morphine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7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Morphine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Oro-nasal mask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Ketamine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Ketamine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8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Nasal cannula RAM 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Ketamine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Patient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Full-face mask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Dexmedetomidine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u w:val="single"/>
                <w:rtl w:val="0"/>
              </w:rPr>
              <w:t xml:space="preserve">Ketamine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1.0" w:type="dxa"/>
              <w:left w:w="81.0" w:type="dxa"/>
              <w:bottom w:w="41.0" w:type="dxa"/>
              <w:right w:w="81.0" w:type="dxa"/>
            </w:tcMar>
          </w:tcPr>
          <w:p w:rsidR="00000000" w:rsidDel="00000000" w:rsidP="00000000" w:rsidRDefault="00000000" w:rsidRPr="00000000" w14:paraId="0000009B">
            <w:pPr>
              <w:keepNext w:val="1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sz w:val="20"/>
                <w:szCs w:val="20"/>
                <w:rtl w:val="0"/>
              </w:rPr>
              <w:t xml:space="preserve">None </w:t>
            </w:r>
          </w:p>
        </w:tc>
      </w:tr>
    </w:tbl>
    <w:p w:rsidR="00000000" w:rsidDel="00000000" w:rsidP="00000000" w:rsidRDefault="00000000" w:rsidRPr="00000000" w14:paraId="0000009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e0e0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ungsuh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link w:val="Titolo7Carattere"/>
    <w:uiPriority w:val="9"/>
    <w:semiHidden w:val="1"/>
    <w:unhideWhenUsed w:val="1"/>
    <w:qFormat w:val="1"/>
    <w:rsid w:val="00700A76"/>
    <w:pPr>
      <w:keepNext w:val="1"/>
      <w:keepLines w:val="1"/>
      <w:spacing w:after="0"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 w:val="en-US"/>
    </w:rPr>
  </w:style>
  <w:style w:type="paragraph" w:styleId="Titolo8">
    <w:name w:val="heading 8"/>
    <w:link w:val="Titolo8Carattere"/>
    <w:uiPriority w:val="9"/>
    <w:semiHidden w:val="1"/>
    <w:unhideWhenUsed w:val="1"/>
    <w:qFormat w:val="1"/>
    <w:rsid w:val="00700A76"/>
    <w:pPr>
      <w:keepNext w:val="1"/>
      <w:keepLines w:val="1"/>
      <w:spacing w:after="0"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 w:val="en-US"/>
    </w:rPr>
  </w:style>
  <w:style w:type="paragraph" w:styleId="Titolo9">
    <w:name w:val="heading 9"/>
    <w:link w:val="Titolo9Carattere"/>
    <w:uiPriority w:val="9"/>
    <w:semiHidden w:val="1"/>
    <w:unhideWhenUsed w:val="1"/>
    <w:qFormat w:val="1"/>
    <w:rsid w:val="00700A76"/>
    <w:pPr>
      <w:keepNext w:val="1"/>
      <w:keepLines w:val="1"/>
      <w:spacing w:after="0"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olo1Carattere" w:customStyle="1">
    <w:name w:val="Titolo 1 Carattere"/>
    <w:basedOn w:val="Carpredefinitoparagrafo"/>
    <w:uiPriority w:val="9"/>
    <w:rsid w:val="00700A76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US"/>
    </w:rPr>
  </w:style>
  <w:style w:type="character" w:styleId="Titolo2Carattere" w:customStyle="1">
    <w:name w:val="Titolo 2 Carattere"/>
    <w:basedOn w:val="Carpredefinitoparagrafo"/>
    <w:uiPriority w:val="9"/>
    <w:semiHidden w:val="1"/>
    <w:rsid w:val="00700A76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US"/>
    </w:rPr>
  </w:style>
  <w:style w:type="character" w:styleId="Titolo3Carattere" w:customStyle="1">
    <w:name w:val="Titolo 3 Carattere"/>
    <w:basedOn w:val="Carpredefinitoparagrafo"/>
    <w:uiPriority w:val="9"/>
    <w:semiHidden w:val="1"/>
    <w:rsid w:val="00700A76"/>
    <w:rPr>
      <w:rFonts w:cstheme="majorBidi" w:eastAsiaTheme="majorEastAsia"/>
      <w:color w:val="0f4761" w:themeColor="accent1" w:themeShade="0000BF"/>
      <w:sz w:val="28"/>
      <w:szCs w:val="28"/>
      <w:lang w:val="en-US"/>
    </w:rPr>
  </w:style>
  <w:style w:type="character" w:styleId="Titolo4Carattere" w:customStyle="1">
    <w:name w:val="Titolo 4 Carattere"/>
    <w:basedOn w:val="Carpredefinitoparagrafo"/>
    <w:uiPriority w:val="9"/>
    <w:semiHidden w:val="1"/>
    <w:rsid w:val="00700A76"/>
    <w:rPr>
      <w:rFonts w:cstheme="majorBidi" w:eastAsiaTheme="majorEastAsia"/>
      <w:i w:val="1"/>
      <w:iCs w:val="1"/>
      <w:color w:val="0f4761" w:themeColor="accent1" w:themeShade="0000BF"/>
      <w:lang w:val="en-US"/>
    </w:rPr>
  </w:style>
  <w:style w:type="character" w:styleId="Titolo5Carattere" w:customStyle="1">
    <w:name w:val="Titolo 5 Carattere"/>
    <w:basedOn w:val="Carpredefinitoparagrafo"/>
    <w:uiPriority w:val="9"/>
    <w:semiHidden w:val="1"/>
    <w:rsid w:val="00700A76"/>
    <w:rPr>
      <w:rFonts w:cstheme="majorBidi" w:eastAsiaTheme="majorEastAsia"/>
      <w:color w:val="0f4761" w:themeColor="accent1" w:themeShade="0000BF"/>
      <w:lang w:val="en-US"/>
    </w:rPr>
  </w:style>
  <w:style w:type="character" w:styleId="Titolo6Carattere" w:customStyle="1">
    <w:name w:val="Titolo 6 Carattere"/>
    <w:basedOn w:val="Carpredefinitoparagrafo"/>
    <w:uiPriority w:val="9"/>
    <w:semiHidden w:val="1"/>
    <w:rsid w:val="00700A76"/>
    <w:rPr>
      <w:rFonts w:cstheme="majorBidi" w:eastAsiaTheme="majorEastAsia"/>
      <w:i w:val="1"/>
      <w:iCs w:val="1"/>
      <w:color w:val="595959" w:themeColor="text1" w:themeTint="0000A6"/>
      <w:lang w:val="en-US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700A76"/>
    <w:rPr>
      <w:rFonts w:cstheme="majorBidi" w:eastAsiaTheme="majorEastAsia"/>
      <w:color w:val="595959" w:themeColor="text1" w:themeTint="0000A6"/>
      <w:lang w:val="en-US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700A76"/>
    <w:rPr>
      <w:rFonts w:cstheme="majorBidi" w:eastAsiaTheme="majorEastAsia"/>
      <w:i w:val="1"/>
      <w:iCs w:val="1"/>
      <w:color w:val="272727" w:themeColor="text1" w:themeTint="0000D8"/>
      <w:lang w:val="en-US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700A76"/>
    <w:rPr>
      <w:rFonts w:cstheme="majorBidi" w:eastAsiaTheme="majorEastAsia"/>
      <w:color w:val="272727" w:themeColor="text1" w:themeTint="0000D8"/>
      <w:lang w:val="en-US"/>
    </w:rPr>
  </w:style>
  <w:style w:type="character" w:styleId="TitoloCarattere" w:customStyle="1">
    <w:name w:val="Titolo Carattere"/>
    <w:basedOn w:val="Carpredefinitoparagrafo"/>
    <w:uiPriority w:val="10"/>
    <w:rsid w:val="00700A76"/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character" w:styleId="SottotitoloCarattere" w:customStyle="1">
    <w:name w:val="Sottotitolo Carattere"/>
    <w:basedOn w:val="Carpredefinitoparagrafo"/>
    <w:uiPriority w:val="11"/>
    <w:rsid w:val="00700A76"/>
    <w:rPr>
      <w:rFonts w:cstheme="majorBidi" w:eastAsiaTheme="majorEastAsia"/>
      <w:color w:val="595959" w:themeColor="text1" w:themeTint="0000A6"/>
      <w:spacing w:val="15"/>
      <w:sz w:val="28"/>
      <w:szCs w:val="28"/>
      <w:lang w:val="en-US"/>
    </w:rPr>
  </w:style>
  <w:style w:type="paragraph" w:styleId="Citazione">
    <w:name w:val="Quote"/>
    <w:link w:val="CitazioneCarattere"/>
    <w:uiPriority w:val="29"/>
    <w:qFormat w:val="1"/>
    <w:rsid w:val="00700A76"/>
    <w:pPr>
      <w:spacing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 w:val="en-US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700A76"/>
    <w:rPr>
      <w:i w:val="1"/>
      <w:iCs w:val="1"/>
      <w:color w:val="404040" w:themeColor="text1" w:themeTint="0000BF"/>
      <w:lang w:val="en-US"/>
    </w:rPr>
  </w:style>
  <w:style w:type="paragraph" w:styleId="Paragrafoelenco">
    <w:name w:val="List Paragraph"/>
    <w:uiPriority w:val="34"/>
    <w:qFormat w:val="1"/>
    <w:rsid w:val="00700A76"/>
    <w:pPr>
      <w:spacing w:after="0" w:line="240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 w:val="en-US"/>
    </w:rPr>
  </w:style>
  <w:style w:type="character" w:styleId="Enfasiintensa">
    <w:name w:val="Intense Emphasis"/>
    <w:basedOn w:val="Carpredefinitoparagrafo"/>
    <w:uiPriority w:val="21"/>
    <w:qFormat w:val="1"/>
    <w:rsid w:val="00700A76"/>
    <w:rPr>
      <w:i w:val="1"/>
      <w:iCs w:val="1"/>
      <w:color w:val="0f4761" w:themeColor="accent1" w:themeShade="0000BF"/>
    </w:rPr>
  </w:style>
  <w:style w:type="paragraph" w:styleId="Citazioneintensa">
    <w:name w:val="Intense Quote"/>
    <w:link w:val="CitazioneintensaCarattere"/>
    <w:uiPriority w:val="30"/>
    <w:qFormat w:val="1"/>
    <w:rsid w:val="00700A7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 w:val="en-US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700A76"/>
    <w:rPr>
      <w:i w:val="1"/>
      <w:iCs w:val="1"/>
      <w:color w:val="0f4761" w:themeColor="accent1" w:themeShade="0000BF"/>
      <w:lang w:val="en-US"/>
    </w:rPr>
  </w:style>
  <w:style w:type="character" w:styleId="Riferimentointenso">
    <w:name w:val="Intense Reference"/>
    <w:basedOn w:val="Carpredefinitoparagrafo"/>
    <w:uiPriority w:val="32"/>
    <w:qFormat w:val="1"/>
    <w:rsid w:val="00700A76"/>
    <w:rPr>
      <w:b w:val="1"/>
      <w:bCs w:val="1"/>
      <w:smallCaps w:val="1"/>
      <w:color w:val="0f4761" w:themeColor="accent1" w:themeShade="0000BF"/>
      <w:spacing w:val="5"/>
    </w:rPr>
  </w:style>
  <w:style w:type="paragraph" w:styleId="Pidipagina">
    <w:name w:val="footer"/>
    <w:link w:val="PidipaginaCarattere"/>
    <w:uiPriority w:val="99"/>
    <w:unhideWhenUsed w:val="1"/>
    <w:rsid w:val="00700A7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00A76"/>
    <w:rPr>
      <w:rFonts w:ascii="Aptos" w:cs="Aptos" w:eastAsia="Aptos" w:hAnsi="Aptos"/>
      <w:kern w:val="0"/>
      <w:lang w:eastAsia="it-IT" w:val="en"/>
    </w:rPr>
  </w:style>
  <w:style w:type="paragraph" w:styleId="TableTitle" w:customStyle="1">
    <w:name w:val="TableTitle"/>
    <w:rsid w:val="00700A76"/>
    <w:pPr>
      <w:spacing w:after="0" w:line="300" w:lineRule="exact"/>
    </w:pPr>
    <w:rPr>
      <w:rFonts w:ascii="Times New Roman" w:cs="Times New Roman" w:eastAsia="Times New Roman" w:hAnsi="Times New Roman"/>
      <w:szCs w:val="20"/>
      <w:lang w:eastAsia="en-US" w:val="en-GB"/>
    </w:rPr>
  </w:style>
  <w:style w:type="paragraph" w:styleId="TableNote" w:customStyle="1">
    <w:name w:val="TableNote"/>
    <w:rsid w:val="00700A76"/>
    <w:pPr>
      <w:spacing w:after="0" w:line="300" w:lineRule="exact"/>
    </w:pPr>
    <w:rPr>
      <w:rFonts w:ascii="Times New Roman" w:cs="Times New Roman" w:eastAsia="Times New Roman" w:hAnsi="Times New Roman"/>
      <w:szCs w:val="20"/>
      <w:lang w:eastAsia="en-US" w:val="en-GB"/>
    </w:rPr>
  </w:style>
  <w:style w:type="paragraph" w:styleId="TableHeader" w:customStyle="1">
    <w:name w:val="TableHeader"/>
    <w:rsid w:val="00700A76"/>
    <w:pPr>
      <w:spacing w:after="0" w:before="120" w:line="240" w:lineRule="auto"/>
    </w:pPr>
    <w:rPr>
      <w:rFonts w:ascii="Times New Roman" w:cs="Times New Roman" w:eastAsia="Times New Roman" w:hAnsi="Times New Roman"/>
      <w:b w:val="1"/>
      <w:szCs w:val="20"/>
      <w:lang w:eastAsia="en-US" w:val="en-GB"/>
    </w:rPr>
  </w:style>
  <w:style w:type="paragraph" w:styleId="TableSubHead" w:customStyle="1">
    <w:name w:val="TableSubHead"/>
    <w:basedOn w:val="TableHeader"/>
    <w:rsid w:val="00700A76"/>
  </w:style>
  <w:style w:type="character" w:styleId="Numeropagina">
    <w:name w:val="page number"/>
    <w:basedOn w:val="Carpredefinitoparagrafo"/>
    <w:uiPriority w:val="99"/>
    <w:semiHidden w:val="1"/>
    <w:unhideWhenUsed w:val="1"/>
    <w:rsid w:val="00700A76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1" w:customStyle="1">
    <w:name w:val="p1"/>
    <w:basedOn w:val="Normale"/>
    <w:rsid w:val="00B225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val="it-IT"/>
    </w:rPr>
  </w:style>
  <w:style w:type="character" w:styleId="s1" w:customStyle="1">
    <w:name w:val="s1"/>
    <w:basedOn w:val="Carpredefinitoparagrafo"/>
    <w:rsid w:val="00B22548"/>
  </w:style>
  <w:style w:type="paragraph" w:styleId="Didascalia">
    <w:name w:val="caption"/>
    <w:basedOn w:val="Normale"/>
    <w:next w:val="Normale"/>
    <w:uiPriority w:val="35"/>
    <w:unhideWhenUsed w:val="1"/>
    <w:qFormat w:val="1"/>
    <w:rsid w:val="00B22548"/>
    <w:pPr>
      <w:spacing w:after="200" w:line="240" w:lineRule="auto"/>
    </w:pPr>
    <w:rPr>
      <w:i w:val="1"/>
      <w:iCs w:val="1"/>
      <w:color w:val="0e2841" w:themeColor="text2"/>
      <w:sz w:val="18"/>
      <w:szCs w:val="18"/>
    </w:rPr>
  </w:style>
  <w:style w:type="paragraph" w:styleId="Subtitle">
    <w:name w:val="Subtitle"/>
    <w:basedOn w:val="Normal"/>
    <w:next w:val="Normal"/>
    <w:pPr>
      <w:spacing w:line="24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JMRfhjI9g2xfzFgBA+a+b1vY4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4AHIhMTZSQ3NMUl96cHMxazFQdUFSZzlUYTJpLTh4Nk91MG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2025-09-15T19:05:00Z</dcterms:created>
  <dc:creator>Francesca Benedetti</dc:creator>
</cp:coreProperties>
</file>