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B4985" w14:textId="77777777" w:rsidR="0024404D" w:rsidRPr="0024404D" w:rsidRDefault="0024404D" w:rsidP="0024404D">
      <w:pPr>
        <w:rPr>
          <w:b/>
        </w:rPr>
      </w:pPr>
      <w:r w:rsidRPr="0024404D">
        <w:rPr>
          <w:b/>
        </w:rPr>
        <w:t>Supplemental Table 1.</w:t>
      </w:r>
      <w:r w:rsidRPr="0024404D">
        <w:t xml:space="preserve"> </w:t>
      </w:r>
      <w:r w:rsidRPr="0024404D">
        <w:rPr>
          <w:b/>
        </w:rPr>
        <w:t>Histopathologic scoring criteria</w:t>
      </w:r>
    </w:p>
    <w:tbl>
      <w:tblPr>
        <w:tblStyle w:val="TableGrid"/>
        <w:tblpPr w:leftFromText="180" w:rightFromText="180" w:vertAnchor="text" w:horzAnchor="margin" w:tblpY="49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2"/>
        <w:gridCol w:w="6314"/>
      </w:tblGrid>
      <w:tr w:rsidR="0024404D" w:rsidRPr="0024404D" w14:paraId="67661ABE" w14:textId="77777777">
        <w:tc>
          <w:tcPr>
            <w:tcW w:w="2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2D811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Acute pancreatitis</w:t>
            </w:r>
          </w:p>
        </w:tc>
        <w:tc>
          <w:tcPr>
            <w:tcW w:w="65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BDEE27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</w:p>
        </w:tc>
      </w:tr>
      <w:tr w:rsidR="0024404D" w:rsidRPr="0024404D" w14:paraId="74501FBF" w14:textId="77777777">
        <w:tc>
          <w:tcPr>
            <w:tcW w:w="27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31CDD4A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Edema</w:t>
            </w:r>
          </w:p>
        </w:tc>
        <w:tc>
          <w:tcPr>
            <w:tcW w:w="65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6239CD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</w:p>
        </w:tc>
      </w:tr>
      <w:tr w:rsidR="0024404D" w:rsidRPr="0024404D" w14:paraId="0D0574D9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DEDE0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0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F83491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bookmarkStart w:id="0" w:name="OLE_LINK1"/>
            <w:r w:rsidRPr="0024404D">
              <w:rPr>
                <w:lang w:val="en-US"/>
              </w:rPr>
              <w:t>Absent</w:t>
            </w:r>
            <w:bookmarkEnd w:id="0"/>
            <w:r w:rsidRPr="0024404D">
              <w:rPr>
                <w:lang w:val="en-US"/>
              </w:rPr>
              <w:t xml:space="preserve"> </w:t>
            </w:r>
          </w:p>
        </w:tc>
      </w:tr>
      <w:tr w:rsidR="0024404D" w:rsidRPr="0024404D" w14:paraId="40A05C3E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6057F7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1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1B5BDE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 xml:space="preserve">Expansion of interlobar </w:t>
            </w:r>
            <w:proofErr w:type="spellStart"/>
            <w:r w:rsidRPr="0024404D">
              <w:rPr>
                <w:lang w:val="en-US"/>
              </w:rPr>
              <w:t>septae</w:t>
            </w:r>
            <w:proofErr w:type="spellEnd"/>
          </w:p>
        </w:tc>
      </w:tr>
      <w:tr w:rsidR="0024404D" w:rsidRPr="0024404D" w14:paraId="0F28AF76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F957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2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588AB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 xml:space="preserve">Expansion of interlobular </w:t>
            </w:r>
            <w:proofErr w:type="spellStart"/>
            <w:r w:rsidRPr="0024404D">
              <w:rPr>
                <w:lang w:val="en-US"/>
              </w:rPr>
              <w:t>septae</w:t>
            </w:r>
            <w:proofErr w:type="spellEnd"/>
          </w:p>
        </w:tc>
      </w:tr>
      <w:tr w:rsidR="0024404D" w:rsidRPr="0024404D" w14:paraId="2CCB250A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0033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3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7E1B7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 xml:space="preserve">Expansion of </w:t>
            </w:r>
            <w:proofErr w:type="spellStart"/>
            <w:r w:rsidRPr="0024404D">
              <w:rPr>
                <w:lang w:val="en-US"/>
              </w:rPr>
              <w:t>interacinar</w:t>
            </w:r>
            <w:proofErr w:type="spellEnd"/>
            <w:r w:rsidRPr="0024404D">
              <w:rPr>
                <w:lang w:val="en-US"/>
              </w:rPr>
              <w:t xml:space="preserve"> </w:t>
            </w:r>
            <w:proofErr w:type="spellStart"/>
            <w:r w:rsidRPr="0024404D">
              <w:rPr>
                <w:lang w:val="en-US"/>
              </w:rPr>
              <w:t>septae</w:t>
            </w:r>
            <w:proofErr w:type="spellEnd"/>
          </w:p>
        </w:tc>
      </w:tr>
      <w:tr w:rsidR="0024404D" w:rsidRPr="0024404D" w14:paraId="1FBDC157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58B858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4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A4B4ED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 xml:space="preserve">Expansion of intercellular </w:t>
            </w:r>
            <w:proofErr w:type="spellStart"/>
            <w:r w:rsidRPr="0024404D">
              <w:rPr>
                <w:lang w:val="en-US"/>
              </w:rPr>
              <w:t>septae</w:t>
            </w:r>
            <w:proofErr w:type="spellEnd"/>
          </w:p>
        </w:tc>
      </w:tr>
      <w:tr w:rsidR="0024404D" w:rsidRPr="0024404D" w14:paraId="32D303AB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EE6E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Inflammatory cell infiltrate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</w:tcPr>
          <w:p w14:paraId="49DCB330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</w:p>
        </w:tc>
      </w:tr>
      <w:tr w:rsidR="0024404D" w:rsidRPr="0024404D" w14:paraId="1BF7F773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4078AE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0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62A8F1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bookmarkStart w:id="1" w:name="OLE_LINK3"/>
            <w:bookmarkStart w:id="2" w:name="OLE_LINK2"/>
            <w:r w:rsidRPr="0024404D">
              <w:rPr>
                <w:lang w:val="en-US"/>
              </w:rPr>
              <w:t>Absent</w:t>
            </w:r>
            <w:bookmarkEnd w:id="1"/>
            <w:bookmarkEnd w:id="2"/>
          </w:p>
        </w:tc>
      </w:tr>
      <w:tr w:rsidR="0024404D" w:rsidRPr="0024404D" w14:paraId="735E230F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DCBEB6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1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D0DFB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In ducts (around ductal margins)</w:t>
            </w:r>
          </w:p>
        </w:tc>
      </w:tr>
      <w:tr w:rsidR="0024404D" w:rsidRPr="0024404D" w14:paraId="4EEB8895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3DE39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2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12093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In the parenchyma (&lt;</w:t>
            </w:r>
            <w:r w:rsidRPr="0024404D">
              <w:rPr>
                <w:rFonts w:ascii="Arial" w:hAnsi="Arial" w:cs="Arial"/>
                <w:lang w:val="en-US"/>
              </w:rPr>
              <w:t> </w:t>
            </w:r>
            <w:r w:rsidRPr="0024404D">
              <w:rPr>
                <w:lang w:val="en-US"/>
              </w:rPr>
              <w:t>33% of the lobules)</w:t>
            </w:r>
          </w:p>
        </w:tc>
      </w:tr>
      <w:tr w:rsidR="0024404D" w:rsidRPr="0024404D" w14:paraId="0F0FE5AF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E3AC86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3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E55D8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In the parenchyma (&gt;</w:t>
            </w:r>
            <w:r w:rsidRPr="0024404D">
              <w:rPr>
                <w:rFonts w:ascii="Arial" w:hAnsi="Arial" w:cs="Arial"/>
                <w:lang w:val="en-US"/>
              </w:rPr>
              <w:t> </w:t>
            </w:r>
            <w:r w:rsidRPr="0024404D">
              <w:rPr>
                <w:lang w:val="en-US"/>
              </w:rPr>
              <w:t>33% and &lt;67% of the lobules)</w:t>
            </w:r>
          </w:p>
        </w:tc>
      </w:tr>
      <w:tr w:rsidR="0024404D" w:rsidRPr="0024404D" w14:paraId="64FC966F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EB3679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4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5C03C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In the parenchyma (&gt;</w:t>
            </w:r>
            <w:r w:rsidRPr="0024404D">
              <w:rPr>
                <w:rFonts w:ascii="Arial" w:hAnsi="Arial" w:cs="Arial"/>
                <w:lang w:val="en-US"/>
              </w:rPr>
              <w:t> </w:t>
            </w:r>
            <w:r w:rsidRPr="0024404D">
              <w:rPr>
                <w:lang w:val="en-US"/>
              </w:rPr>
              <w:t>67% of the lobules)</w:t>
            </w:r>
          </w:p>
        </w:tc>
      </w:tr>
      <w:tr w:rsidR="0024404D" w:rsidRPr="0024404D" w14:paraId="1027868B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241BF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Acinar cell death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</w:tcPr>
          <w:p w14:paraId="0951549B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</w:p>
        </w:tc>
      </w:tr>
      <w:tr w:rsidR="0024404D" w:rsidRPr="0024404D" w14:paraId="3E1544B1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139DE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0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5DC67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Absent</w:t>
            </w:r>
          </w:p>
        </w:tc>
      </w:tr>
      <w:tr w:rsidR="0024404D" w:rsidRPr="0024404D" w14:paraId="43015FA9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F91C02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1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44D2B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Focal acinar cell death (&lt;</w:t>
            </w:r>
            <w:r w:rsidRPr="0024404D">
              <w:rPr>
                <w:rFonts w:ascii="Arial" w:hAnsi="Arial" w:cs="Arial"/>
                <w:lang w:val="en-US"/>
              </w:rPr>
              <w:t> </w:t>
            </w:r>
            <w:r w:rsidRPr="0024404D">
              <w:rPr>
                <w:lang w:val="en-US"/>
              </w:rPr>
              <w:t>5%)</w:t>
            </w:r>
          </w:p>
        </w:tc>
      </w:tr>
      <w:tr w:rsidR="0024404D" w:rsidRPr="0024404D" w14:paraId="21B44F4B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BFA5BF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2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65194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Focal acinar cell death (5–20%)</w:t>
            </w:r>
          </w:p>
        </w:tc>
      </w:tr>
      <w:tr w:rsidR="0024404D" w:rsidRPr="0024404D" w14:paraId="6F1995A6" w14:textId="77777777"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2B063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3</w:t>
            </w:r>
          </w:p>
        </w:tc>
        <w:tc>
          <w:tcPr>
            <w:tcW w:w="65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58C07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Diffuse acinar cell death (20–50%)</w:t>
            </w:r>
          </w:p>
        </w:tc>
      </w:tr>
      <w:tr w:rsidR="0024404D" w:rsidRPr="0024404D" w14:paraId="6F8F8638" w14:textId="77777777">
        <w:tc>
          <w:tcPr>
            <w:tcW w:w="27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8EE87B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4</w:t>
            </w:r>
          </w:p>
          <w:p w14:paraId="5C79952B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Hemorrhage</w:t>
            </w:r>
          </w:p>
          <w:p w14:paraId="3F5C6E55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0</w:t>
            </w:r>
          </w:p>
          <w:p w14:paraId="5801994E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1</w:t>
            </w:r>
          </w:p>
          <w:p w14:paraId="50632ACA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</w:p>
          <w:p w14:paraId="076D5EFA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2</w:t>
            </w:r>
          </w:p>
          <w:p w14:paraId="09E15D43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3</w:t>
            </w:r>
          </w:p>
          <w:p w14:paraId="25C38EE9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</w:p>
          <w:p w14:paraId="5A4E43A1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  <w:r w:rsidRPr="0024404D">
              <w:rPr>
                <w:b/>
                <w:lang w:val="en-US"/>
              </w:rPr>
              <w:t>4</w:t>
            </w:r>
          </w:p>
          <w:p w14:paraId="0785602B" w14:textId="77777777" w:rsidR="0024404D" w:rsidRPr="0024404D" w:rsidRDefault="0024404D" w:rsidP="0024404D">
            <w:pPr>
              <w:spacing w:after="160" w:line="278" w:lineRule="auto"/>
              <w:rPr>
                <w:b/>
                <w:lang w:val="en-US"/>
              </w:rPr>
            </w:pPr>
          </w:p>
        </w:tc>
        <w:tc>
          <w:tcPr>
            <w:tcW w:w="65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C6FB95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lastRenderedPageBreak/>
              <w:t>Diffuse acinar cell death (&gt;50%)</w:t>
            </w:r>
          </w:p>
          <w:p w14:paraId="46AE522E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</w:p>
          <w:p w14:paraId="28937A64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None</w:t>
            </w:r>
          </w:p>
          <w:p w14:paraId="3CCB1356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Scattered extravasated RBCs without focal hemorrhagic foci (&lt;</w:t>
            </w:r>
            <w:r w:rsidRPr="0024404D">
              <w:rPr>
                <w:rFonts w:ascii="Arial" w:hAnsi="Arial" w:cs="Arial"/>
                <w:lang w:val="en-US"/>
              </w:rPr>
              <w:t> </w:t>
            </w:r>
            <w:r w:rsidRPr="0024404D">
              <w:rPr>
                <w:lang w:val="en-US"/>
              </w:rPr>
              <w:t>5%)</w:t>
            </w:r>
          </w:p>
          <w:p w14:paraId="55B1AF3F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Focal hemorrhage confined to limited regions (5–20%)</w:t>
            </w:r>
          </w:p>
          <w:p w14:paraId="1C9CD809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lastRenderedPageBreak/>
              <w:t>Hemorrhage involving multiple lobules with disruption of lobular architecture (20–50%)</w:t>
            </w:r>
          </w:p>
          <w:p w14:paraId="48188412" w14:textId="77777777" w:rsidR="0024404D" w:rsidRPr="0024404D" w:rsidRDefault="0024404D" w:rsidP="0024404D">
            <w:pPr>
              <w:spacing w:after="160" w:line="278" w:lineRule="auto"/>
              <w:rPr>
                <w:lang w:val="en-US"/>
              </w:rPr>
            </w:pPr>
            <w:r w:rsidRPr="0024404D">
              <w:rPr>
                <w:lang w:val="en-US"/>
              </w:rPr>
              <w:t>Severe hemorrhage with extensive areas of pancreatic tissue affected (&gt;50%)</w:t>
            </w:r>
          </w:p>
        </w:tc>
      </w:tr>
    </w:tbl>
    <w:p w14:paraId="409E42A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04D"/>
    <w:rsid w:val="0024404D"/>
    <w:rsid w:val="00767E38"/>
    <w:rsid w:val="00866F7D"/>
    <w:rsid w:val="00E4070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DBCA"/>
  <w15:chartTrackingRefBased/>
  <w15:docId w15:val="{7696971F-FBF3-41FC-BE02-070F100D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4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0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0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0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0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0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0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0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0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0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4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0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4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0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4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0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40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0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0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04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40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2026-03-06T07:41:00Z</dcterms:created>
  <dcterms:modified xsi:type="dcterms:W3CDTF">2026-03-06T07:41:00Z</dcterms:modified>
</cp:coreProperties>
</file>