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6D05D3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OLE_LINK167"/>
      <w:bookmarkStart w:id="1" w:name="OLE_LINK168"/>
      <w:r>
        <w:rPr>
          <w:rFonts w:ascii="Arial" w:hAnsi="Arial" w:cs="Arial"/>
          <w:b/>
          <w:sz w:val="28"/>
          <w:szCs w:val="28"/>
        </w:rPr>
        <w:t>Supplementary Online Content</w:t>
      </w:r>
    </w:p>
    <w:p w14:paraId="0278B9F2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Self-Assessment Questionnaires</w:t>
      </w:r>
    </w:p>
    <w:p w14:paraId="6C82251F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Cs/>
          <w:sz w:val="24"/>
          <w:szCs w:val="24"/>
        </w:rPr>
        <w:t>Eye Habits of Participants During One-Year Follow-Up</w:t>
      </w:r>
    </w:p>
    <w:p w14:paraId="6B310E63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Table S3</w:t>
      </w:r>
      <w:r>
        <w:rPr>
          <w:rFonts w:ascii="Arial" w:hAnsi="Arial" w:cs="Arial"/>
          <w:bCs/>
          <w:sz w:val="24"/>
          <w:szCs w:val="24"/>
        </w:rPr>
        <w:t xml:space="preserve"> Subgroup Analysis in Adjusted Changes of AL and Cycloplegic SER Based on Ages and Daily Lens-Wearing Time </w:t>
      </w:r>
    </w:p>
    <w:p w14:paraId="6CBD32FF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Adaptation and Visual Quality at Baseline and the 1-Month Visit</w:t>
      </w:r>
    </w:p>
    <w:p w14:paraId="315A4E2F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Illustration of the Aberration-Enhanced Dual-Surface Lens</w:t>
      </w:r>
    </w:p>
    <w:p w14:paraId="70762A20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>The Sagittal Height Map of the Posterior Surface</w:t>
      </w:r>
    </w:p>
    <w:p w14:paraId="003B11A7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The Modulation Transfer Function of the Aberration-Enhanced Dual-Surface Lens and the Single-Surface Lens with Microlens Arrays</w:t>
      </w:r>
    </w:p>
    <w:p w14:paraId="7520E93D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t>Proportion of Participants with Different Degrees of AL Elongation (A) and SER Change (B) at the 12-Month Visit</w:t>
      </w:r>
    </w:p>
    <w:p w14:paraId="0AA0C47F">
      <w:pPr>
        <w:pStyle w:val="15"/>
        <w:numPr>
          <w:ilvl w:val="0"/>
          <w:numId w:val="1"/>
        </w:numPr>
        <w:spacing w:line="480" w:lineRule="auto"/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5 </w:t>
      </w:r>
      <w:r>
        <w:rPr>
          <w:rFonts w:ascii="Arial" w:hAnsi="Arial" w:cs="Arial"/>
          <w:sz w:val="24"/>
          <w:szCs w:val="24"/>
        </w:rPr>
        <w:t>Relationship between the Changes in Cycloplegic SER and AL</w:t>
      </w:r>
    </w:p>
    <w:p w14:paraId="27C5DD6D">
      <w:pPr>
        <w:spacing w:line="480" w:lineRule="auto"/>
        <w:jc w:val="left"/>
        <w:rPr>
          <w:rFonts w:hint="eastAsia" w:ascii="Arial" w:hAnsi="Arial" w:cs="Arial"/>
          <w:sz w:val="24"/>
          <w:szCs w:val="24"/>
        </w:rPr>
      </w:pPr>
    </w:p>
    <w:p w14:paraId="549EFD40">
      <w:pPr>
        <w:jc w:val="left"/>
        <w:rPr>
          <w:rFonts w:ascii="Arial" w:hAnsi="Arial" w:cs="Arial"/>
          <w:b w:val="0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1 </w:t>
      </w:r>
      <w:bookmarkEnd w:id="0"/>
      <w:bookmarkEnd w:id="1"/>
      <w:r>
        <w:rPr>
          <w:rFonts w:ascii="Arial" w:hAnsi="Arial" w:cs="Arial"/>
          <w:b w:val="0"/>
          <w:bCs/>
          <w:sz w:val="24"/>
          <w:szCs w:val="24"/>
        </w:rPr>
        <w:t>Self-A</w:t>
      </w:r>
      <w:r>
        <w:rPr>
          <w:rFonts w:hint="eastAsia" w:ascii="Arial" w:hAnsi="Arial" w:cs="Arial"/>
          <w:b w:val="0"/>
          <w:bCs/>
          <w:sz w:val="24"/>
          <w:szCs w:val="24"/>
        </w:rPr>
        <w:t>ssessment</w:t>
      </w:r>
      <w:r>
        <w:rPr>
          <w:rFonts w:ascii="Arial" w:hAnsi="Arial" w:cs="Arial"/>
          <w:b w:val="0"/>
          <w:bCs/>
          <w:sz w:val="24"/>
          <w:szCs w:val="24"/>
        </w:rPr>
        <w:t xml:space="preserve"> Questionnaires</w:t>
      </w:r>
    </w:p>
    <w:tbl>
      <w:tblPr>
        <w:tblStyle w:val="6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9"/>
      </w:tblGrid>
      <w:tr w14:paraId="2B329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</w:trPr>
        <w:tc>
          <w:tcPr>
            <w:tcW w:w="8359" w:type="dxa"/>
          </w:tcPr>
          <w:p w14:paraId="7266542B">
            <w:pPr>
              <w:rPr>
                <w:rFonts w:ascii="Arial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kern w:val="0"/>
                <w:sz w:val="24"/>
                <w:szCs w:val="24"/>
              </w:rPr>
              <w:t>Questionnaire about lens-wearing time</w:t>
            </w:r>
          </w:p>
          <w:p w14:paraId="5AB7E03E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How many hours do you wear your spectacle</w:t>
            </w:r>
            <w:bookmarkStart w:id="2" w:name="OLE_LINK169"/>
            <w:bookmarkStart w:id="3" w:name="OLE_LINK170"/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lenses</w:t>
            </w:r>
            <w:bookmarkEnd w:id="2"/>
            <w:bookmarkEnd w:id="3"/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every workday (from Monday to Friday)?</w:t>
            </w:r>
          </w:p>
          <w:p w14:paraId="5B2296A5">
            <w:pPr>
              <w:pStyle w:val="15"/>
              <w:ind w:left="360" w:firstLine="0"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58FA15E6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How many hours do you wear your spectacle lenses every day during the weekend (Saturday, Sunday) or holidays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 xml:space="preserve">? </w:t>
            </w:r>
          </w:p>
          <w:p w14:paraId="0D271038">
            <w:pPr>
              <w:pStyle w:val="15"/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2EA5EAE5">
            <w:pPr>
              <w:pStyle w:val="15"/>
              <w:ind w:left="360" w:firstLine="0"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(Please note the special cases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>, e.g.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,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s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>pectacle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s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are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 xml:space="preserve"> broken or forgot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ten)</w:t>
            </w:r>
          </w:p>
          <w:p w14:paraId="2E310FA9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14:paraId="020C3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8359" w:type="dxa"/>
          </w:tcPr>
          <w:p w14:paraId="4DD5AB04">
            <w:pPr>
              <w:rPr>
                <w:rFonts w:ascii="Arial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kern w:val="0"/>
                <w:sz w:val="24"/>
                <w:szCs w:val="24"/>
              </w:rPr>
              <w:t>Questionnaire about daily schedules</w:t>
            </w:r>
          </w:p>
          <w:p w14:paraId="190E8D46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5E4E8195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How </w:t>
            </w:r>
            <w:bookmarkStart w:id="4" w:name="OLE_LINK172"/>
            <w:bookmarkStart w:id="5" w:name="OLE_LINK171"/>
            <w:r>
              <w:rPr>
                <w:rFonts w:ascii="Arial" w:hAnsi="Arial" w:cs="Arial"/>
                <w:kern w:val="0"/>
                <w:sz w:val="24"/>
                <w:szCs w:val="24"/>
              </w:rPr>
              <w:t>much time</w:t>
            </w:r>
            <w:bookmarkEnd w:id="4"/>
            <w:bookmarkEnd w:id="5"/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do you spend outdoors every workday (from Monday to Friday)?</w:t>
            </w:r>
          </w:p>
          <w:p w14:paraId="04CE1217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7098B17A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What time do you go to bed and get up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 xml:space="preserve"> </w:t>
            </w:r>
            <w:bookmarkStart w:id="6" w:name="OLE_LINK1291"/>
            <w:bookmarkStart w:id="7" w:name="OLE_LINK1290"/>
            <w:r>
              <w:rPr>
                <w:rFonts w:ascii="Arial" w:hAnsi="Arial" w:cs="Arial"/>
                <w:kern w:val="0"/>
                <w:sz w:val="24"/>
                <w:szCs w:val="24"/>
              </w:rPr>
              <w:t>every workday (from Monday to Friday)?</w:t>
            </w:r>
            <w:bookmarkEnd w:id="6"/>
            <w:bookmarkEnd w:id="7"/>
          </w:p>
          <w:p w14:paraId="2CDD8D35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4A7EF5B5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How much time do you spend on your electronics every workday (from Monday to Friday)?</w:t>
            </w:r>
          </w:p>
          <w:p w14:paraId="03A4F73A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6AAD10B5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bookmarkStart w:id="8" w:name="OLE_LINK1292"/>
            <w:bookmarkStart w:id="9" w:name="OLE_LINK1293"/>
            <w:r>
              <w:rPr>
                <w:rFonts w:ascii="Arial" w:hAnsi="Arial" w:cs="Arial"/>
                <w:kern w:val="0"/>
                <w:sz w:val="24"/>
                <w:szCs w:val="24"/>
              </w:rPr>
              <w:t>How much time do you spend</w:t>
            </w:r>
            <w:bookmarkEnd w:id="8"/>
            <w:bookmarkEnd w:id="9"/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outdoors 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>eve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r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>y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day during the weekend (Saturday, Sunday) or holidays?</w:t>
            </w:r>
          </w:p>
          <w:p w14:paraId="0C66E924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630AC771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What time do you go to bed and get up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every day during the weekend (Saturday, Sunday) or holidays?</w:t>
            </w:r>
          </w:p>
          <w:p w14:paraId="2F923130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1675D0F0"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How much time do you spend on your electronics every day during the weekend (Saturday, Sunday) or holidays?</w:t>
            </w:r>
          </w:p>
          <w:p w14:paraId="40DD3A24">
            <w:pPr>
              <w:ind w:firstLine="480"/>
              <w:rPr>
                <w:rFonts w:ascii="Arial" w:hAnsi="Arial" w:cs="Arial"/>
                <w:b/>
                <w:kern w:val="0"/>
                <w:sz w:val="24"/>
                <w:szCs w:val="24"/>
              </w:rPr>
            </w:pPr>
          </w:p>
        </w:tc>
      </w:tr>
      <w:tr w14:paraId="5EC45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8359" w:type="dxa"/>
          </w:tcPr>
          <w:p w14:paraId="2AC0391E">
            <w:pPr>
              <w:rPr>
                <w:rFonts w:ascii="Arial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kern w:val="0"/>
                <w:sz w:val="24"/>
                <w:szCs w:val="24"/>
              </w:rPr>
              <w:t>Questionnaire about lens adaptation</w:t>
            </w:r>
          </w:p>
          <w:p w14:paraId="2B5BFF81">
            <w:pPr>
              <w:ind w:firstLine="480"/>
              <w:rPr>
                <w:rFonts w:hint="eastAsia" w:ascii="Arial" w:hAnsi="Arial" w:cs="Arial"/>
                <w:b/>
                <w:kern w:val="0"/>
                <w:sz w:val="24"/>
                <w:szCs w:val="24"/>
              </w:rPr>
            </w:pPr>
          </w:p>
          <w:p w14:paraId="0365CCE9">
            <w:pPr>
              <w:pStyle w:val="15"/>
              <w:numPr>
                <w:ilvl w:val="0"/>
                <w:numId w:val="3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Do you feel uncomfortable wearing your spectacle lenses? (Such as vomiting, dizziness, headache, eye strain, etc.)</w:t>
            </w:r>
          </w:p>
          <w:p w14:paraId="7372C056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0 Very uncomfortable</w:t>
            </w:r>
          </w:p>
          <w:p w14:paraId="14499E34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1 A little uncomfortable</w:t>
            </w:r>
          </w:p>
          <w:p w14:paraId="6746E736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2 Mildly uncomfortable</w:t>
            </w:r>
          </w:p>
          <w:p w14:paraId="2620F6E8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3 </w:t>
            </w:r>
            <w:bookmarkStart w:id="10" w:name="OLE_LINK558"/>
            <w:bookmarkStart w:id="11" w:name="OLE_LINK559"/>
            <w:r>
              <w:rPr>
                <w:rFonts w:ascii="Arial" w:hAnsi="Arial" w:cs="Arial"/>
                <w:kern w:val="0"/>
                <w:sz w:val="24"/>
                <w:szCs w:val="24"/>
              </w:rPr>
              <w:t>Without any discomfort</w:t>
            </w:r>
            <w:bookmarkEnd w:id="10"/>
            <w:bookmarkEnd w:id="11"/>
          </w:p>
          <w:p w14:paraId="59ACF886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</w:p>
          <w:p w14:paraId="5BC70924">
            <w:pPr>
              <w:pStyle w:val="15"/>
              <w:numPr>
                <w:ilvl w:val="0"/>
                <w:numId w:val="3"/>
              </w:numPr>
              <w:ind w:firstLineChars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Do you see both far and near clearly with your spectacle 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>lenses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on?</w:t>
            </w:r>
          </w:p>
          <w:p w14:paraId="7DB68975">
            <w:pPr>
              <w:ind w:firstLine="48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0 very unclear   1 mildly clear   2 A little unclear     3 </w:t>
            </w:r>
            <w:bookmarkStart w:id="12" w:name="OLE_LINK560"/>
            <w:bookmarkStart w:id="13" w:name="OLE_LINK561"/>
            <w:r>
              <w:rPr>
                <w:rFonts w:ascii="Arial" w:hAnsi="Arial" w:cs="Arial"/>
                <w:kern w:val="0"/>
                <w:sz w:val="24"/>
                <w:szCs w:val="24"/>
              </w:rPr>
              <w:t>very clear</w:t>
            </w:r>
            <w:bookmarkEnd w:id="12"/>
            <w:bookmarkEnd w:id="13"/>
          </w:p>
        </w:tc>
      </w:tr>
    </w:tbl>
    <w:p w14:paraId="2D363B4C">
      <w:pPr>
        <w:rPr>
          <w:rFonts w:ascii="Arial" w:hAnsi="Arial" w:cs="Arial"/>
          <w:sz w:val="24"/>
          <w:szCs w:val="24"/>
        </w:rPr>
      </w:pPr>
    </w:p>
    <w:p w14:paraId="148D9633">
      <w:pPr>
        <w:widowControl/>
        <w:jc w:val="left"/>
        <w:rPr>
          <w:rFonts w:ascii="Arial" w:hAnsi="Arial" w:eastAsia="宋体" w:cs="Arial"/>
          <w:b w:val="0"/>
          <w:bCs/>
          <w:color w:val="000000"/>
          <w:kern w:val="0"/>
          <w:sz w:val="24"/>
          <w:szCs w:val="24"/>
          <w:lang w:bidi="ar"/>
        </w:rPr>
      </w:pPr>
      <w:r>
        <w:rPr>
          <w:rFonts w:ascii="Arial" w:hAnsi="Arial" w:cs="Arial"/>
          <w:sz w:val="24"/>
          <w:szCs w:val="24"/>
        </w:rPr>
        <w:br w:type="page"/>
      </w:r>
      <w:bookmarkStart w:id="14" w:name="OLE_LINK1303"/>
      <w:bookmarkStart w:id="15" w:name="OLE_LINK1302"/>
      <w:r>
        <w:rPr>
          <w:rFonts w:hint="eastAsia" w:ascii="Arial" w:hAnsi="Arial" w:cs="Arial"/>
          <w:b/>
          <w:bCs/>
          <w:color w:val="000000"/>
          <w:sz w:val="24"/>
          <w:szCs w:val="24"/>
        </w:rPr>
        <w:t xml:space="preserve"> </w:t>
      </w:r>
      <w:bookmarkEnd w:id="14"/>
      <w:bookmarkEnd w:id="15"/>
      <w:bookmarkStart w:id="16" w:name="OLE_LINK1305"/>
      <w:bookmarkStart w:id="17" w:name="OLE_LINK1304"/>
      <w:bookmarkStart w:id="18" w:name="OLE_LINK1307"/>
      <w:bookmarkStart w:id="19" w:name="OLE_LINK1306"/>
      <w:r>
        <w:rPr>
          <w:rFonts w:ascii="Arial" w:hAnsi="Arial" w:cs="Arial"/>
          <w:b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 w:val="0"/>
          <w:bCs/>
          <w:sz w:val="24"/>
          <w:szCs w:val="24"/>
        </w:rPr>
        <w:t>Eye Habits of Participants During One-</w:t>
      </w:r>
      <w:r>
        <w:rPr>
          <w:rFonts w:hint="eastAsia" w:ascii="Arial" w:hAnsi="Arial" w:cs="Arial"/>
          <w:b w:val="0"/>
          <w:bCs/>
          <w:sz w:val="24"/>
          <w:szCs w:val="24"/>
        </w:rPr>
        <w:t>Year</w:t>
      </w:r>
      <w:r>
        <w:rPr>
          <w:rFonts w:ascii="Arial" w:hAnsi="Arial" w:cs="Arial"/>
          <w:b w:val="0"/>
          <w:bCs/>
          <w:sz w:val="24"/>
          <w:szCs w:val="24"/>
        </w:rPr>
        <w:t xml:space="preserve"> </w:t>
      </w:r>
      <w:r>
        <w:rPr>
          <w:rFonts w:hint="eastAsia" w:ascii="Arial" w:hAnsi="Arial" w:cs="Arial"/>
          <w:b w:val="0"/>
          <w:bCs/>
          <w:sz w:val="24"/>
          <w:szCs w:val="24"/>
        </w:rPr>
        <w:t>Follow-Up</w:t>
      </w:r>
    </w:p>
    <w:bookmarkEnd w:id="16"/>
    <w:bookmarkEnd w:id="17"/>
    <w:bookmarkEnd w:id="18"/>
    <w:bookmarkEnd w:id="19"/>
    <w:tbl>
      <w:tblPr>
        <w:tblStyle w:val="6"/>
        <w:tblW w:w="9214" w:type="dxa"/>
        <w:tblInd w:w="-56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1559"/>
        <w:gridCol w:w="1559"/>
        <w:gridCol w:w="1134"/>
      </w:tblGrid>
      <w:tr w14:paraId="59AF70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4962" w:type="dxa"/>
            <w:tcBorders>
              <w:top w:val="single" w:color="auto" w:sz="4" w:space="0"/>
            </w:tcBorders>
            <w:vAlign w:val="center"/>
          </w:tcPr>
          <w:p w14:paraId="16C7CFDD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tems</w:t>
            </w:r>
          </w:p>
        </w:tc>
        <w:tc>
          <w:tcPr>
            <w:tcW w:w="1559" w:type="dxa"/>
            <w:tcBorders>
              <w:top w:val="single" w:color="auto" w:sz="4" w:space="0"/>
            </w:tcBorders>
            <w:vAlign w:val="center"/>
          </w:tcPr>
          <w:p w14:paraId="0B7EE19B">
            <w:pPr>
              <w:widowControl/>
              <w:jc w:val="left"/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AEDS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group</w:t>
            </w:r>
          </w:p>
          <w:p w14:paraId="6089587B"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(n = 4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6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)</w:t>
            </w:r>
          </w:p>
        </w:tc>
        <w:tc>
          <w:tcPr>
            <w:tcW w:w="1559" w:type="dxa"/>
            <w:tcBorders>
              <w:top w:val="single" w:color="auto" w:sz="4" w:space="0"/>
            </w:tcBorders>
            <w:vAlign w:val="center"/>
          </w:tcPr>
          <w:p w14:paraId="475265B4">
            <w:pPr>
              <w:widowControl/>
              <w:jc w:val="left"/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SV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group</w:t>
            </w:r>
          </w:p>
          <w:p w14:paraId="0A7E00A5"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(n = 46)</w:t>
            </w:r>
          </w:p>
        </w:tc>
        <w:tc>
          <w:tcPr>
            <w:tcW w:w="1134" w:type="dxa"/>
            <w:tcBorders>
              <w:top w:val="single" w:color="auto" w:sz="4" w:space="0"/>
            </w:tcBorders>
            <w:vAlign w:val="center"/>
          </w:tcPr>
          <w:p w14:paraId="47A680FE">
            <w:pPr>
              <w:jc w:val="left"/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 xml:space="preserve">P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value</w:t>
            </w:r>
          </w:p>
        </w:tc>
      </w:tr>
      <w:tr w14:paraId="59238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</w:tcBorders>
          </w:tcPr>
          <w:p w14:paraId="2AB10A12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Average time for outdoor activity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,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bookmarkStart w:id="20" w:name="OLE_LINK182"/>
            <w:bookmarkStart w:id="21" w:name="OLE_LINK181"/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h/day</w:t>
            </w:r>
            <w:bookmarkEnd w:id="20"/>
            <w:bookmarkEnd w:id="21"/>
          </w:p>
        </w:tc>
        <w:tc>
          <w:tcPr>
            <w:tcW w:w="1559" w:type="dxa"/>
            <w:tcBorders>
              <w:top w:val="single" w:color="auto" w:sz="4" w:space="0"/>
            </w:tcBorders>
          </w:tcPr>
          <w:p w14:paraId="64DC2084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1.57 [0.45]</w:t>
            </w:r>
          </w:p>
        </w:tc>
        <w:tc>
          <w:tcPr>
            <w:tcW w:w="1559" w:type="dxa"/>
            <w:tcBorders>
              <w:top w:val="single" w:color="auto" w:sz="4" w:space="0"/>
            </w:tcBorders>
          </w:tcPr>
          <w:p w14:paraId="6BD848D5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1.72 [0.50]</w:t>
            </w:r>
          </w:p>
        </w:tc>
        <w:tc>
          <w:tcPr>
            <w:tcW w:w="1134" w:type="dxa"/>
            <w:tcBorders>
              <w:top w:val="single" w:color="auto" w:sz="4" w:space="0"/>
            </w:tcBorders>
          </w:tcPr>
          <w:p w14:paraId="3682F5FC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.12</w:t>
            </w:r>
          </w:p>
        </w:tc>
      </w:tr>
      <w:tr w14:paraId="477511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449C71D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Average time for sleep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,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 xml:space="preserve"> h/day</w:t>
            </w:r>
          </w:p>
        </w:tc>
        <w:tc>
          <w:tcPr>
            <w:tcW w:w="1559" w:type="dxa"/>
          </w:tcPr>
          <w:p w14:paraId="5D688324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9.64 [0.84]</w:t>
            </w:r>
          </w:p>
        </w:tc>
        <w:tc>
          <w:tcPr>
            <w:tcW w:w="1559" w:type="dxa"/>
          </w:tcPr>
          <w:p w14:paraId="0D7BF398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9.43 [0.51]</w:t>
            </w:r>
          </w:p>
        </w:tc>
        <w:tc>
          <w:tcPr>
            <w:tcW w:w="1134" w:type="dxa"/>
          </w:tcPr>
          <w:p w14:paraId="1F3ECE17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.15</w:t>
            </w:r>
          </w:p>
        </w:tc>
      </w:tr>
      <w:tr w14:paraId="3D8B3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712CA6AC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Average time for using electronics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,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 xml:space="preserve"> h/day</w:t>
            </w:r>
          </w:p>
        </w:tc>
        <w:tc>
          <w:tcPr>
            <w:tcW w:w="1559" w:type="dxa"/>
          </w:tcPr>
          <w:p w14:paraId="59031283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0.44 [0.32]</w:t>
            </w:r>
          </w:p>
        </w:tc>
        <w:tc>
          <w:tcPr>
            <w:tcW w:w="1559" w:type="dxa"/>
          </w:tcPr>
          <w:p w14:paraId="65EA1982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0.55 [0.40]</w:t>
            </w:r>
          </w:p>
        </w:tc>
        <w:tc>
          <w:tcPr>
            <w:tcW w:w="1134" w:type="dxa"/>
          </w:tcPr>
          <w:p w14:paraId="455DE0F0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.14</w:t>
            </w:r>
          </w:p>
        </w:tc>
      </w:tr>
      <w:tr w14:paraId="2936C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bottom w:val="single" w:color="auto" w:sz="4" w:space="0"/>
            </w:tcBorders>
          </w:tcPr>
          <w:p w14:paraId="21B37665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Average time for lens-wearing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>,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  <w:lang w:bidi="ar"/>
              </w:rPr>
              <w:t xml:space="preserve"> h/day</w:t>
            </w:r>
          </w:p>
        </w:tc>
        <w:tc>
          <w:tcPr>
            <w:tcW w:w="1559" w:type="dxa"/>
            <w:tcBorders>
              <w:bottom w:val="single" w:color="auto" w:sz="4" w:space="0"/>
            </w:tcBorders>
          </w:tcPr>
          <w:p w14:paraId="7CD1CEC3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11.09 [1.07]</w:t>
            </w:r>
          </w:p>
        </w:tc>
        <w:tc>
          <w:tcPr>
            <w:tcW w:w="1559" w:type="dxa"/>
            <w:tcBorders>
              <w:bottom w:val="single" w:color="auto" w:sz="4" w:space="0"/>
            </w:tcBorders>
          </w:tcPr>
          <w:p w14:paraId="17F61963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10.97 [1.46]</w:t>
            </w:r>
          </w:p>
        </w:tc>
        <w:tc>
          <w:tcPr>
            <w:tcW w:w="1134" w:type="dxa"/>
            <w:tcBorders>
              <w:bottom w:val="single" w:color="auto" w:sz="4" w:space="0"/>
            </w:tcBorders>
          </w:tcPr>
          <w:p w14:paraId="314E704B">
            <w:pPr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.67</w:t>
            </w:r>
          </w:p>
        </w:tc>
      </w:tr>
      <w:tr w14:paraId="43E49C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4" w:type="dxa"/>
            <w:gridSpan w:val="4"/>
            <w:tcBorders>
              <w:top w:val="single" w:color="auto" w:sz="4" w:space="0"/>
              <w:bottom w:val="nil"/>
            </w:tcBorders>
          </w:tcPr>
          <w:p w14:paraId="0EA313B0">
            <w:pPr>
              <w:snapToGrid w:val="0"/>
              <w:rPr>
                <w:rFonts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>AEDS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 xml:space="preserve"> aberration-enhanced dual-surface; SV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 xml:space="preserve"> single vision; </w:t>
            </w:r>
            <w:r>
              <w:rPr>
                <w:rFonts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 xml:space="preserve">h/day,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hour</w:t>
            </w:r>
            <w:r>
              <w:rPr>
                <w:rFonts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 xml:space="preserve"> per day.</w:t>
            </w:r>
          </w:p>
          <w:p w14:paraId="2CDA0AFF">
            <w:pPr>
              <w:snapToGrid w:val="0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Data are presented as Mean [SD]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.</w:t>
            </w:r>
          </w:p>
        </w:tc>
      </w:tr>
    </w:tbl>
    <w:p w14:paraId="2560488B">
      <w:pPr>
        <w:rPr>
          <w:rFonts w:hint="eastAsia"/>
          <w:sz w:val="24"/>
          <w:szCs w:val="24"/>
        </w:rPr>
      </w:pPr>
    </w:p>
    <w:p w14:paraId="79CBC5D9">
      <w:pPr>
        <w:widowControl/>
        <w:rPr>
          <w:rFonts w:ascii="Arial" w:hAnsi="Arial" w:cs="Arial"/>
          <w:b w:val="0"/>
          <w:bCs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  <w:bookmarkStart w:id="22" w:name="OLE_LINK1318"/>
      <w:bookmarkStart w:id="23" w:name="OLE_LINK1319"/>
      <w:r>
        <w:rPr>
          <w:rFonts w:ascii="Arial" w:hAnsi="Arial" w:cs="Arial"/>
          <w:b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hint="eastAsia" w:ascii="Arial" w:hAnsi="Arial" w:cs="Arial"/>
          <w:b/>
          <w:sz w:val="24"/>
          <w:szCs w:val="24"/>
        </w:rPr>
        <w:t xml:space="preserve"> </w:t>
      </w:r>
      <w:bookmarkStart w:id="24" w:name="OLE_LINK579"/>
      <w:bookmarkStart w:id="25" w:name="OLE_LINK583"/>
      <w:bookmarkStart w:id="26" w:name="OLE_LINK581"/>
      <w:bookmarkStart w:id="27" w:name="OLE_LINK580"/>
      <w:r>
        <w:rPr>
          <w:rFonts w:hint="eastAsia" w:ascii="Arial" w:hAnsi="Arial" w:cs="Arial"/>
          <w:b w:val="0"/>
          <w:bCs/>
          <w:sz w:val="24"/>
          <w:szCs w:val="24"/>
        </w:rPr>
        <w:t xml:space="preserve">Subgroup Analysis </w:t>
      </w:r>
      <w:r>
        <w:rPr>
          <w:rFonts w:ascii="Arial" w:hAnsi="Arial" w:cs="Arial"/>
          <w:b w:val="0"/>
          <w:bCs/>
          <w:sz w:val="24"/>
          <w:szCs w:val="24"/>
        </w:rPr>
        <w:t xml:space="preserve">in </w:t>
      </w:r>
      <w:r>
        <w:rPr>
          <w:rFonts w:hint="eastAsia" w:ascii="Arial" w:hAnsi="Arial" w:cs="Arial"/>
          <w:b w:val="0"/>
          <w:bCs/>
          <w:sz w:val="24"/>
          <w:szCs w:val="24"/>
        </w:rPr>
        <w:t>Adjusted C</w:t>
      </w:r>
      <w:r>
        <w:rPr>
          <w:rFonts w:ascii="Arial" w:hAnsi="Arial" w:cs="Arial"/>
          <w:b w:val="0"/>
          <w:bCs/>
          <w:sz w:val="24"/>
          <w:szCs w:val="24"/>
        </w:rPr>
        <w:t>hanges</w:t>
      </w:r>
      <w:r>
        <w:rPr>
          <w:rFonts w:hint="eastAsia" w:ascii="Arial" w:hAnsi="Arial" w:cs="Arial"/>
          <w:b w:val="0"/>
          <w:bCs/>
          <w:sz w:val="24"/>
          <w:szCs w:val="24"/>
        </w:rPr>
        <w:t xml:space="preserve"> of </w:t>
      </w:r>
      <w:r>
        <w:rPr>
          <w:rFonts w:ascii="Arial" w:hAnsi="Arial" w:cs="Arial"/>
          <w:b w:val="0"/>
          <w:bCs/>
          <w:sz w:val="24"/>
          <w:szCs w:val="24"/>
        </w:rPr>
        <w:t>AL</w:t>
      </w:r>
      <w:r>
        <w:rPr>
          <w:rFonts w:hint="eastAsia" w:ascii="Arial" w:hAnsi="Arial" w:cs="Arial"/>
          <w:b w:val="0"/>
          <w:bCs/>
          <w:sz w:val="24"/>
          <w:szCs w:val="24"/>
        </w:rPr>
        <w:t xml:space="preserve"> </w:t>
      </w:r>
      <w:r>
        <w:rPr>
          <w:rFonts w:ascii="Arial" w:hAnsi="Arial" w:cs="Arial"/>
          <w:b w:val="0"/>
          <w:bCs/>
          <w:sz w:val="24"/>
          <w:szCs w:val="24"/>
        </w:rPr>
        <w:t>and</w:t>
      </w:r>
      <w:r>
        <w:rPr>
          <w:rFonts w:hint="eastAsia" w:ascii="Arial" w:hAnsi="Arial" w:cs="Arial"/>
          <w:b w:val="0"/>
          <w:bCs/>
          <w:sz w:val="24"/>
          <w:szCs w:val="24"/>
        </w:rPr>
        <w:t xml:space="preserve"> C</w:t>
      </w:r>
      <w:r>
        <w:rPr>
          <w:rFonts w:ascii="Arial" w:hAnsi="Arial" w:cs="Arial"/>
          <w:b w:val="0"/>
          <w:bCs/>
          <w:sz w:val="24"/>
          <w:szCs w:val="24"/>
        </w:rPr>
        <w:t>ycloplegic SER</w:t>
      </w:r>
      <w:r>
        <w:rPr>
          <w:rFonts w:hint="eastAsia" w:ascii="Arial" w:hAnsi="Arial" w:cs="Arial"/>
          <w:b w:val="0"/>
          <w:bCs/>
          <w:sz w:val="24"/>
          <w:szCs w:val="24"/>
        </w:rPr>
        <w:t xml:space="preserve"> </w:t>
      </w:r>
      <w:r>
        <w:rPr>
          <w:rFonts w:ascii="Arial" w:hAnsi="Arial" w:cs="Arial"/>
          <w:b w:val="0"/>
          <w:bCs/>
          <w:sz w:val="24"/>
          <w:szCs w:val="24"/>
        </w:rPr>
        <w:t xml:space="preserve">Based on </w:t>
      </w:r>
      <w:r>
        <w:rPr>
          <w:rFonts w:hint="eastAsia" w:ascii="Arial" w:hAnsi="Arial" w:cs="Arial"/>
          <w:b w:val="0"/>
          <w:bCs/>
          <w:sz w:val="24"/>
          <w:szCs w:val="24"/>
        </w:rPr>
        <w:t>A</w:t>
      </w:r>
      <w:r>
        <w:rPr>
          <w:rFonts w:ascii="Arial" w:hAnsi="Arial" w:cs="Arial"/>
          <w:b w:val="0"/>
          <w:bCs/>
          <w:sz w:val="24"/>
          <w:szCs w:val="24"/>
        </w:rPr>
        <w:t xml:space="preserve">ges and </w:t>
      </w:r>
      <w:r>
        <w:rPr>
          <w:rFonts w:hint="eastAsia" w:ascii="Arial" w:hAnsi="Arial" w:cs="Arial"/>
          <w:b w:val="0"/>
          <w:bCs/>
          <w:sz w:val="24"/>
          <w:szCs w:val="24"/>
        </w:rPr>
        <w:t>D</w:t>
      </w:r>
      <w:r>
        <w:rPr>
          <w:rFonts w:ascii="Arial" w:hAnsi="Arial" w:cs="Arial"/>
          <w:b w:val="0"/>
          <w:bCs/>
          <w:sz w:val="24"/>
          <w:szCs w:val="24"/>
        </w:rPr>
        <w:t xml:space="preserve">aily </w:t>
      </w:r>
      <w:r>
        <w:rPr>
          <w:rFonts w:hint="eastAsia" w:ascii="Arial" w:hAnsi="Arial" w:cs="Arial"/>
          <w:b w:val="0"/>
          <w:bCs/>
          <w:sz w:val="24"/>
          <w:szCs w:val="24"/>
        </w:rPr>
        <w:t>Lens</w:t>
      </w:r>
      <w:r>
        <w:rPr>
          <w:rFonts w:ascii="Arial" w:hAnsi="Arial" w:cs="Arial"/>
          <w:b w:val="0"/>
          <w:bCs/>
          <w:sz w:val="24"/>
          <w:szCs w:val="24"/>
        </w:rPr>
        <w:t>-W</w:t>
      </w:r>
      <w:r>
        <w:rPr>
          <w:rFonts w:hint="eastAsia" w:ascii="Arial" w:hAnsi="Arial" w:cs="Arial"/>
          <w:b w:val="0"/>
          <w:bCs/>
          <w:sz w:val="24"/>
          <w:szCs w:val="24"/>
        </w:rPr>
        <w:t>earing Time</w:t>
      </w:r>
      <w:bookmarkEnd w:id="24"/>
      <w:bookmarkEnd w:id="25"/>
      <w:bookmarkEnd w:id="26"/>
      <w:bookmarkEnd w:id="27"/>
    </w:p>
    <w:bookmarkEnd w:id="22"/>
    <w:bookmarkEnd w:id="23"/>
    <w:tbl>
      <w:tblPr>
        <w:tblStyle w:val="6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1843"/>
        <w:gridCol w:w="1706"/>
        <w:gridCol w:w="1554"/>
      </w:tblGrid>
      <w:tr w14:paraId="23A3A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3114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19720F5E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b/>
                <w:color w:val="000000"/>
                <w:kern w:val="0"/>
                <w:sz w:val="24"/>
                <w:szCs w:val="24"/>
              </w:rPr>
              <w:t>Subgroup</w:t>
            </w:r>
          </w:p>
        </w:tc>
        <w:tc>
          <w:tcPr>
            <w:tcW w:w="1843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23054BF">
            <w:pPr>
              <w:jc w:val="left"/>
              <w:rPr>
                <w:rFonts w:ascii="Arial" w:hAnsi="Arial" w:eastAsia="宋体" w:cs="Arial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b/>
                <w:color w:val="000000"/>
                <w:kern w:val="0"/>
                <w:sz w:val="24"/>
                <w:szCs w:val="24"/>
              </w:rPr>
              <w:t>AEDS</w:t>
            </w:r>
            <w:r>
              <w:rPr>
                <w:rFonts w:ascii="Arial" w:hAnsi="Arial" w:eastAsia="宋体" w:cs="Arial"/>
                <w:b/>
                <w:color w:val="000000"/>
                <w:kern w:val="0"/>
                <w:sz w:val="24"/>
                <w:szCs w:val="24"/>
              </w:rPr>
              <w:t xml:space="preserve"> group</w:t>
            </w:r>
          </w:p>
        </w:tc>
        <w:tc>
          <w:tcPr>
            <w:tcW w:w="170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47C4549A">
            <w:pPr>
              <w:jc w:val="left"/>
              <w:rPr>
                <w:rFonts w:ascii="Arial" w:hAnsi="Arial" w:eastAsia="宋体" w:cs="Arial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b/>
                <w:color w:val="000000"/>
                <w:kern w:val="0"/>
                <w:sz w:val="24"/>
                <w:szCs w:val="24"/>
              </w:rPr>
              <w:t>SV</w:t>
            </w:r>
            <w:r>
              <w:rPr>
                <w:rFonts w:ascii="Arial" w:hAnsi="Arial" w:eastAsia="宋体" w:cs="Arial"/>
                <w:b/>
                <w:color w:val="000000"/>
                <w:kern w:val="0"/>
                <w:sz w:val="24"/>
                <w:szCs w:val="24"/>
              </w:rPr>
              <w:t xml:space="preserve"> group</w:t>
            </w:r>
          </w:p>
        </w:tc>
        <w:tc>
          <w:tcPr>
            <w:tcW w:w="1554" w:type="dxa"/>
            <w:tcBorders>
              <w:left w:val="nil"/>
              <w:right w:val="nil"/>
            </w:tcBorders>
            <w:vAlign w:val="center"/>
          </w:tcPr>
          <w:p w14:paraId="430EA383">
            <w:pPr>
              <w:jc w:val="left"/>
              <w:rPr>
                <w:rFonts w:ascii="Arial" w:hAnsi="Arial" w:cs="Arial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24"/>
                <w:szCs w:val="24"/>
              </w:rPr>
              <w:t xml:space="preserve"> value</w:t>
            </w:r>
          </w:p>
        </w:tc>
      </w:tr>
      <w:tr w14:paraId="27C31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54" w:type="dxa"/>
        </w:trPr>
        <w:tc>
          <w:tcPr>
            <w:tcW w:w="666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C9921E2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4"/>
                <w:szCs w:val="24"/>
              </w:rPr>
              <w:t>Change in AL (mm)</w:t>
            </w:r>
          </w:p>
        </w:tc>
      </w:tr>
      <w:tr w14:paraId="01354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54" w:type="dxa"/>
        </w:trPr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B3F57">
            <w:pPr>
              <w:jc w:val="left"/>
              <w:rPr>
                <w:rFonts w:ascii="Arial" w:hAnsi="Arial" w:cs="Arial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Age, years</w:t>
            </w:r>
          </w:p>
        </w:tc>
      </w:tr>
      <w:tr w14:paraId="22C7C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43F61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.0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8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0512A">
            <w:pPr>
              <w:jc w:val="left"/>
              <w:rPr>
                <w:rFonts w:hint="eastAsia" w:eastAsia="等线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</w:t>
            </w:r>
            <w:bookmarkStart w:id="28" w:name="OLE_LINK213"/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  <w:lang w:val="en-US" w:eastAsia="zh-CN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bookmarkEnd w:id="28"/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67254">
            <w:pPr>
              <w:jc w:val="left"/>
              <w:rPr>
                <w:rFonts w:hint="eastAsia" w:eastAsia="等线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155DC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28</w:t>
            </w:r>
          </w:p>
        </w:tc>
      </w:tr>
      <w:tr w14:paraId="1BFAD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4EFA7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8.1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- 12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C1D2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0.1</w:t>
            </w:r>
            <w:bookmarkStart w:id="29" w:name="OLE_LINK214"/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7 ± </w:t>
            </w:r>
            <w:bookmarkEnd w:id="29"/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0.04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A5B33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0.3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8 ± 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623DE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24"/>
                <w:szCs w:val="24"/>
              </w:rPr>
              <w:t>&lt;.001</w:t>
            </w:r>
          </w:p>
        </w:tc>
      </w:tr>
      <w:tr w14:paraId="7EA75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DCABB">
            <w:pPr>
              <w:jc w:val="left"/>
              <w:rPr>
                <w:rFonts w:ascii="Arial" w:hAnsi="Arial" w:cs="Arial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Lens-wearing time, h/day</w:t>
            </w:r>
          </w:p>
        </w:tc>
      </w:tr>
      <w:tr w14:paraId="18AE4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0962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&lt; 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CD811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0.27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0.05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9F611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0.3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9 ± 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398EB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9</w:t>
            </w:r>
          </w:p>
        </w:tc>
      </w:tr>
      <w:tr w14:paraId="6BB5D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43969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≥ 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53AE">
            <w:pPr>
              <w:jc w:val="left"/>
              <w:rPr>
                <w:rFonts w:hint="eastAsia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5E84B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953EF">
            <w:pPr>
              <w:jc w:val="left"/>
              <w:rPr>
                <w:rFonts w:hint="eastAsia" w:eastAsia="等线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24"/>
                <w:szCs w:val="24"/>
              </w:rPr>
              <w:t>.00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</w:tr>
      <w:tr w14:paraId="06A9D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54" w:type="dxa"/>
        </w:trPr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872D0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4"/>
                <w:szCs w:val="24"/>
              </w:rPr>
              <w:t>Change in cycloplegic SER (D)</w:t>
            </w:r>
          </w:p>
        </w:tc>
      </w:tr>
      <w:tr w14:paraId="241E3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C8384">
            <w:pPr>
              <w:jc w:val="left"/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Age, years</w:t>
            </w:r>
          </w:p>
        </w:tc>
      </w:tr>
      <w:tr w14:paraId="54C3F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76193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.0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8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2189">
            <w:pPr>
              <w:jc w:val="left"/>
              <w:rPr>
                <w:rFonts w:hint="eastAsia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36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E7C81">
            <w:pPr>
              <w:jc w:val="left"/>
              <w:rPr>
                <w:rFonts w:hint="default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90BBC">
            <w:pPr>
              <w:jc w:val="left"/>
              <w:rPr>
                <w:rFonts w:hint="eastAsia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</w:p>
        </w:tc>
      </w:tr>
      <w:tr w14:paraId="48C32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FFC48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8.1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- 12</w:t>
            </w:r>
            <w:r>
              <w:rPr>
                <w:rFonts w:hint="eastAsia" w:ascii="Arial" w:hAnsi="Arial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E631A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-0.2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C832F">
            <w:pPr>
              <w:jc w:val="left"/>
              <w:rPr>
                <w:rFonts w:hint="eastAsia" w:eastAsia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-0.6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477C2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.007</w:t>
            </w:r>
          </w:p>
        </w:tc>
      </w:tr>
      <w:tr w14:paraId="24BE1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EBDA5">
            <w:pPr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Lens-wearing time, h/day</w:t>
            </w:r>
          </w:p>
        </w:tc>
      </w:tr>
      <w:tr w14:paraId="15E32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213C0A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&lt; 11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0911D7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-0.4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0.12</w:t>
            </w:r>
          </w:p>
        </w:tc>
        <w:tc>
          <w:tcPr>
            <w:tcW w:w="170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7FE4683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57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34269D7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37</w:t>
            </w:r>
          </w:p>
        </w:tc>
      </w:tr>
      <w:tr w14:paraId="6C406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6EE0889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≥ 11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4CA5898">
            <w:pPr>
              <w:jc w:val="left"/>
              <w:rPr>
                <w:rFonts w:hint="eastAsia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22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7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1B59D7A">
            <w:pPr>
              <w:jc w:val="left"/>
              <w:rPr>
                <w:rFonts w:hint="eastAsia" w:eastAsia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-0.</w:t>
            </w:r>
            <w:r>
              <w:rPr>
                <w:rFonts w:ascii="Arial" w:hAnsi="Arial" w:eastAsia="宋体" w:cs="Arial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 xml:space="preserve"> ± 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0.1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55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6D53433">
            <w:pPr>
              <w:jc w:val="left"/>
              <w:rPr>
                <w:rFonts w:hint="default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4"/>
                <w:szCs w:val="24"/>
                <w:lang w:val="en-US" w:eastAsia="zh-CN"/>
              </w:rPr>
              <w:t>14</w:t>
            </w:r>
          </w:p>
        </w:tc>
      </w:tr>
      <w:tr w14:paraId="3E2A6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6099E99">
            <w:pPr>
              <w:snapToGrid w:val="0"/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>AEDS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 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>aberration-enhanced dual-surface; SV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 xml:space="preserve"> single vision;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AL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>=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axial length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 xml:space="preserve">;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SER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spherical equivalent refraction; D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>=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diopter; h/day, hour per day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>.</w:t>
            </w:r>
          </w:p>
          <w:p w14:paraId="637943C9">
            <w:pPr>
              <w:snapToGrid w:val="0"/>
              <w:jc w:val="left"/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Data are presented as Mean ± S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bidi="ar"/>
              </w:rPr>
              <w:t>E.</w:t>
            </w:r>
          </w:p>
        </w:tc>
      </w:tr>
    </w:tbl>
    <w:p w14:paraId="77C7BDA8">
      <w:pPr>
        <w:rPr>
          <w:sz w:val="24"/>
          <w:szCs w:val="24"/>
        </w:rPr>
      </w:pPr>
    </w:p>
    <w:p w14:paraId="44C3D1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38368B">
      <w:pPr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Table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4 </w:t>
      </w:r>
      <w:r>
        <w:rPr>
          <w:rFonts w:ascii="Arial" w:hAnsi="Arial" w:cs="Arial"/>
          <w:b w:val="0"/>
          <w:bCs w:val="0"/>
          <w:sz w:val="24"/>
          <w:szCs w:val="24"/>
        </w:rPr>
        <w:t>Adaptation and Visual Quality at Baseline and the 1-Month Visit</w:t>
      </w:r>
    </w:p>
    <w:tbl>
      <w:tblPr>
        <w:tblStyle w:val="6"/>
        <w:tblW w:w="822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9"/>
        <w:gridCol w:w="1695"/>
        <w:gridCol w:w="1700"/>
        <w:gridCol w:w="1558"/>
      </w:tblGrid>
      <w:tr w14:paraId="02646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3269" w:type="dxa"/>
            <w:tcBorders>
              <w:top w:val="single" w:color="auto" w:sz="4" w:space="0"/>
            </w:tcBorders>
            <w:vAlign w:val="center"/>
          </w:tcPr>
          <w:p w14:paraId="32914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</w:tcBorders>
            <w:vAlign w:val="center"/>
          </w:tcPr>
          <w:p w14:paraId="6A8C87DB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AEDS group</w:t>
            </w:r>
          </w:p>
        </w:tc>
        <w:tc>
          <w:tcPr>
            <w:tcW w:w="1700" w:type="dxa"/>
            <w:tcBorders>
              <w:top w:val="single" w:color="auto" w:sz="4" w:space="0"/>
            </w:tcBorders>
            <w:vAlign w:val="center"/>
          </w:tcPr>
          <w:p w14:paraId="09CE809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SV group</w:t>
            </w:r>
          </w:p>
        </w:tc>
        <w:tc>
          <w:tcPr>
            <w:tcW w:w="1558" w:type="dxa"/>
            <w:tcBorders>
              <w:top w:val="single" w:color="auto" w:sz="4" w:space="0"/>
            </w:tcBorders>
            <w:vAlign w:val="center"/>
          </w:tcPr>
          <w:p w14:paraId="5226EDA0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P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value</w:t>
            </w:r>
          </w:p>
        </w:tc>
      </w:tr>
      <w:tr w14:paraId="04D72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8222" w:type="dxa"/>
            <w:gridSpan w:val="4"/>
            <w:tcBorders>
              <w:top w:val="single" w:color="auto" w:sz="4" w:space="0"/>
            </w:tcBorders>
            <w:vAlign w:val="center"/>
          </w:tcPr>
          <w:p w14:paraId="685474A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Discomfort while wearing the lenses at dispensing</w:t>
            </w:r>
          </w:p>
        </w:tc>
      </w:tr>
      <w:tr w14:paraId="0A94B0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269" w:type="dxa"/>
            <w:vAlign w:val="center"/>
          </w:tcPr>
          <w:p w14:paraId="4D7A3333">
            <w:pPr>
              <w:ind w:firstLine="360" w:firstLineChars="15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little uncomfortable</w:t>
            </w:r>
          </w:p>
        </w:tc>
        <w:tc>
          <w:tcPr>
            <w:tcW w:w="1695" w:type="dxa"/>
            <w:vAlign w:val="center"/>
          </w:tcPr>
          <w:p w14:paraId="640B1B7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(6)</w:t>
            </w:r>
          </w:p>
        </w:tc>
        <w:tc>
          <w:tcPr>
            <w:tcW w:w="1700" w:type="dxa"/>
            <w:vAlign w:val="center"/>
          </w:tcPr>
          <w:p w14:paraId="1929B2A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(6)</w:t>
            </w:r>
          </w:p>
        </w:tc>
        <w:tc>
          <w:tcPr>
            <w:tcW w:w="1558" w:type="dxa"/>
            <w:vMerge w:val="restart"/>
            <w:vAlign w:val="center"/>
          </w:tcPr>
          <w:p w14:paraId="6FB82F6C">
            <w:pPr>
              <w:jc w:val="left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&gt;</w:t>
            </w:r>
            <w:r>
              <w:rPr>
                <w:rFonts w:hint="eastAsia" w:ascii="Arial" w:hAnsi="Arial" w:cs="Arial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sz w:val="24"/>
                <w:szCs w:val="24"/>
              </w:rPr>
              <w:t>.99</w:t>
            </w:r>
          </w:p>
        </w:tc>
      </w:tr>
      <w:tr w14:paraId="64510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269" w:type="dxa"/>
            <w:vAlign w:val="center"/>
          </w:tcPr>
          <w:p w14:paraId="053EEE4D">
            <w:pPr>
              <w:ind w:firstLine="360" w:firstLineChars="15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Without any discomfort</w:t>
            </w:r>
          </w:p>
        </w:tc>
        <w:tc>
          <w:tcPr>
            <w:tcW w:w="1695" w:type="dxa"/>
            <w:vAlign w:val="center"/>
          </w:tcPr>
          <w:p w14:paraId="5A48C5E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hint="eastAsia"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(9</w:t>
            </w:r>
            <w:r>
              <w:rPr>
                <w:rFonts w:hint="eastAsia"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0" w:type="dxa"/>
            <w:vAlign w:val="center"/>
          </w:tcPr>
          <w:p w14:paraId="34DC34A3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hint="eastAsia"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(9</w:t>
            </w:r>
            <w:r>
              <w:rPr>
                <w:rFonts w:hint="eastAsia"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58" w:type="dxa"/>
            <w:vMerge w:val="continue"/>
          </w:tcPr>
          <w:p w14:paraId="7EDC1A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D702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222" w:type="dxa"/>
            <w:gridSpan w:val="4"/>
            <w:vAlign w:val="center"/>
          </w:tcPr>
          <w:p w14:paraId="13E69533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Discomfort while wearing the lenses at the 1-month visit</w:t>
            </w:r>
          </w:p>
        </w:tc>
      </w:tr>
      <w:tr w14:paraId="7A037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269" w:type="dxa"/>
            <w:vAlign w:val="center"/>
          </w:tcPr>
          <w:p w14:paraId="53AE28C0">
            <w:pPr>
              <w:ind w:firstLine="360" w:firstLineChars="15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little uncomfortable</w:t>
            </w:r>
          </w:p>
        </w:tc>
        <w:tc>
          <w:tcPr>
            <w:tcW w:w="1695" w:type="dxa"/>
            <w:vAlign w:val="center"/>
          </w:tcPr>
          <w:p w14:paraId="5B5E3EA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(4)</w:t>
            </w:r>
          </w:p>
        </w:tc>
        <w:tc>
          <w:tcPr>
            <w:tcW w:w="1700" w:type="dxa"/>
            <w:vAlign w:val="center"/>
          </w:tcPr>
          <w:p w14:paraId="4996F5B2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(0)</w:t>
            </w:r>
          </w:p>
        </w:tc>
        <w:tc>
          <w:tcPr>
            <w:tcW w:w="1558" w:type="dxa"/>
            <w:vMerge w:val="restart"/>
            <w:vAlign w:val="center"/>
          </w:tcPr>
          <w:p w14:paraId="3F5C83C2">
            <w:pPr>
              <w:jc w:val="left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  <w:lang w:val="en-US" w:eastAsia="zh-CN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.50</w:t>
            </w:r>
          </w:p>
        </w:tc>
      </w:tr>
      <w:tr w14:paraId="62D2F1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269" w:type="dxa"/>
            <w:vAlign w:val="center"/>
          </w:tcPr>
          <w:p w14:paraId="7343FEFB">
            <w:pPr>
              <w:ind w:firstLine="360" w:firstLineChars="15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Without any discomfort</w:t>
            </w:r>
          </w:p>
        </w:tc>
        <w:tc>
          <w:tcPr>
            <w:tcW w:w="1695" w:type="dxa"/>
            <w:vAlign w:val="center"/>
          </w:tcPr>
          <w:p w14:paraId="1299C5B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hint="eastAsia"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(96)</w:t>
            </w:r>
          </w:p>
        </w:tc>
        <w:tc>
          <w:tcPr>
            <w:tcW w:w="1700" w:type="dxa"/>
            <w:vAlign w:val="center"/>
          </w:tcPr>
          <w:p w14:paraId="3042D1E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hint="eastAsia"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(100)</w:t>
            </w:r>
          </w:p>
        </w:tc>
        <w:tc>
          <w:tcPr>
            <w:tcW w:w="1558" w:type="dxa"/>
            <w:vMerge w:val="continue"/>
            <w:vAlign w:val="center"/>
          </w:tcPr>
          <w:p w14:paraId="0E7C3FC7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910A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222" w:type="dxa"/>
            <w:gridSpan w:val="4"/>
            <w:vAlign w:val="center"/>
          </w:tcPr>
          <w:p w14:paraId="518B8413">
            <w:pPr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  <w:bookmarkStart w:id="30" w:name="OLE_LINK564"/>
            <w:bookmarkStart w:id="31" w:name="OLE_LINK565"/>
            <w:r>
              <w:rPr>
                <w:rFonts w:ascii="Arial" w:hAnsi="Arial" w:cs="Arial"/>
                <w:sz w:val="24"/>
                <w:szCs w:val="24"/>
              </w:rPr>
              <w:t xml:space="preserve">Clarity of far and near vision 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with </w:t>
            </w:r>
            <w:r>
              <w:rPr>
                <w:rFonts w:hint="eastAsia" w:ascii="Arial" w:hAnsi="Arial" w:cs="Arial"/>
                <w:kern w:val="0"/>
                <w:sz w:val="24"/>
                <w:szCs w:val="24"/>
              </w:rPr>
              <w:t>lenses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at the 1-month visit</w:t>
            </w:r>
            <w:bookmarkEnd w:id="30"/>
            <w:bookmarkEnd w:id="31"/>
          </w:p>
        </w:tc>
      </w:tr>
      <w:tr w14:paraId="02A32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269" w:type="dxa"/>
            <w:tcBorders>
              <w:bottom w:val="single" w:color="auto" w:sz="4" w:space="0"/>
            </w:tcBorders>
            <w:vAlign w:val="center"/>
          </w:tcPr>
          <w:p w14:paraId="1E7582BF">
            <w:pPr>
              <w:ind w:firstLine="360" w:firstLineChars="15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</w:rPr>
              <w:t>Very clear</w:t>
            </w:r>
          </w:p>
        </w:tc>
        <w:tc>
          <w:tcPr>
            <w:tcW w:w="1695" w:type="dxa"/>
            <w:tcBorders>
              <w:bottom w:val="single" w:color="auto" w:sz="4" w:space="0"/>
            </w:tcBorders>
            <w:vAlign w:val="center"/>
          </w:tcPr>
          <w:p w14:paraId="1D259D6D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hint="eastAsia"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(100)</w:t>
            </w:r>
          </w:p>
        </w:tc>
        <w:tc>
          <w:tcPr>
            <w:tcW w:w="1700" w:type="dxa"/>
            <w:tcBorders>
              <w:bottom w:val="single" w:color="auto" w:sz="4" w:space="0"/>
            </w:tcBorders>
            <w:vAlign w:val="center"/>
          </w:tcPr>
          <w:p w14:paraId="47150F6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hint="eastAsia"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(100)</w:t>
            </w:r>
          </w:p>
        </w:tc>
        <w:tc>
          <w:tcPr>
            <w:tcW w:w="1558" w:type="dxa"/>
            <w:tcBorders>
              <w:bottom w:val="single" w:color="auto" w:sz="4" w:space="0"/>
            </w:tcBorders>
            <w:vAlign w:val="center"/>
          </w:tcPr>
          <w:p w14:paraId="0DFBB93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 xml:space="preserve">&gt; </w:t>
            </w:r>
            <w:r>
              <w:rPr>
                <w:rFonts w:hint="eastAsia" w:ascii="Arial" w:hAnsi="Arial" w:cs="Arial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sz w:val="24"/>
                <w:szCs w:val="24"/>
              </w:rPr>
              <w:t>.99</w:t>
            </w:r>
          </w:p>
        </w:tc>
      </w:tr>
      <w:tr w14:paraId="74854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222" w:type="dxa"/>
            <w:gridSpan w:val="4"/>
            <w:tcBorders>
              <w:top w:val="single" w:color="auto" w:sz="4" w:space="0"/>
              <w:bottom w:val="nil"/>
            </w:tcBorders>
            <w:vAlign w:val="center"/>
          </w:tcPr>
          <w:p w14:paraId="480F6BED">
            <w:pP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AEDS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aberration-enhanced dual-surface; SV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/>
              </w:rPr>
              <w:t xml:space="preserve"> =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 single vision.</w:t>
            </w: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Data are presented as number (%).</w:t>
            </w:r>
          </w:p>
        </w:tc>
      </w:tr>
    </w:tbl>
    <w:p w14:paraId="38FCAD08">
      <w:pPr>
        <w:rPr>
          <w:sz w:val="24"/>
          <w:szCs w:val="24"/>
        </w:rPr>
      </w:pPr>
    </w:p>
    <w:p w14:paraId="5086D629">
      <w:pPr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hint="eastAsia" w:ascii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igure </w:t>
      </w:r>
      <w:r>
        <w:rPr>
          <w:rFonts w:hint="eastAsia" w:ascii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1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Illustration of the Aberration-Enhanced Dual-Surface Lens</w:t>
      </w:r>
    </w:p>
    <w:p w14:paraId="5FD2BCF5">
      <w:pPr>
        <w:jc w:val="center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0" distR="0">
            <wp:extent cx="5262880" cy="2551430"/>
            <wp:effectExtent l="0" t="0" r="0" b="0"/>
            <wp:docPr id="12" name="图片 1" descr="83b37b051c5dc422d830bbadfb207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83b37b051c5dc422d830bbadfb2070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995">
      <w:pPr>
        <w:rPr>
          <w:rFonts w:ascii="Arial" w:hAnsi="Arial" w:cs="Arial"/>
          <w:color w:val="000000"/>
          <w:sz w:val="24"/>
          <w:szCs w:val="24"/>
        </w:rPr>
      </w:pPr>
      <w:bookmarkStart w:id="32" w:name="OLE_LINK1246"/>
      <w:bookmarkStart w:id="33" w:name="OLE_LINK1247"/>
      <w:bookmarkStart w:id="34" w:name="OLE_LINK1267"/>
      <w:bookmarkStart w:id="35" w:name="OLE_LINK1266"/>
      <w:bookmarkStart w:id="36" w:name="OLE_LINK1268"/>
      <w:r>
        <w:rPr>
          <w:rFonts w:ascii="Arial" w:hAnsi="Arial" w:cs="Arial"/>
          <w:color w:val="000000"/>
          <w:sz w:val="24"/>
          <w:szCs w:val="24"/>
        </w:rPr>
        <w:t xml:space="preserve">The front surface of the lens is presented on the left side of the </w:t>
      </w:r>
      <w:r>
        <w:rPr>
          <w:rFonts w:hint="eastAsia" w:ascii="Arial" w:hAnsi="Arial" w:cs="Arial"/>
          <w:color w:val="000000"/>
          <w:sz w:val="24"/>
          <w:szCs w:val="24"/>
        </w:rPr>
        <w:t>figure</w:t>
      </w:r>
      <w:r>
        <w:rPr>
          <w:rFonts w:ascii="Arial" w:hAnsi="Arial" w:cs="Arial"/>
          <w:color w:val="000000"/>
          <w:sz w:val="24"/>
          <w:szCs w:val="24"/>
        </w:rPr>
        <w:t>.</w:t>
      </w:r>
      <w:bookmarkEnd w:id="32"/>
      <w:bookmarkEnd w:id="33"/>
      <w:r>
        <w:rPr>
          <w:rFonts w:ascii="Arial" w:hAnsi="Arial" w:cs="Arial"/>
          <w:color w:val="000000"/>
          <w:sz w:val="24"/>
          <w:szCs w:val="24"/>
        </w:rPr>
        <w:t xml:space="preserve"> The eleven purple circles represent the concentric microlens array and the different shades of purple represent different refractive powers of lenslets (+5.00 D in the 3 inner rings, +5.50 D in the 4 intermedi</w:t>
      </w:r>
      <w:r>
        <w:rPr>
          <w:rFonts w:hint="eastAsia" w:ascii="Arial" w:hAnsi="Arial" w:cs="Arial"/>
          <w:color w:val="000000"/>
          <w:sz w:val="24"/>
          <w:szCs w:val="24"/>
        </w:rPr>
        <w:t>ate</w:t>
      </w:r>
      <w:r>
        <w:rPr>
          <w:rFonts w:ascii="Arial" w:hAnsi="Arial" w:cs="Arial"/>
          <w:color w:val="000000"/>
          <w:sz w:val="24"/>
          <w:szCs w:val="24"/>
        </w:rPr>
        <w:t xml:space="preserve"> rings, and </w:t>
      </w:r>
      <w:bookmarkStart w:id="37" w:name="OLE_LINK334"/>
      <w:bookmarkStart w:id="38" w:name="OLE_LINK335"/>
      <w:r>
        <w:rPr>
          <w:rFonts w:ascii="Arial" w:hAnsi="Arial" w:cs="Arial"/>
          <w:color w:val="000000"/>
          <w:sz w:val="24"/>
          <w:szCs w:val="24"/>
        </w:rPr>
        <w:t>+6.00 D in the 4 outer ring</w:t>
      </w:r>
      <w:bookmarkEnd w:id="37"/>
      <w:bookmarkEnd w:id="38"/>
      <w:r>
        <w:rPr>
          <w:rFonts w:ascii="Arial" w:hAnsi="Arial" w:cs="Arial"/>
          <w:color w:val="000000"/>
          <w:sz w:val="24"/>
          <w:szCs w:val="24"/>
        </w:rPr>
        <w:t>s).</w:t>
      </w:r>
      <w:bookmarkStart w:id="39" w:name="OLE_LINK1270"/>
      <w:bookmarkStart w:id="40" w:name="OLE_LINK1269"/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Start w:id="41" w:name="OLE_LINK1264"/>
      <w:bookmarkStart w:id="42" w:name="OLE_LINK1265"/>
      <w:r>
        <w:rPr>
          <w:rFonts w:ascii="Arial" w:hAnsi="Arial" w:cs="Arial"/>
          <w:color w:val="000000"/>
          <w:sz w:val="24"/>
          <w:szCs w:val="24"/>
        </w:rPr>
        <w:t xml:space="preserve">The radius of the outermost ring is 57.39 mm. </w:t>
      </w:r>
      <w:bookmarkStart w:id="43" w:name="OLE_LINK297"/>
      <w:r>
        <w:rPr>
          <w:rFonts w:ascii="Arial" w:hAnsi="Arial" w:cs="Arial"/>
          <w:color w:val="000000"/>
          <w:sz w:val="24"/>
          <w:szCs w:val="24"/>
        </w:rPr>
        <w:t xml:space="preserve">The purple lines depict the optical path if the light solely transmits through the front surface </w:t>
      </w:r>
      <w:bookmarkEnd w:id="43"/>
      <w:r>
        <w:rPr>
          <w:rFonts w:ascii="Arial" w:hAnsi="Arial" w:cs="Arial"/>
          <w:color w:val="000000"/>
          <w:sz w:val="24"/>
          <w:szCs w:val="24"/>
        </w:rPr>
        <w:t xml:space="preserve">of the lens, generating myopic defocus signals in front of the peripheral retina. The green lines represent light </w:t>
      </w:r>
      <w:bookmarkStart w:id="44" w:name="OLE_LINK1275"/>
      <w:bookmarkStart w:id="45" w:name="OLE_LINK1276"/>
      <w:r>
        <w:rPr>
          <w:rFonts w:ascii="Arial" w:hAnsi="Arial" w:cs="Arial"/>
          <w:color w:val="000000"/>
          <w:sz w:val="24"/>
          <w:szCs w:val="24"/>
        </w:rPr>
        <w:t xml:space="preserve">transmitted </w:t>
      </w:r>
      <w:bookmarkEnd w:id="44"/>
      <w:bookmarkEnd w:id="45"/>
      <w:r>
        <w:rPr>
          <w:rFonts w:ascii="Arial" w:hAnsi="Arial" w:cs="Arial"/>
          <w:color w:val="000000"/>
          <w:sz w:val="24"/>
          <w:szCs w:val="24"/>
        </w:rPr>
        <w:t>through the central optic zone (8 mm), forming a clear image on the retina.</w:t>
      </w:r>
      <w:bookmarkEnd w:id="39"/>
      <w:bookmarkEnd w:id="40"/>
      <w:bookmarkEnd w:id="41"/>
      <w:bookmarkEnd w:id="42"/>
      <w:r>
        <w:rPr>
          <w:rFonts w:hint="eastAsia"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 the side profile illustration of the lens, the posterior surface is depicted in red</w:t>
      </w:r>
      <w:r>
        <w:rPr>
          <w:rFonts w:hint="eastAsia" w:ascii="Arial" w:hAnsi="Arial" w:cs="Arial"/>
          <w:color w:val="000000"/>
          <w:sz w:val="24"/>
          <w:szCs w:val="24"/>
        </w:rPr>
        <w:t>. It</w:t>
      </w:r>
      <w:r>
        <w:rPr>
          <w:rFonts w:ascii="Arial" w:hAnsi="Arial" w:cs="Arial"/>
          <w:color w:val="000000"/>
          <w:sz w:val="24"/>
          <w:szCs w:val="24"/>
        </w:rPr>
        <w:t xml:space="preserve"> features a radial refractive gradient in the peripheral region, which enhances the ocular aberration.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The formula represents the </w:t>
      </w:r>
      <w:bookmarkStart w:id="46" w:name="OLE_LINK1251"/>
      <w:bookmarkStart w:id="47" w:name="OLE_LINK1250"/>
      <w:r>
        <w:rPr>
          <w:rFonts w:ascii="Arial" w:hAnsi="Arial" w:cs="Arial"/>
          <w:color w:val="000000"/>
          <w:sz w:val="24"/>
          <w:szCs w:val="24"/>
        </w:rPr>
        <w:t>Zernike polynomial</w:t>
      </w:r>
      <w:bookmarkEnd w:id="46"/>
      <w:bookmarkEnd w:id="47"/>
      <w:r>
        <w:rPr>
          <w:rFonts w:ascii="Arial" w:hAnsi="Arial" w:cs="Arial"/>
          <w:color w:val="000000"/>
          <w:sz w:val="24"/>
          <w:szCs w:val="24"/>
        </w:rPr>
        <w:t xml:space="preserve"> of aberration-enhanced modulation of the posterior surface, where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z w:val="24"/>
          <w:szCs w:val="24"/>
        </w:rPr>
        <w:t xml:space="preserve"> is the vector height,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 is the vertex curvature,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represents the radial distance from the optical axis,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represents the conical coefficient of the surface,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</w:t>
      </w:r>
      <w:r>
        <w:rPr>
          <w:rFonts w:ascii="Arial" w:hAnsi="Arial" w:cs="Arial"/>
          <w:color w:val="000000"/>
          <w:sz w:val="24"/>
          <w:szCs w:val="24"/>
        </w:rPr>
        <w:t xml:space="preserve"> is</w:t>
      </w:r>
      <w:bookmarkStart w:id="48" w:name="OLE_LINK1252"/>
      <w:bookmarkStart w:id="49" w:name="OLE_LINK1253"/>
      <w:r>
        <w:rPr>
          <w:rFonts w:ascii="Arial" w:hAnsi="Arial" w:cs="Arial"/>
          <w:color w:val="000000"/>
          <w:sz w:val="24"/>
          <w:szCs w:val="24"/>
        </w:rPr>
        <w:t xml:space="preserve"> the number of Zernick coefficients in the series</w:t>
      </w:r>
      <w:bookmarkEnd w:id="48"/>
      <w:bookmarkEnd w:id="49"/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is the coefficient of the Zernick polynomial,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ρ</w:t>
      </w:r>
      <w:r>
        <w:rPr>
          <w:rFonts w:ascii="Arial" w:hAnsi="Arial" w:cs="Arial"/>
          <w:color w:val="000000"/>
          <w:sz w:val="24"/>
          <w:szCs w:val="24"/>
        </w:rPr>
        <w:t xml:space="preserve"> is the normalized radial ray coordinate,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φ</w:t>
      </w:r>
      <w:r>
        <w:rPr>
          <w:rFonts w:ascii="Arial" w:hAnsi="Arial" w:cs="Arial"/>
          <w:color w:val="000000"/>
          <w:sz w:val="24"/>
          <w:szCs w:val="24"/>
        </w:rPr>
        <w:t xml:space="preserve"> is the angular ray coordinate. Below the formula are </w:t>
      </w:r>
      <w:r>
        <w:rPr>
          <w:rFonts w:hint="eastAsia" w:ascii="Arial" w:hAnsi="Arial" w:cs="Arial"/>
          <w:color w:val="000000"/>
          <w:sz w:val="24"/>
          <w:szCs w:val="24"/>
        </w:rPr>
        <w:t>some</w:t>
      </w:r>
      <w:r>
        <w:rPr>
          <w:rFonts w:ascii="Arial" w:hAnsi="Arial" w:cs="Arial"/>
          <w:color w:val="000000"/>
          <w:sz w:val="24"/>
          <w:szCs w:val="24"/>
        </w:rPr>
        <w:t xml:space="preserve"> types of aberrations that are enhanced by the modulation effect of the posterior surface (e.g., spherical aberrations, 0° and 45° secondary astigmatism).</w:t>
      </w:r>
    </w:p>
    <w:p w14:paraId="6EB8C627">
      <w:pPr>
        <w:rPr>
          <w:rFonts w:ascii="Arial" w:hAnsi="Arial" w:cs="Arial"/>
          <w:color w:val="000000"/>
          <w:sz w:val="24"/>
          <w:szCs w:val="24"/>
        </w:rPr>
      </w:pPr>
    </w:p>
    <w:p w14:paraId="4196BBE1">
      <w:pPr>
        <w:rPr>
          <w:rFonts w:ascii="Arial" w:hAnsi="Arial" w:eastAsia="宋体" w:cs="Arial"/>
          <w:color w:val="000000"/>
          <w:sz w:val="24"/>
          <w:szCs w:val="24"/>
        </w:rPr>
      </w:pPr>
      <w:r>
        <w:rPr>
          <w:rFonts w:ascii="Arial" w:hAnsi="Arial" w:eastAsia="宋体" w:cs="Arial"/>
          <w:color w:val="000000"/>
          <w:sz w:val="24"/>
          <w:szCs w:val="24"/>
        </w:rPr>
        <w:t>Below is the Zernike polynomial corresponding to a selected instance of the posterior surface:</w:t>
      </w:r>
    </w:p>
    <w:p w14:paraId="4EB28E5D">
      <w:pPr>
        <w:spacing w:line="48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>
          <v:shape id="_x0000_i1025" o:spt="75" type="#_x0000_t75" style="height:72pt;width:316.05pt;" filled="f" o:preferrelative="t" stroked="f" coordsize="21600,21600" equationxml="&lt;?xml version=&quot;1.0&quot; encoding=&quot;UTF-8&quot; standalone=&quot;yes&quot;?&gt;&#13;&#13;&#13;&#13;&#10;&lt;?mso-application progid=&quot;Word.Document&quot;?&gt;&#13;&#13;&#13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90&quot;/&gt;&lt;w:characterSpacingControl w:val=&quot;CompressPunctuation&quot;/&gt;&lt;w:documentProtection w:enforcement=&quot;off&quot;/&gt;&lt;w:doNotEmbedSystemFonts/&gt;&lt;w:defaultTabStop w:val=&quot;420&quot;/&gt;&lt;w:drawingGridVerticalSpacing w:val=&quot;156&quot;/&gt;&lt;w:displayHorizontalDrawingGridEvery w:val=&quot;1&quot;/&gt;&lt;w:displayVerticalDrawingGridEvery w:val=&quot;1&quot;/&gt;&lt;w:compat&gt;&lt;w:adjustLineHeightInTable/&gt;&lt;w:ulTrailSpace/&gt;&lt;w:doNotExpandShiftReturn/&gt;&lt;w:balanceSingleByteDoubleByteWidth/&gt;&lt;w:useFELayout/&gt;&lt;w:spaceForUL/&gt;&lt;w:breakWrappedTables/&gt;&lt;w:dontGrowAutofit/&gt;&lt;w:useFELayout/&gt;&lt;/w:compat&gt;&lt;/w:docPr&gt;&lt;w:body&gt;&lt;wx:sect&gt;&lt;w:p&gt;&lt;m:oMathPara&gt;&lt;m:oMath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z=&lt;/m:t&gt;&lt;/m:r&gt;&lt;m:f&gt;&lt;m:fP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fPr&gt;&lt;m:num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c&lt;/m:t&gt;&lt;/m:r&gt;&lt;m:sSup&gt;&lt;m:sSupP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pPr&gt;&lt;m:e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r&lt;/m:t&gt;&lt;/m: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p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2&lt;/m:t&gt;&lt;/m: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p&gt;&lt;/m:sSup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num&gt;&lt;m:den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1+&lt;/m:t&gt;&lt;/m:r&gt;&lt;m:rad&gt;&lt;m:radPr&gt;&lt;m:degHide m:val=&quot;1&quot;/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radPr&gt;&lt;m:deg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deg&gt;&lt;m:e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1(1+k)&lt;/m:t&gt;&lt;/m:r&gt;&lt;m:sSup&gt;&lt;m:sSupPr&gt;&lt;m:ctrlPr&gt;&lt;w:rPr&gt;&lt;w:rFonts w:ascii=&quot;Cambria Math&quot; w:h-ansi=&quot;Cambria Math&quot; w:cs=&quot;Cambria Math&quot; w:hint=&quot;default&quot;/&gt;&lt;w:b w:val=&quot;off&quot;/&gt;&lt;w:i w:val=&quot;off&quot;/&gt;&lt;w:kelanrn w:val=&quot;2&quot;/&gt;&lt;w:sz w:val=&quot;24&quot;/&gt;&lt;w:sz-cs w:val=&quot;24&quot;/&gt;&lt;w:lang w:val=&quot;EN-US&quot; w:fareast=&quot;ZH-CN&quot; w:bidi=&quot;AR-SA&quot;/&gt;&lt;/w:rPr&gt;&lt;/m:ctrlPr&gt;&lt;/m:sSupPr&gt;&lt;m:e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c&lt;/m:t&gt;&lt;/m: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p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2&lt;/m:t&gt;&lt;/m: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p&gt;&lt;/m:sSup&gt;&lt;m:sSup&gt;&lt;m:sSupP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pPr&gt;&lt;m:e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r&lt;/m:t&gt;&lt;/m: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p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2&lt;/m:t&gt;&lt;/m:r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p&gt;&lt;/m:sSup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/m:rad&gt;&lt;m:ctrlPr&gt;&lt;w:rPr&gt;&lt;w:rFonts w:ascii=&quot;Cambria Math&quot; w:h-ansi=&quot;Cambria Math&quot; w:cs=&quot;Cambria Math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den&gt;&lt;/m:f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+2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bidi=&quot;AR-SA&quot;/&gt;&lt;/w:rPr&gt;&lt;m:t&gt;ü&lt;/m:t&gt;&lt;/m:r&gt;&lt;m:r&gt;&lt;m:rPr&gt;&lt;m:sty m:val=&quot;p&quot;/&gt;&lt;m:scr m:val=&quot;rmn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(2.3993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1.0182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H-C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2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605&lt;/m:t&gt;&lt;/m:r&gt;&lt;m:sSub&gt;&lt;m:sSubPr&gt;&lt;m:ctrlPr&gt;&lt;w:rPr&gt;&lt;w:rFonts w:ascii=&quot;Cambria Math&quot; w:h-ansi=&quot;Cambria Math&quot; w:cs=&quot;Times New Roman&quot; w:hint=&quot;default&quot;/&gt;&lt;w:b w:val=&quot;off&quot;/&gt;z-c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3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h-ansi=&quot;Cambria Math&quot; w:cs=&quot;Cambria Math&quot; w:hint=&quot;fareast&quot;/&gt;&lt;w:kern w:val=&quot;2&quot;/&gt;&lt;w:sz w:val=&quot;24&quot;/&gt;&lt;w:sz-cs w:val=&quot;24&quot;/&gt;&lt;w:lang w:val=&quot;EN-US&quot; w:fareast=&quot;ZH-CN&quot; w:bidi=&quot;AR-SA&quot;/&gt;&lt;/w:rPr&gt;&lt;m:t&gt;+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2.4179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4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2798&lt;/m:t&gt;&lt;/m:r&gt;&lt;m:sSub&gt;&lt;m:sSubPr&gt;&lt;m:ctrlPr&gt;sci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5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062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&lt;m: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6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2999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=&quot;E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7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170&lt;/m:t&gt;&lt;/m:r&gt;&lt;m:sSub&gt;&lt;m:sSubPr&gt;&lt;m:ctrlPr&gt;&lt;w:rPr&gt;&lt;w:rFonts w:ascii=&quot;Cambria Math&quot; w:h-ansi=&quot;Cambria Math&quot; w:cs=&quot;Times New Roman&quot; w:hint=&quot;defaultw:s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8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h-ansi=&quot;Cambria Math&quot; w:cs=&quot;Cambria Math&quot; w:hint=&quot;fareast&quot;/&gt;&lt;w:kern w:val=&quot;2&quot;/&gt;&lt;w:sz w:val=&quot;24&quot;/&gt;&lt;w:sz-cs w:val=&quot;24&quot;/&gt;&lt;w:lang w:val=&quot;EN-US&quot; w:fareast=&quot;ZH-CN&quot; w:bidi=&quot;AR-SA&quot;/&gt;&lt;/w:rPr&gt;&lt;m:t&gt;+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268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9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h-ansi=&quot;Cambria Math&quot; w:cs=&quot;Cambria Math&quot; w:hint=&quot;fareast&quot;/&gt;&lt;w:kern w:val=&quot;2&quot;/&gt;&lt;w:sz w:val=&quot;24&quot;/&gt;&lt;w:sz-cs w:val=&quot;24&quot;/&gt;&lt;w:lang w:val=&quot;EN-US&quot; w:fareast=&quot;ZH-CN&quot; w:bidi=&quot;AR-SA&quot;/&gt;&lt;/w:rPr&gt;&lt;m:t&gt;+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1145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0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h-ansi=&quot;Cambria Math&quot; w:cs=&quot;Cambria Math&quot; w:hint=&quot;fareast&quot;/&gt;&lt;w:kern w:val=&quot;2&quot;/&gt;&lt;w:sz w:val=&quot;24&quot;/&gt;&lt;w:sz-cs w:val=&quot;24&quot;/&gt;&lt;w:lang w:val=&quot;EN-US&quot; w:fareast=&quot;ZH-CN&quot; w:bidi=&quot;AR-SA&quot;/&gt;&lt;/w:rPr&gt;&lt;m:t&gt;+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245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1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332&lt;/m:t&gt;&lt;/m:r&gt;&lt;m:sSub&gt;&lt;m:sSubPr&gt;&lt;m:ctrlPr&gt;&lt;w:rPr&gt;&lt;w:rFonts w:ascii=&quot;Cambria Math&quot; w:h-ansi=&quot;Cambria Math&quot; w:cs=&quot;Times New Roman&quot; wn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2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098&lt;/m:t&gt;&lt;/m:r&gt;&lt;m:sSub&gt;&lt;m:sSubPr&gt;&lt;m:ctrlPr&gt;&lt;w:rPr&gt;&lt;w:rFonts w:ascii=&quot;Cambria Maa M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3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h-ansi=&quot;Cambria Math&quot; w:cs=&quot;Cambria Math&quot; w:hint=&quot;fareast&quot;/&gt;&lt;w:kern w:val=&quot;2&quot;/&gt;&lt;w:sz w:val=&quot;24&quot;/&gt;&lt;w:sz-cs w:val=&quot;24&quot;/&gt;&lt;w:lang w:val=&quot;EN-US&quot; w:fareast=&quot;ZH-CN&quot; w:bidi=&quot;AR-SA&quot;/&gt;&lt;/w:rPr&gt;&lt;m:t&gt;+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626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4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h-ansi=&quot;Cambria Math&quot; w:cs=&quot;Cambria Math&quot; w:hint=&quot;fareast&quot;/&gt;&lt;w:kern w:val=&quot;2&quot;/&gt;&lt;w:sz w:val=&quot;24&quot;/&gt;&lt;w:sz-cs w:val=&quot;24&quot;/&gt;&lt;w:lang w:val=&quot;EN-US&quot; w:fareast=&quot;ZH-CN&quot; w:bidi=&quot;AR-SA&quot;/&gt;&lt;/w:rPr&gt;&lt;m:t&gt;+&lt;/m:t&gt;&lt;/m:r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0.0027&lt;/m:t&gt;&lt;/m:r&gt;&lt;m:sSub&gt;&lt;m:sSubP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SubPr&gt;&lt;m:e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Z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e&gt;&lt;m:sub&gt;&lt;m:r&gt;&lt;m:rPr&gt;&lt;m:sty m:val=&quot;p&quot;/&gt;&lt;m:scr m:val=&quot;roman&quot;/&gt;&lt;/m:rPr&gt;&lt;w:rPr&gt;&lt;w:rFonts w:ascii=&quot;Cambria Math&quot; w:h-ansi=&quot;Cambria Math&quot; w:cs=&quot;Times New Roman&quot; w:hint=&quot;default&quot;/&gt;&lt;w:kern w:val=&quot;2&quot;/&gt;&lt;w:sz w:val=&quot;24&quot;/&gt;&lt;w:sz-cs w:val=&quot;24&quot;/&gt;&lt;w:lang w:val=&quot;EN-US&quot; w:fareast=&quot;ZH-CN&quot; w:bidi=&quot;AR-SA&quot;/&gt;&lt;/w:rPr&gt;&lt;m:t&gt;15&lt;/m:t&gt;&lt;/m:r&gt;&lt;m:ctrlPr&gt;&lt;w:rPr&gt;&lt;w:rFonts w:ascii=&quot;Cambria Math&quot; w:h-ansi=&quot;Cambria Math&quot; w:cs=&quot;Times New Roman&quot; w:hint=&quot;default&quot;/&gt;&lt;w:b w:val=&quot;off&quot;/&gt;&lt;w:i w:val=&quot;off&quot;/&gt;&lt;w:kern w:val=&quot;2&quot;/&gt;&lt;w:sz w:val=&quot;24&quot;/&gt;&lt;w:sz-cs w:val=&quot;24&quot;/&gt;&lt;w:lang w:val=&quot;EN-US&quot; w:fareast=&quot;ZH-CN&quot; w:bidi=&quot;AR-SA&quot;/&gt;&lt;/w:rPr&gt;&lt;/m:ctrlPr&gt;&lt;/m:sub&gt;&lt;/m:sSub&gt;&lt;m:r&gt;&lt;m:rPr&gt;&lt;m:sty m:val=&quot;p&quot;/&gt;&lt;m:scr m:val=&quot;roman&quot;/&gt;&lt;/m:rPr&gt;&lt;w:rPr&gt;&lt;w:rFonts w:ascii=&quot;Cambria Math&quot; w:h-ansi=&quot;Cambria Math&quot; w:cs=&quot;Cambria Math&quot; w:hint=&quot;default&quot;/&gt;&lt;w:kern w:val=&quot;2&quot;/&gt;&lt;w:sz w:val=&quot;24&quot;/&gt;&lt;w:sz-cs w:val=&quot;24&quot;/&gt;&lt;w:lang w:val=&quot;EN-US&quot; w:fareast=&quot;ZH-CN&quot; w:bidi=&quot;AR-SA&quot;/&gt;&lt;/w:rPr&gt;&lt;m:t&gt;)&lt;/m:t&gt;&lt;/m:r&gt;&lt;/m:oMath&gt;&lt;/m:oMathPara&gt;&lt;/w:p&gt;&lt;/wx:sect&gt;&lt;/w:body&gt;&lt;/w:wordDocumen">
            <v:path/>
            <v:fill on="f" focussize="0,0"/>
            <v:stroke on="f" joinstyle="miter"/>
            <v:imagedata r:id="rId7" o:title=""/>
            <o:lock v:ext="edit" aspectratio="f"/>
            <w10:wrap type="none"/>
            <w10:anchorlock/>
          </v:shape>
        </w:pict>
      </w:r>
    </w:p>
    <w:p w14:paraId="330C67A5">
      <w:pPr>
        <w:rPr>
          <w:rFonts w:ascii="Arial" w:hAnsi="Arial" w:cs="Arial"/>
          <w:color w:val="000000"/>
          <w:sz w:val="24"/>
          <w:szCs w:val="24"/>
        </w:rPr>
      </w:pPr>
    </w:p>
    <w:bookmarkEnd w:id="34"/>
    <w:bookmarkEnd w:id="35"/>
    <w:bookmarkEnd w:id="36"/>
    <w:p w14:paraId="7DF0E0F5">
      <w:pPr>
        <w:pStyle w:val="16"/>
        <w:ind w:firstLine="0" w:firstLineChars="0"/>
        <w:rPr>
          <w:rFonts w:hAnsi="Cambria Math" w:cs="Cambria Math"/>
          <w:b w:val="0"/>
          <w:bCs w:val="0"/>
          <w:sz w:val="24"/>
          <w:szCs w:val="24"/>
        </w:rPr>
      </w:pPr>
      <w:r>
        <w:rPr>
          <w:rFonts w:hAnsi="Cambria Math" w:cs="Cambria Math"/>
          <w:color w:val="000000"/>
          <w:sz w:val="24"/>
          <w:szCs w:val="24"/>
        </w:rPr>
        <w:br w:type="page"/>
      </w:r>
      <w:r>
        <w:rPr>
          <w:rFonts w:ascii="Arial" w:hAnsi="Arial" w:eastAsia="宋体" w:cs="Arial"/>
          <w:b/>
          <w:bCs/>
          <w:color w:val="000000"/>
          <w:sz w:val="24"/>
          <w:szCs w:val="24"/>
        </w:rPr>
        <w:t xml:space="preserve">Figure </w:t>
      </w:r>
      <w:r>
        <w:rPr>
          <w:rFonts w:hint="eastAsia" w:ascii="Arial" w:hAnsi="Arial" w:eastAsia="宋体" w:cs="Arial"/>
          <w:b/>
          <w:bCs/>
          <w:color w:val="000000"/>
          <w:sz w:val="24"/>
          <w:szCs w:val="24"/>
        </w:rPr>
        <w:t>S</w:t>
      </w:r>
      <w:r>
        <w:rPr>
          <w:rFonts w:ascii="Arial" w:hAnsi="Arial" w:eastAsia="宋体" w:cs="Arial"/>
          <w:b/>
          <w:bCs/>
          <w:color w:val="000000"/>
          <w:sz w:val="24"/>
          <w:szCs w:val="24"/>
        </w:rPr>
        <w:t>2</w:t>
      </w:r>
      <w:r>
        <w:rPr>
          <w:rFonts w:ascii="Arial" w:hAnsi="Arial" w:eastAsia="宋体" w:cs="Arial"/>
          <w:b w:val="0"/>
          <w:bCs w:val="0"/>
          <w:color w:val="000000"/>
          <w:sz w:val="24"/>
          <w:szCs w:val="24"/>
        </w:rPr>
        <w:t xml:space="preserve"> The Sagittal Height Map of the Posterior</w:t>
      </w:r>
      <w:r>
        <w:rPr>
          <w:rFonts w:hint="eastAsia" w:ascii="Arial" w:hAnsi="Arial" w:eastAsia="宋体" w:cs="Arial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eastAsia="宋体" w:cs="Arial"/>
          <w:b w:val="0"/>
          <w:bCs w:val="0"/>
          <w:color w:val="000000"/>
          <w:sz w:val="24"/>
          <w:szCs w:val="24"/>
        </w:rPr>
        <w:t>Surface</w:t>
      </w:r>
    </w:p>
    <w:p w14:paraId="1CF303CD">
      <w:pPr>
        <w:jc w:val="center"/>
        <w:rPr>
          <w:rFonts w:ascii="Calibri" w:hAnsi="Calibri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3900805" cy="5486400"/>
            <wp:effectExtent l="0" t="0" r="0" b="0"/>
            <wp:docPr id="10" name="图片 3" descr="1904abfcad0a8c68c9b23e992c631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904abfcad0a8c68c9b23e992c631b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9F6C">
      <w:pPr>
        <w:rPr>
          <w:rFonts w:ascii="Arial" w:hAnsi="Arial" w:eastAsia="宋体" w:cs="Arial"/>
          <w:color w:val="000000"/>
          <w:sz w:val="24"/>
          <w:szCs w:val="24"/>
        </w:rPr>
      </w:pPr>
      <w:r>
        <w:rPr>
          <w:rFonts w:ascii="Arial" w:hAnsi="Arial" w:eastAsia="宋体" w:cs="Arial"/>
          <w:color w:val="000000"/>
          <w:sz w:val="24"/>
          <w:szCs w:val="24"/>
        </w:rPr>
        <w:t>(A) illustrates the three-dimensional sagittal height map of the posterior surface</w:t>
      </w:r>
      <w:r>
        <w:rPr>
          <w:rFonts w:hint="eastAsia" w:ascii="Arial" w:hAnsi="Arial" w:eastAsia="宋体" w:cs="Arial"/>
          <w:color w:val="000000"/>
          <w:sz w:val="24"/>
          <w:szCs w:val="24"/>
        </w:rPr>
        <w:t>.</w:t>
      </w:r>
      <w:r>
        <w:rPr>
          <w:rFonts w:ascii="Arial" w:hAnsi="Arial" w:eastAsia="宋体" w:cs="Arial"/>
          <w:color w:val="000000"/>
          <w:sz w:val="24"/>
          <w:szCs w:val="24"/>
        </w:rPr>
        <w:t xml:space="preserve"> (B) illustrates the two-dimensional sagittal height projection of the posterior surface</w:t>
      </w:r>
      <w:r>
        <w:rPr>
          <w:rFonts w:hint="eastAsia" w:ascii="Arial" w:hAnsi="Arial" w:eastAsia="宋体" w:cs="Arial"/>
          <w:color w:val="000000"/>
          <w:sz w:val="24"/>
          <w:szCs w:val="24"/>
        </w:rPr>
        <w:t xml:space="preserve"> w</w:t>
      </w:r>
      <w:r>
        <w:rPr>
          <w:rFonts w:ascii="Arial" w:hAnsi="Arial" w:eastAsia="宋体" w:cs="Arial"/>
          <w:color w:val="000000"/>
          <w:sz w:val="24"/>
          <w:szCs w:val="24"/>
        </w:rPr>
        <w:t>hen viewed perpendicular</w:t>
      </w:r>
      <w:r>
        <w:rPr>
          <w:rFonts w:hint="eastAsia" w:ascii="Arial" w:hAnsi="Arial" w:eastAsia="宋体" w:cs="Arial"/>
          <w:color w:val="000000"/>
          <w:sz w:val="24"/>
          <w:szCs w:val="24"/>
        </w:rPr>
        <w:t>ly</w:t>
      </w:r>
      <w:r>
        <w:rPr>
          <w:rFonts w:ascii="Arial" w:hAnsi="Arial" w:eastAsia="宋体" w:cs="Arial"/>
          <w:color w:val="000000"/>
          <w:sz w:val="24"/>
          <w:szCs w:val="24"/>
        </w:rPr>
        <w:t>.</w:t>
      </w:r>
    </w:p>
    <w:p w14:paraId="5121C4CE">
      <w:pPr>
        <w:rPr>
          <w:rFonts w:ascii="Arial" w:hAnsi="Arial" w:cs="Arial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bookmarkStart w:id="50" w:name="OLE_LINK1299"/>
      <w:bookmarkStart w:id="51" w:name="OLE_LINK1298"/>
      <w:r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hint="eastAsia"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3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The </w:t>
      </w:r>
      <w:bookmarkStart w:id="52" w:name="OLE_LINK520"/>
      <w:bookmarkStart w:id="53" w:name="OLE_LINK521"/>
      <w:r>
        <w:rPr>
          <w:rFonts w:ascii="Arial" w:hAnsi="Arial" w:cs="Arial"/>
          <w:b w:val="0"/>
          <w:bCs w:val="0"/>
          <w:sz w:val="24"/>
          <w:szCs w:val="24"/>
        </w:rPr>
        <w:t>Modulation Transfer Function</w:t>
      </w:r>
      <w:bookmarkEnd w:id="52"/>
      <w:bookmarkEnd w:id="53"/>
      <w:r>
        <w:rPr>
          <w:rFonts w:ascii="Arial" w:hAnsi="Arial" w:cs="Arial"/>
          <w:b w:val="0"/>
          <w:bCs w:val="0"/>
          <w:sz w:val="24"/>
          <w:szCs w:val="24"/>
        </w:rPr>
        <w:t xml:space="preserve"> of the Aberration-Enhanced Dual-Surface Lens and the </w:t>
      </w:r>
      <w:bookmarkStart w:id="54" w:name="OLE_LINK352"/>
      <w:r>
        <w:rPr>
          <w:rFonts w:ascii="Arial" w:hAnsi="Arial" w:cs="Arial"/>
          <w:b w:val="0"/>
          <w:bCs w:val="0"/>
          <w:sz w:val="24"/>
          <w:szCs w:val="24"/>
        </w:rPr>
        <w:t>Single-Surface Lens with Microlens Arrays</w:t>
      </w:r>
      <w:bookmarkEnd w:id="54"/>
    </w:p>
    <w:bookmarkEnd w:id="50"/>
    <w:bookmarkEnd w:id="51"/>
    <w:p w14:paraId="1787F31F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322445" cy="3216275"/>
            <wp:effectExtent l="0" t="0" r="0" b="0"/>
            <wp:docPr id="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586AF6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eastAsia="宋体" w:cs="Arial"/>
          <w:color w:val="000000"/>
          <w:sz w:val="24"/>
          <w:szCs w:val="24"/>
        </w:rPr>
        <w:t>The modulation transfer function (MTF) of the fine beam that</w:t>
      </w:r>
      <w:r>
        <w:rPr>
          <w:rFonts w:hint="eastAsia" w:ascii="Arial" w:hAnsi="Arial" w:eastAsia="宋体" w:cs="Arial"/>
          <w:color w:val="000000"/>
          <w:sz w:val="24"/>
          <w:szCs w:val="24"/>
        </w:rPr>
        <w:t xml:space="preserve"> </w:t>
      </w:r>
      <w:r>
        <w:rPr>
          <w:rFonts w:ascii="Arial" w:hAnsi="Arial" w:eastAsia="宋体" w:cs="Arial"/>
          <w:color w:val="000000"/>
          <w:sz w:val="24"/>
          <w:szCs w:val="24"/>
        </w:rPr>
        <w:t>passes through the meridian and sagittal of the aberration-enhanced dual-surface lens and the single-surface lens with microlens arrays. The curves</w:t>
      </w:r>
      <w:r>
        <w:rPr>
          <w:rFonts w:hint="eastAsia" w:ascii="Arial" w:hAnsi="Arial" w:eastAsia="宋体" w:cs="Arial"/>
          <w:color w:val="000000"/>
          <w:sz w:val="24"/>
          <w:szCs w:val="24"/>
        </w:rPr>
        <w:t xml:space="preserve"> were calculated by the optical software ZEMAX</w:t>
      </w:r>
      <w:r>
        <w:rPr>
          <w:rFonts w:ascii="Arial" w:hAnsi="Arial" w:eastAsia="宋体" w:cs="Arial"/>
          <w:color w:val="000000"/>
          <w:sz w:val="24"/>
          <w:szCs w:val="24"/>
        </w:rPr>
        <w:t xml:space="preserve">. </w:t>
      </w:r>
    </w:p>
    <w:p w14:paraId="2B03AC4E">
      <w:pPr>
        <w:rPr>
          <w:rFonts w:ascii="Arial" w:hAnsi="Arial" w:eastAsia="宋体" w:cs="Arial"/>
          <w:color w:val="000000"/>
          <w:sz w:val="24"/>
          <w:szCs w:val="24"/>
        </w:rPr>
      </w:pPr>
    </w:p>
    <w:p w14:paraId="46F5F46B">
      <w:pPr>
        <w:rPr>
          <w:rFonts w:eastAsia="宋体"/>
          <w:b w:val="0"/>
          <w:bCs w:val="0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hint="eastAsia" w:ascii="Arial" w:hAnsi="Arial" w:cs="Arial"/>
          <w:b/>
          <w:bCs/>
          <w:color w:val="000000"/>
          <w:sz w:val="24"/>
          <w:szCs w:val="24"/>
        </w:rPr>
        <w:t>Figure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4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Proportion of Participants with Different Degrees of AL Elongation (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</w:rPr>
        <w:t>A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) and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</w:rPr>
        <w:t xml:space="preserve"> SER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Change (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</w:rPr>
        <w:t>B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) at the 12-Month Visit</w:t>
      </w:r>
    </w:p>
    <w:p w14:paraId="64AE7CAB">
      <w:pPr>
        <w:jc w:val="center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drawing>
          <wp:inline distT="0" distB="0" distL="0" distR="0">
            <wp:extent cx="5274310" cy="1975485"/>
            <wp:effectExtent l="0" t="0" r="0" b="5715"/>
            <wp:docPr id="12456994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99428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971F">
      <w:pPr>
        <w:rPr>
          <w:rFonts w:ascii="Arial" w:hAnsi="Arial" w:cs="Arial"/>
          <w:color w:val="000000"/>
          <w:sz w:val="24"/>
          <w:szCs w:val="24"/>
        </w:rPr>
      </w:pPr>
      <w:bookmarkStart w:id="55" w:name="OLE_LINK194"/>
      <w:bookmarkStart w:id="56" w:name="OLE_LINK193"/>
      <w:r>
        <w:rPr>
          <w:rFonts w:hint="eastAsia" w:ascii="Arial" w:hAnsi="Arial" w:cs="Arial"/>
          <w:color w:val="000000"/>
          <w:sz w:val="24"/>
          <w:szCs w:val="24"/>
        </w:rPr>
        <w:t>AEDS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 aberration-enhanced dual-surface; SV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>=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 single vision;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55"/>
      <w:bookmarkEnd w:id="56"/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hint="eastAsia" w:ascii="Arial" w:hAnsi="Arial" w:cs="Arial"/>
          <w:color w:val="000000"/>
          <w:sz w:val="24"/>
          <w:szCs w:val="24"/>
        </w:rPr>
        <w:t>L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ascii="Arial" w:hAnsi="Arial" w:cs="Arial"/>
          <w:color w:val="000000"/>
          <w:sz w:val="24"/>
          <w:szCs w:val="24"/>
        </w:rPr>
        <w:t xml:space="preserve"> axial </w:t>
      </w:r>
      <w:r>
        <w:rPr>
          <w:rFonts w:hint="eastAsia"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ength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;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ascii="Arial" w:hAnsi="Arial" w:cs="Arial"/>
          <w:color w:val="000000"/>
          <w:sz w:val="24"/>
          <w:szCs w:val="24"/>
        </w:rPr>
        <w:t xml:space="preserve"> spherical equivalent refraction; D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 </w:t>
      </w:r>
      <w:r>
        <w:rPr>
          <w:rFonts w:ascii="Arial" w:hAnsi="Arial" w:cs="Arial"/>
          <w:color w:val="000000"/>
          <w:sz w:val="24"/>
          <w:szCs w:val="24"/>
        </w:rPr>
        <w:t xml:space="preserve">diopter. *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P &lt; </w:t>
      </w:r>
      <w:r>
        <w:rPr>
          <w:rFonts w:hint="eastAsia" w:ascii="Arial" w:hAnsi="Arial" w:cs="Arial"/>
          <w:i/>
          <w:iCs/>
          <w:color w:val="000000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000000"/>
          <w:sz w:val="24"/>
          <w:szCs w:val="24"/>
        </w:rPr>
        <w:t>.05.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14:paraId="133F426D">
      <w:pPr>
        <w:rPr>
          <w:rFonts w:eastAsia="宋体"/>
          <w:b w:val="0"/>
          <w:bCs w:val="0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hint="eastAsia" w:ascii="Arial" w:hAnsi="Arial" w:cs="Arial"/>
          <w:b/>
          <w:bCs/>
          <w:color w:val="000000"/>
          <w:sz w:val="24"/>
          <w:szCs w:val="24"/>
        </w:rPr>
        <w:t>Figure S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>
        <w:rPr>
          <w:rFonts w:hint="eastAsia"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</w:rPr>
        <w:t xml:space="preserve">Relationship between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the C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</w:rPr>
        <w:t xml:space="preserve">hanges 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in Cycloplegic </w:t>
      </w:r>
      <w:r>
        <w:rPr>
          <w:rFonts w:hint="eastAsia" w:ascii="Arial" w:hAnsi="Arial" w:cs="Arial"/>
          <w:b w:val="0"/>
          <w:bCs w:val="0"/>
          <w:color w:val="000000"/>
          <w:sz w:val="24"/>
          <w:szCs w:val="24"/>
        </w:rPr>
        <w:t>SER and AL</w:t>
      </w:r>
    </w:p>
    <w:p w14:paraId="7CE411FB">
      <w:pPr>
        <w:jc w:val="center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drawing>
          <wp:inline distT="0" distB="0" distL="0" distR="0">
            <wp:extent cx="3930015" cy="3274695"/>
            <wp:effectExtent l="0" t="0" r="0" b="1905"/>
            <wp:docPr id="15081782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78292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3" cy="32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EC00">
      <w:pPr>
        <w:jc w:val="left"/>
        <w:rPr>
          <w:rFonts w:hint="eastAsia" w:ascii="Arial" w:hAnsi="Arial" w:cs="Arial"/>
          <w:b/>
          <w:bCs/>
          <w:color w:val="000000"/>
          <w:sz w:val="24"/>
          <w:szCs w:val="24"/>
        </w:rPr>
      </w:pPr>
      <w:r>
        <w:rPr>
          <w:rFonts w:hint="eastAsia" w:ascii="Arial" w:hAnsi="Arial" w:cs="Arial"/>
          <w:color w:val="000000"/>
          <w:sz w:val="24"/>
          <w:szCs w:val="24"/>
        </w:rPr>
        <w:t>AEDS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 aberration-enhanced dual-surface; SV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 single vision; AL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ascii="Arial" w:hAnsi="Arial" w:cs="Arial"/>
          <w:color w:val="000000"/>
          <w:sz w:val="24"/>
          <w:szCs w:val="24"/>
        </w:rPr>
        <w:t xml:space="preserve"> axial </w:t>
      </w:r>
      <w:r>
        <w:rPr>
          <w:rFonts w:hint="eastAsia"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ength</w:t>
      </w:r>
      <w:r>
        <w:rPr>
          <w:rFonts w:hint="eastAsia" w:ascii="Arial" w:hAnsi="Arial" w:cs="Arial"/>
          <w:color w:val="000000"/>
          <w:sz w:val="24"/>
          <w:szCs w:val="24"/>
        </w:rPr>
        <w:t xml:space="preserve">; </w:t>
      </w:r>
      <w:r>
        <w:rPr>
          <w:rFonts w:ascii="Arial" w:hAnsi="Arial" w:cs="Arial"/>
          <w:color w:val="000000"/>
          <w:sz w:val="24"/>
          <w:szCs w:val="24"/>
        </w:rPr>
        <w:t>SER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ascii="Arial" w:hAnsi="Arial" w:cs="Arial"/>
          <w:color w:val="000000"/>
          <w:sz w:val="24"/>
          <w:szCs w:val="24"/>
        </w:rPr>
        <w:t xml:space="preserve"> spherical equivalent refra</w:t>
      </w:r>
      <w:bookmarkStart w:id="57" w:name="_GoBack"/>
      <w:bookmarkEnd w:id="57"/>
      <w:r>
        <w:rPr>
          <w:rFonts w:ascii="Arial" w:hAnsi="Arial" w:cs="Arial"/>
          <w:color w:val="000000"/>
          <w:sz w:val="24"/>
          <w:szCs w:val="24"/>
        </w:rPr>
        <w:t>ction; D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 xml:space="preserve"> =</w:t>
      </w:r>
      <w:r>
        <w:rPr>
          <w:rFonts w:ascii="Arial" w:hAnsi="Arial" w:cs="Arial"/>
          <w:color w:val="000000"/>
          <w:sz w:val="24"/>
          <w:szCs w:val="24"/>
        </w:rPr>
        <w:t xml:space="preserve"> diopter.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23E0D">
    <w:pPr>
      <w:pStyle w:val="3"/>
      <w:framePr w:wrap="auto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 PAGE 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63E36EA8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853FE">
    <w:pPr>
      <w:pStyle w:val="3"/>
      <w:framePr w:wrap="auto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 PAGE </w:instrText>
    </w:r>
    <w:r>
      <w:rPr>
        <w:rStyle w:val="10"/>
      </w:rPr>
      <w:fldChar w:fldCharType="end"/>
    </w:r>
  </w:p>
  <w:p w14:paraId="372B190E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E6C4C"/>
    <w:multiLevelType w:val="multilevel"/>
    <w:tmpl w:val="003E6C4C"/>
    <w:lvl w:ilvl="0" w:tentative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064110"/>
    <w:multiLevelType w:val="multilevel"/>
    <w:tmpl w:val="5006411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F919CC"/>
    <w:multiLevelType w:val="multilevel"/>
    <w:tmpl w:val="58F919CC"/>
    <w:lvl w:ilvl="0" w:tentative="0">
      <w:start w:val="2"/>
      <w:numFmt w:val="bullet"/>
      <w:lvlText w:val=""/>
      <w:lvlJc w:val="left"/>
      <w:pPr>
        <w:ind w:left="420" w:hanging="420"/>
      </w:pPr>
      <w:rPr>
        <w:rFonts w:hint="default" w:ascii="Symbol" w:hAnsi="Symbol" w:eastAsia="Calibri" w:cs="Calibr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E1"/>
    <w:rsid w:val="00047405"/>
    <w:rsid w:val="00054EE7"/>
    <w:rsid w:val="000C3CB7"/>
    <w:rsid w:val="00107413"/>
    <w:rsid w:val="0011329B"/>
    <w:rsid w:val="00125DA3"/>
    <w:rsid w:val="001334A2"/>
    <w:rsid w:val="00147BAA"/>
    <w:rsid w:val="001702E1"/>
    <w:rsid w:val="0019224E"/>
    <w:rsid w:val="001C6AAB"/>
    <w:rsid w:val="00245D6B"/>
    <w:rsid w:val="002C1FAD"/>
    <w:rsid w:val="002E5140"/>
    <w:rsid w:val="002F6D61"/>
    <w:rsid w:val="002F7FDA"/>
    <w:rsid w:val="00343A2E"/>
    <w:rsid w:val="00364635"/>
    <w:rsid w:val="003A3BAC"/>
    <w:rsid w:val="00416DBC"/>
    <w:rsid w:val="00424DF9"/>
    <w:rsid w:val="00431A90"/>
    <w:rsid w:val="005037BC"/>
    <w:rsid w:val="00505F1B"/>
    <w:rsid w:val="005157F4"/>
    <w:rsid w:val="0053461D"/>
    <w:rsid w:val="005574FC"/>
    <w:rsid w:val="005A5661"/>
    <w:rsid w:val="005B556A"/>
    <w:rsid w:val="005E3AF4"/>
    <w:rsid w:val="005E4A0F"/>
    <w:rsid w:val="005F5494"/>
    <w:rsid w:val="0062548E"/>
    <w:rsid w:val="006349E4"/>
    <w:rsid w:val="00686859"/>
    <w:rsid w:val="00695026"/>
    <w:rsid w:val="006B7D04"/>
    <w:rsid w:val="006E0C53"/>
    <w:rsid w:val="00705B2D"/>
    <w:rsid w:val="00787B4B"/>
    <w:rsid w:val="007B65CC"/>
    <w:rsid w:val="007F5829"/>
    <w:rsid w:val="00814A14"/>
    <w:rsid w:val="00816017"/>
    <w:rsid w:val="00875DCC"/>
    <w:rsid w:val="008B3377"/>
    <w:rsid w:val="008C14CC"/>
    <w:rsid w:val="008C622F"/>
    <w:rsid w:val="008E37E1"/>
    <w:rsid w:val="008F5B01"/>
    <w:rsid w:val="009132B1"/>
    <w:rsid w:val="00922761"/>
    <w:rsid w:val="00934993"/>
    <w:rsid w:val="00950DB6"/>
    <w:rsid w:val="00996AC5"/>
    <w:rsid w:val="009A472F"/>
    <w:rsid w:val="009B6C1C"/>
    <w:rsid w:val="00A0519F"/>
    <w:rsid w:val="00A12887"/>
    <w:rsid w:val="00A3320E"/>
    <w:rsid w:val="00A60A89"/>
    <w:rsid w:val="00A81EDB"/>
    <w:rsid w:val="00A87CC1"/>
    <w:rsid w:val="00AA6835"/>
    <w:rsid w:val="00AB1AC8"/>
    <w:rsid w:val="00AC0C87"/>
    <w:rsid w:val="00B120A8"/>
    <w:rsid w:val="00B12D44"/>
    <w:rsid w:val="00B34FD2"/>
    <w:rsid w:val="00B762AF"/>
    <w:rsid w:val="00BB25F6"/>
    <w:rsid w:val="00BB6E66"/>
    <w:rsid w:val="00BD75C9"/>
    <w:rsid w:val="00BE13C8"/>
    <w:rsid w:val="00BE52F1"/>
    <w:rsid w:val="00CC1FFB"/>
    <w:rsid w:val="00CE3AAC"/>
    <w:rsid w:val="00D45026"/>
    <w:rsid w:val="00D647DF"/>
    <w:rsid w:val="00D83460"/>
    <w:rsid w:val="00DD451B"/>
    <w:rsid w:val="00DD73E7"/>
    <w:rsid w:val="00DE4264"/>
    <w:rsid w:val="00DE535B"/>
    <w:rsid w:val="00DF0C61"/>
    <w:rsid w:val="00E17D07"/>
    <w:rsid w:val="00E7418B"/>
    <w:rsid w:val="00E9001C"/>
    <w:rsid w:val="00EB330E"/>
    <w:rsid w:val="00EB590C"/>
    <w:rsid w:val="00F149E1"/>
    <w:rsid w:val="00F878A5"/>
    <w:rsid w:val="00FE14D8"/>
    <w:rsid w:val="01395070"/>
    <w:rsid w:val="02C1284E"/>
    <w:rsid w:val="032D3F52"/>
    <w:rsid w:val="051D4F7F"/>
    <w:rsid w:val="058F3A4A"/>
    <w:rsid w:val="05CE314C"/>
    <w:rsid w:val="06BC7A69"/>
    <w:rsid w:val="06C6600E"/>
    <w:rsid w:val="0AD34B53"/>
    <w:rsid w:val="0C22507E"/>
    <w:rsid w:val="0EE37416"/>
    <w:rsid w:val="131274CE"/>
    <w:rsid w:val="14A3603E"/>
    <w:rsid w:val="1BC424E5"/>
    <w:rsid w:val="1CAA5C0C"/>
    <w:rsid w:val="1CD27F3D"/>
    <w:rsid w:val="1CE9633C"/>
    <w:rsid w:val="1EA55D14"/>
    <w:rsid w:val="1ED12246"/>
    <w:rsid w:val="1F214386"/>
    <w:rsid w:val="1FF07F40"/>
    <w:rsid w:val="235F6972"/>
    <w:rsid w:val="25127C7D"/>
    <w:rsid w:val="26994C53"/>
    <w:rsid w:val="2AEC1795"/>
    <w:rsid w:val="2BB611AD"/>
    <w:rsid w:val="2BD01F4A"/>
    <w:rsid w:val="2CD03859"/>
    <w:rsid w:val="2CD94390"/>
    <w:rsid w:val="2E8F3463"/>
    <w:rsid w:val="2F4F215C"/>
    <w:rsid w:val="2F7B222C"/>
    <w:rsid w:val="31253298"/>
    <w:rsid w:val="362A675A"/>
    <w:rsid w:val="3AC81753"/>
    <w:rsid w:val="3E604D75"/>
    <w:rsid w:val="3F715564"/>
    <w:rsid w:val="46A9191C"/>
    <w:rsid w:val="47330B3B"/>
    <w:rsid w:val="47D73261"/>
    <w:rsid w:val="486E6CC3"/>
    <w:rsid w:val="4872331B"/>
    <w:rsid w:val="49220FB1"/>
    <w:rsid w:val="4D8409ED"/>
    <w:rsid w:val="4F727EED"/>
    <w:rsid w:val="4FDB1793"/>
    <w:rsid w:val="5439671C"/>
    <w:rsid w:val="56C3046C"/>
    <w:rsid w:val="58093FC9"/>
    <w:rsid w:val="594F37E6"/>
    <w:rsid w:val="59F53EEA"/>
    <w:rsid w:val="5EFF7081"/>
    <w:rsid w:val="60DF1751"/>
    <w:rsid w:val="64BC6A05"/>
    <w:rsid w:val="65377D03"/>
    <w:rsid w:val="66935F2E"/>
    <w:rsid w:val="68AC34F0"/>
    <w:rsid w:val="6A7D6AC4"/>
    <w:rsid w:val="6B0227AC"/>
    <w:rsid w:val="6BC36265"/>
    <w:rsid w:val="6DE66248"/>
    <w:rsid w:val="6E89289C"/>
    <w:rsid w:val="6EBB0D8F"/>
    <w:rsid w:val="6F6C1460"/>
    <w:rsid w:val="70424A44"/>
    <w:rsid w:val="70541FD1"/>
    <w:rsid w:val="71805C2D"/>
    <w:rsid w:val="753D4F94"/>
    <w:rsid w:val="75F852D7"/>
    <w:rsid w:val="767F6C5A"/>
    <w:rsid w:val="7700690C"/>
    <w:rsid w:val="77664B3C"/>
    <w:rsid w:val="7A255AAF"/>
    <w:rsid w:val="7A9C7FA1"/>
    <w:rsid w:val="7AEA338E"/>
    <w:rsid w:val="FFF78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  <w:pPr>
      <w:jc w:val="left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qFormat/>
    <w:uiPriority w:val="0"/>
    <w:rPr>
      <w:b/>
      <w:bCs/>
    </w:rPr>
  </w:style>
  <w:style w:type="table" w:styleId="7">
    <w:name w:val="Table Grid"/>
    <w:basedOn w:val="6"/>
    <w:qFormat/>
    <w:uiPriority w:val="39"/>
    <w:rPr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Hyperlink"/>
    <w:uiPriority w:val="0"/>
    <w:rPr>
      <w:color w:val="0000FF"/>
      <w:u w:val="single"/>
    </w:rPr>
  </w:style>
  <w:style w:type="character" w:styleId="12">
    <w:name w:val="annotation reference"/>
    <w:unhideWhenUsed/>
    <w:qFormat/>
    <w:uiPriority w:val="99"/>
    <w:rPr>
      <w:sz w:val="21"/>
      <w:szCs w:val="21"/>
    </w:rPr>
  </w:style>
  <w:style w:type="character" w:customStyle="1" w:styleId="13">
    <w:name w:val="批注文字 字符"/>
    <w:link w:val="2"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14">
    <w:name w:val="批注主题 字符"/>
    <w:link w:val="5"/>
    <w:qFormat/>
    <w:uiPriority w:val="0"/>
    <w:rPr>
      <w:rFonts w:ascii="Calibri" w:hAnsi="Calibri"/>
      <w:b/>
      <w:bCs/>
      <w:kern w:val="2"/>
      <w:sz w:val="21"/>
      <w:szCs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格式正文"/>
    <w:basedOn w:val="1"/>
    <w:qFormat/>
    <w:uiPriority w:val="0"/>
    <w:pPr>
      <w:ind w:firstLine="420" w:firstLineChars="200"/>
    </w:pPr>
  </w:style>
  <w:style w:type="paragraph" w:customStyle="1" w:styleId="17">
    <w:name w:val="修订1"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页眉 字符"/>
    <w:link w:val="4"/>
    <w:qFormat/>
    <w:uiPriority w:val="0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1073</Words>
  <Characters>5597</Characters>
  <Lines>57</Lines>
  <Paragraphs>16</Paragraphs>
  <TotalTime>44</TotalTime>
  <ScaleCrop>false</ScaleCrop>
  <LinksUpToDate>false</LinksUpToDate>
  <CharactersWithSpaces>6546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2025-09-08T15:24:00Z</dcterms:created>
  <dc:creator>weiwei</dc:creator>
  <cp:lastModifiedBy>漂漂洋洋的洒</cp:lastModifiedBy>
  <cp:lastPrinted>2025-04-05T04:34:00Z</cp:lastPrinted>
  <dcterms:modified xsi:type="dcterms:W3CDTF">2025-10-20T11:03:00Z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eyJoZGlkIjoiOGE1OGVhY2VjY2QwNGJjYzMxMWQzMDNiOWQwY2U3ZWMiLCJ1c2VySWQiOiIyMzIwMjc4MTYifQ==</vt:lpwstr>
  </property>
  <property fmtid="{D5CDD505-2E9C-101B-9397-08002B2CF9AE}" pid="4" name="ICV">
    <vt:lpwstr>9A431AE51AE84B44BF292ABA282751D8_12</vt:lpwstr>
  </property>
</Properties>
</file>