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CB01C" w14:textId="1536F230" w:rsidR="00207C70" w:rsidRPr="00E97AF3" w:rsidRDefault="00542A8C" w:rsidP="007A4596">
      <w:pPr>
        <w:pStyle w:val="Ttol"/>
        <w:rPr>
          <w:sz w:val="36"/>
          <w:szCs w:val="36"/>
          <w:lang w:val="en-GB"/>
        </w:rPr>
      </w:pPr>
      <w:r w:rsidRPr="00E97AF3">
        <w:rPr>
          <w:sz w:val="36"/>
          <w:szCs w:val="36"/>
          <w:lang w:val="en-GB"/>
        </w:rPr>
        <w:t>Population-health analysis of the progress of chronic disease burden over a 10-year period in a regional cohort of 5.5 million adults living in Catalonia</w:t>
      </w:r>
      <w:r w:rsidR="00207C70" w:rsidRPr="00E97AF3">
        <w:rPr>
          <w:sz w:val="36"/>
          <w:szCs w:val="36"/>
          <w:lang w:val="en-GB"/>
        </w:rPr>
        <w:t xml:space="preserve"> </w:t>
      </w:r>
    </w:p>
    <w:p w14:paraId="5BBCFEEF" w14:textId="77777777" w:rsidR="00207C70" w:rsidRPr="00E97AF3" w:rsidRDefault="00207C70" w:rsidP="00207C70">
      <w:pPr>
        <w:rPr>
          <w:lang w:val="en-GB"/>
        </w:rPr>
      </w:pPr>
    </w:p>
    <w:p w14:paraId="7C8CEBB7" w14:textId="4FA07BA3" w:rsidR="00CB56D1" w:rsidRPr="00E97AF3" w:rsidRDefault="00B61E8E" w:rsidP="00207C70">
      <w:pPr>
        <w:pStyle w:val="Subttol"/>
        <w:rPr>
          <w:lang w:val="en-GB"/>
        </w:rPr>
      </w:pPr>
      <w:r w:rsidRPr="00E97AF3">
        <w:rPr>
          <w:lang w:val="en-GB"/>
        </w:rPr>
        <w:t>Supplementary Appendix</w:t>
      </w:r>
    </w:p>
    <w:p w14:paraId="20D9B792" w14:textId="77777777" w:rsidR="00207C70" w:rsidRPr="00E97AF3" w:rsidRDefault="00207C70">
      <w:pPr>
        <w:rPr>
          <w:lang w:val="en-GB"/>
        </w:rPr>
      </w:pPr>
    </w:p>
    <w:sdt>
      <w:sdtPr>
        <w:rPr>
          <w:rFonts w:asciiTheme="minorHAnsi" w:eastAsiaTheme="minorHAnsi" w:hAnsiTheme="minorHAnsi" w:cstheme="minorBidi"/>
          <w:b w:val="0"/>
          <w:sz w:val="22"/>
          <w:szCs w:val="22"/>
          <w:lang w:val="en-GB"/>
        </w:rPr>
        <w:id w:val="1534696011"/>
        <w:docPartObj>
          <w:docPartGallery w:val="Table of Contents"/>
          <w:docPartUnique/>
        </w:docPartObj>
      </w:sdtPr>
      <w:sdtEndPr>
        <w:rPr>
          <w:rFonts w:ascii="Arial" w:hAnsi="Arial"/>
          <w:bCs/>
          <w:sz w:val="20"/>
        </w:rPr>
      </w:sdtEndPr>
      <w:sdtContent>
        <w:p w14:paraId="5B641189" w14:textId="35BB1BC4" w:rsidR="00207C70" w:rsidRPr="00E97AF3" w:rsidRDefault="00207C70">
          <w:pPr>
            <w:pStyle w:val="TtoldelIDC"/>
            <w:rPr>
              <w:lang w:val="en-GB"/>
            </w:rPr>
          </w:pPr>
          <w:r w:rsidRPr="00E97AF3">
            <w:rPr>
              <w:lang w:val="en-GB"/>
            </w:rPr>
            <w:t>Contents</w:t>
          </w:r>
          <w:r w:rsidR="00DA122A">
            <w:rPr>
              <w:lang w:val="en-GB"/>
            </w:rPr>
            <w:br/>
          </w:r>
        </w:p>
        <w:p w14:paraId="19B625EE" w14:textId="6C323124" w:rsidR="00DA122A" w:rsidRDefault="00207C70">
          <w:pPr>
            <w:pStyle w:val="IDC1"/>
            <w:tabs>
              <w:tab w:val="right" w:leader="dot" w:pos="8494"/>
            </w:tabs>
            <w:rPr>
              <w:rFonts w:asciiTheme="minorHAnsi" w:eastAsiaTheme="minorEastAsia" w:hAnsiTheme="minorHAnsi"/>
              <w:noProof/>
              <w:sz w:val="22"/>
              <w:lang w:val="ca-ES" w:eastAsia="ca-ES"/>
            </w:rPr>
          </w:pPr>
          <w:r w:rsidRPr="00E97AF3">
            <w:rPr>
              <w:lang w:val="en-GB"/>
            </w:rPr>
            <w:fldChar w:fldCharType="begin"/>
          </w:r>
          <w:r w:rsidRPr="00E97AF3">
            <w:rPr>
              <w:lang w:val="en-GB"/>
            </w:rPr>
            <w:instrText xml:space="preserve"> TOC \o "1-3" \h \z \u </w:instrText>
          </w:r>
          <w:r w:rsidRPr="00E97AF3">
            <w:rPr>
              <w:lang w:val="en-GB"/>
            </w:rPr>
            <w:fldChar w:fldCharType="separate"/>
          </w:r>
          <w:hyperlink w:anchor="_Toc210668913" w:history="1">
            <w:r w:rsidR="00DA122A" w:rsidRPr="001B3BC4">
              <w:rPr>
                <w:rStyle w:val="Enlla"/>
                <w:noProof/>
                <w:lang w:val="en-GB"/>
              </w:rPr>
              <w:t>Supplementary Methods</w:t>
            </w:r>
            <w:r w:rsidR="00DA122A">
              <w:rPr>
                <w:noProof/>
                <w:webHidden/>
              </w:rPr>
              <w:tab/>
            </w:r>
            <w:r w:rsidR="00DA122A">
              <w:rPr>
                <w:noProof/>
                <w:webHidden/>
              </w:rPr>
              <w:fldChar w:fldCharType="begin"/>
            </w:r>
            <w:r w:rsidR="00DA122A">
              <w:rPr>
                <w:noProof/>
                <w:webHidden/>
              </w:rPr>
              <w:instrText xml:space="preserve"> PAGEREF _Toc210668913 \h </w:instrText>
            </w:r>
            <w:r w:rsidR="00DA122A">
              <w:rPr>
                <w:noProof/>
                <w:webHidden/>
              </w:rPr>
            </w:r>
            <w:r w:rsidR="00DA122A">
              <w:rPr>
                <w:noProof/>
                <w:webHidden/>
              </w:rPr>
              <w:fldChar w:fldCharType="separate"/>
            </w:r>
            <w:r w:rsidR="00DA122A">
              <w:rPr>
                <w:noProof/>
                <w:webHidden/>
              </w:rPr>
              <w:t>2</w:t>
            </w:r>
            <w:r w:rsidR="00DA122A">
              <w:rPr>
                <w:noProof/>
                <w:webHidden/>
              </w:rPr>
              <w:fldChar w:fldCharType="end"/>
            </w:r>
          </w:hyperlink>
        </w:p>
        <w:p w14:paraId="7BD9EA95" w14:textId="00D704E8"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14" w:history="1">
            <w:r w:rsidR="00DA122A" w:rsidRPr="001B3BC4">
              <w:rPr>
                <w:rStyle w:val="Enlla"/>
                <w:bCs/>
                <w:noProof/>
                <w:lang w:val="en-GB"/>
              </w:rPr>
              <w:t>Risk estimates</w:t>
            </w:r>
            <w:r w:rsidR="00DA122A">
              <w:rPr>
                <w:noProof/>
                <w:webHidden/>
              </w:rPr>
              <w:tab/>
            </w:r>
            <w:r w:rsidR="00DA122A">
              <w:rPr>
                <w:noProof/>
                <w:webHidden/>
              </w:rPr>
              <w:fldChar w:fldCharType="begin"/>
            </w:r>
            <w:r w:rsidR="00DA122A">
              <w:rPr>
                <w:noProof/>
                <w:webHidden/>
              </w:rPr>
              <w:instrText xml:space="preserve"> PAGEREF _Toc210668914 \h </w:instrText>
            </w:r>
            <w:r w:rsidR="00DA122A">
              <w:rPr>
                <w:noProof/>
                <w:webHidden/>
              </w:rPr>
            </w:r>
            <w:r w:rsidR="00DA122A">
              <w:rPr>
                <w:noProof/>
                <w:webHidden/>
              </w:rPr>
              <w:fldChar w:fldCharType="separate"/>
            </w:r>
            <w:r w:rsidR="00DA122A">
              <w:rPr>
                <w:noProof/>
                <w:webHidden/>
              </w:rPr>
              <w:t>2</w:t>
            </w:r>
            <w:r w:rsidR="00DA122A">
              <w:rPr>
                <w:noProof/>
                <w:webHidden/>
              </w:rPr>
              <w:fldChar w:fldCharType="end"/>
            </w:r>
          </w:hyperlink>
        </w:p>
        <w:p w14:paraId="72094F23" w14:textId="5AE783E5"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15" w:history="1">
            <w:r w:rsidR="00DA122A" w:rsidRPr="001B3BC4">
              <w:rPr>
                <w:rStyle w:val="Enlla"/>
                <w:noProof/>
                <w:lang w:val="en-GB"/>
              </w:rPr>
              <w:t>Bonferroni threshold</w:t>
            </w:r>
            <w:r w:rsidR="00DA122A">
              <w:rPr>
                <w:noProof/>
                <w:webHidden/>
              </w:rPr>
              <w:tab/>
            </w:r>
            <w:r w:rsidR="00DA122A">
              <w:rPr>
                <w:noProof/>
                <w:webHidden/>
              </w:rPr>
              <w:fldChar w:fldCharType="begin"/>
            </w:r>
            <w:r w:rsidR="00DA122A">
              <w:rPr>
                <w:noProof/>
                <w:webHidden/>
              </w:rPr>
              <w:instrText xml:space="preserve"> PAGEREF _Toc210668915 \h </w:instrText>
            </w:r>
            <w:r w:rsidR="00DA122A">
              <w:rPr>
                <w:noProof/>
                <w:webHidden/>
              </w:rPr>
            </w:r>
            <w:r w:rsidR="00DA122A">
              <w:rPr>
                <w:noProof/>
                <w:webHidden/>
              </w:rPr>
              <w:fldChar w:fldCharType="separate"/>
            </w:r>
            <w:r w:rsidR="00DA122A">
              <w:rPr>
                <w:noProof/>
                <w:webHidden/>
              </w:rPr>
              <w:t>2</w:t>
            </w:r>
            <w:r w:rsidR="00DA122A">
              <w:rPr>
                <w:noProof/>
                <w:webHidden/>
              </w:rPr>
              <w:fldChar w:fldCharType="end"/>
            </w:r>
          </w:hyperlink>
        </w:p>
        <w:p w14:paraId="6A2DD90A" w14:textId="20B63878"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16" w:history="1">
            <w:r w:rsidR="00DA122A" w:rsidRPr="001B3BC4">
              <w:rPr>
                <w:rStyle w:val="Enlla"/>
                <w:noProof/>
                <w:lang w:val="en-GB"/>
              </w:rPr>
              <w:t>Pairs classification according to transitions</w:t>
            </w:r>
            <w:r w:rsidR="00DA122A">
              <w:rPr>
                <w:noProof/>
                <w:webHidden/>
              </w:rPr>
              <w:tab/>
            </w:r>
            <w:r w:rsidR="00DA122A">
              <w:rPr>
                <w:noProof/>
                <w:webHidden/>
              </w:rPr>
              <w:fldChar w:fldCharType="begin"/>
            </w:r>
            <w:r w:rsidR="00DA122A">
              <w:rPr>
                <w:noProof/>
                <w:webHidden/>
              </w:rPr>
              <w:instrText xml:space="preserve"> PAGEREF _Toc210668916 \h </w:instrText>
            </w:r>
            <w:r w:rsidR="00DA122A">
              <w:rPr>
                <w:noProof/>
                <w:webHidden/>
              </w:rPr>
            </w:r>
            <w:r w:rsidR="00DA122A">
              <w:rPr>
                <w:noProof/>
                <w:webHidden/>
              </w:rPr>
              <w:fldChar w:fldCharType="separate"/>
            </w:r>
            <w:r w:rsidR="00DA122A">
              <w:rPr>
                <w:noProof/>
                <w:webHidden/>
              </w:rPr>
              <w:t>2</w:t>
            </w:r>
            <w:r w:rsidR="00DA122A">
              <w:rPr>
                <w:noProof/>
                <w:webHidden/>
              </w:rPr>
              <w:fldChar w:fldCharType="end"/>
            </w:r>
          </w:hyperlink>
        </w:p>
        <w:p w14:paraId="7BEC410D" w14:textId="4BA3F1FD"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17" w:history="1">
            <w:r w:rsidR="00DA122A" w:rsidRPr="001B3BC4">
              <w:rPr>
                <w:rStyle w:val="Enlla"/>
                <w:noProof/>
                <w:lang w:val="en-GB"/>
              </w:rPr>
              <w:t>Pairs directionality</w:t>
            </w:r>
            <w:r w:rsidR="00DA122A">
              <w:rPr>
                <w:noProof/>
                <w:webHidden/>
              </w:rPr>
              <w:tab/>
            </w:r>
            <w:r w:rsidR="00DA122A">
              <w:rPr>
                <w:noProof/>
                <w:webHidden/>
              </w:rPr>
              <w:fldChar w:fldCharType="begin"/>
            </w:r>
            <w:r w:rsidR="00DA122A">
              <w:rPr>
                <w:noProof/>
                <w:webHidden/>
              </w:rPr>
              <w:instrText xml:space="preserve"> PAGEREF _Toc210668917 \h </w:instrText>
            </w:r>
            <w:r w:rsidR="00DA122A">
              <w:rPr>
                <w:noProof/>
                <w:webHidden/>
              </w:rPr>
            </w:r>
            <w:r w:rsidR="00DA122A">
              <w:rPr>
                <w:noProof/>
                <w:webHidden/>
              </w:rPr>
              <w:fldChar w:fldCharType="separate"/>
            </w:r>
            <w:r w:rsidR="00DA122A">
              <w:rPr>
                <w:noProof/>
                <w:webHidden/>
              </w:rPr>
              <w:t>3</w:t>
            </w:r>
            <w:r w:rsidR="00DA122A">
              <w:rPr>
                <w:noProof/>
                <w:webHidden/>
              </w:rPr>
              <w:fldChar w:fldCharType="end"/>
            </w:r>
          </w:hyperlink>
        </w:p>
        <w:p w14:paraId="3188898F" w14:textId="2D09A99C" w:rsidR="00DA122A" w:rsidRDefault="00AD0458">
          <w:pPr>
            <w:pStyle w:val="IDC1"/>
            <w:tabs>
              <w:tab w:val="right" w:leader="dot" w:pos="8494"/>
            </w:tabs>
            <w:rPr>
              <w:rFonts w:asciiTheme="minorHAnsi" w:eastAsiaTheme="minorEastAsia" w:hAnsiTheme="minorHAnsi"/>
              <w:noProof/>
              <w:sz w:val="22"/>
              <w:lang w:val="ca-ES" w:eastAsia="ca-ES"/>
            </w:rPr>
          </w:pPr>
          <w:hyperlink w:anchor="_Toc210668918" w:history="1">
            <w:r w:rsidR="00DA122A" w:rsidRPr="001B3BC4">
              <w:rPr>
                <w:rStyle w:val="Enlla"/>
                <w:noProof/>
                <w:lang w:val="en-GB"/>
              </w:rPr>
              <w:t>Supplementary Tables</w:t>
            </w:r>
            <w:r w:rsidR="00DA122A">
              <w:rPr>
                <w:noProof/>
                <w:webHidden/>
              </w:rPr>
              <w:tab/>
            </w:r>
            <w:r w:rsidR="00DA122A">
              <w:rPr>
                <w:noProof/>
                <w:webHidden/>
              </w:rPr>
              <w:fldChar w:fldCharType="begin"/>
            </w:r>
            <w:r w:rsidR="00DA122A">
              <w:rPr>
                <w:noProof/>
                <w:webHidden/>
              </w:rPr>
              <w:instrText xml:space="preserve"> PAGEREF _Toc210668918 \h </w:instrText>
            </w:r>
            <w:r w:rsidR="00DA122A">
              <w:rPr>
                <w:noProof/>
                <w:webHidden/>
              </w:rPr>
            </w:r>
            <w:r w:rsidR="00DA122A">
              <w:rPr>
                <w:noProof/>
                <w:webHidden/>
              </w:rPr>
              <w:fldChar w:fldCharType="separate"/>
            </w:r>
            <w:r w:rsidR="00DA122A">
              <w:rPr>
                <w:noProof/>
                <w:webHidden/>
              </w:rPr>
              <w:t>4</w:t>
            </w:r>
            <w:r w:rsidR="00DA122A">
              <w:rPr>
                <w:noProof/>
                <w:webHidden/>
              </w:rPr>
              <w:fldChar w:fldCharType="end"/>
            </w:r>
          </w:hyperlink>
        </w:p>
        <w:p w14:paraId="5E11F3E9" w14:textId="2EF4CE3E"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19" w:history="1">
            <w:r w:rsidR="00DA122A" w:rsidRPr="001B3BC4">
              <w:rPr>
                <w:rStyle w:val="Enlla"/>
                <w:noProof/>
                <w:lang w:val="en-GB"/>
              </w:rPr>
              <w:t>Table S1. Prevalence of ICD-10-CM codes.</w:t>
            </w:r>
            <w:r w:rsidR="00DA122A">
              <w:rPr>
                <w:noProof/>
                <w:webHidden/>
              </w:rPr>
              <w:tab/>
            </w:r>
            <w:r w:rsidR="00DA122A">
              <w:rPr>
                <w:noProof/>
                <w:webHidden/>
              </w:rPr>
              <w:fldChar w:fldCharType="begin"/>
            </w:r>
            <w:r w:rsidR="00DA122A">
              <w:rPr>
                <w:noProof/>
                <w:webHidden/>
              </w:rPr>
              <w:instrText xml:space="preserve"> PAGEREF _Toc210668919 \h </w:instrText>
            </w:r>
            <w:r w:rsidR="00DA122A">
              <w:rPr>
                <w:noProof/>
                <w:webHidden/>
              </w:rPr>
            </w:r>
            <w:r w:rsidR="00DA122A">
              <w:rPr>
                <w:noProof/>
                <w:webHidden/>
              </w:rPr>
              <w:fldChar w:fldCharType="separate"/>
            </w:r>
            <w:r w:rsidR="00DA122A">
              <w:rPr>
                <w:noProof/>
                <w:webHidden/>
              </w:rPr>
              <w:t>4</w:t>
            </w:r>
            <w:r w:rsidR="00DA122A">
              <w:rPr>
                <w:noProof/>
                <w:webHidden/>
              </w:rPr>
              <w:fldChar w:fldCharType="end"/>
            </w:r>
          </w:hyperlink>
        </w:p>
        <w:p w14:paraId="71C71DFD" w14:textId="7D9F006C"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0" w:history="1">
            <w:r w:rsidR="00DA122A" w:rsidRPr="001B3BC4">
              <w:rPr>
                <w:rStyle w:val="Enlla"/>
                <w:noProof/>
                <w:lang w:val="en-GB"/>
              </w:rPr>
              <w:t>Table S2. Predictive performance of the models</w:t>
            </w:r>
            <w:r w:rsidR="00DA122A">
              <w:rPr>
                <w:noProof/>
                <w:webHidden/>
              </w:rPr>
              <w:tab/>
            </w:r>
            <w:r w:rsidR="00DA122A">
              <w:rPr>
                <w:noProof/>
                <w:webHidden/>
              </w:rPr>
              <w:fldChar w:fldCharType="begin"/>
            </w:r>
            <w:r w:rsidR="00DA122A">
              <w:rPr>
                <w:noProof/>
                <w:webHidden/>
              </w:rPr>
              <w:instrText xml:space="preserve"> PAGEREF _Toc210668920 \h </w:instrText>
            </w:r>
            <w:r w:rsidR="00DA122A">
              <w:rPr>
                <w:noProof/>
                <w:webHidden/>
              </w:rPr>
            </w:r>
            <w:r w:rsidR="00DA122A">
              <w:rPr>
                <w:noProof/>
                <w:webHidden/>
              </w:rPr>
              <w:fldChar w:fldCharType="separate"/>
            </w:r>
            <w:r w:rsidR="00DA122A">
              <w:rPr>
                <w:noProof/>
                <w:webHidden/>
              </w:rPr>
              <w:t>11</w:t>
            </w:r>
            <w:r w:rsidR="00DA122A">
              <w:rPr>
                <w:noProof/>
                <w:webHidden/>
              </w:rPr>
              <w:fldChar w:fldCharType="end"/>
            </w:r>
          </w:hyperlink>
        </w:p>
        <w:p w14:paraId="7ED665C6" w14:textId="198B558B"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1" w:history="1">
            <w:r w:rsidR="00DA122A" w:rsidRPr="001B3BC4">
              <w:rPr>
                <w:rStyle w:val="Enlla"/>
                <w:noProof/>
                <w:lang w:val="en-GB"/>
              </w:rPr>
              <w:t>Table S3. Frequency of the most frequent diagnosis pairs at the end of the study period.</w:t>
            </w:r>
            <w:r w:rsidR="00DA122A">
              <w:rPr>
                <w:noProof/>
                <w:webHidden/>
              </w:rPr>
              <w:tab/>
            </w:r>
            <w:r w:rsidR="00DA122A">
              <w:rPr>
                <w:noProof/>
                <w:webHidden/>
              </w:rPr>
              <w:fldChar w:fldCharType="begin"/>
            </w:r>
            <w:r w:rsidR="00DA122A">
              <w:rPr>
                <w:noProof/>
                <w:webHidden/>
              </w:rPr>
              <w:instrText xml:space="preserve"> PAGEREF _Toc210668921 \h </w:instrText>
            </w:r>
            <w:r w:rsidR="00DA122A">
              <w:rPr>
                <w:noProof/>
                <w:webHidden/>
              </w:rPr>
            </w:r>
            <w:r w:rsidR="00DA122A">
              <w:rPr>
                <w:noProof/>
                <w:webHidden/>
              </w:rPr>
              <w:fldChar w:fldCharType="separate"/>
            </w:r>
            <w:r w:rsidR="00DA122A">
              <w:rPr>
                <w:noProof/>
                <w:webHidden/>
              </w:rPr>
              <w:t>12</w:t>
            </w:r>
            <w:r w:rsidR="00DA122A">
              <w:rPr>
                <w:noProof/>
                <w:webHidden/>
              </w:rPr>
              <w:fldChar w:fldCharType="end"/>
            </w:r>
          </w:hyperlink>
        </w:p>
        <w:p w14:paraId="020B484E" w14:textId="4A13190C"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2" w:history="1">
            <w:r w:rsidR="00DA122A" w:rsidRPr="001B3BC4">
              <w:rPr>
                <w:rStyle w:val="Enlla"/>
                <w:noProof/>
                <w:lang w:val="en-GB"/>
              </w:rPr>
              <w:t>Table S4. Frequency of the most frequent diagnosis triads at the end of the study period</w:t>
            </w:r>
            <w:r w:rsidR="00DA122A">
              <w:rPr>
                <w:noProof/>
                <w:webHidden/>
              </w:rPr>
              <w:tab/>
            </w:r>
            <w:r w:rsidR="00DA122A">
              <w:rPr>
                <w:noProof/>
                <w:webHidden/>
              </w:rPr>
              <w:fldChar w:fldCharType="begin"/>
            </w:r>
            <w:r w:rsidR="00DA122A">
              <w:rPr>
                <w:noProof/>
                <w:webHidden/>
              </w:rPr>
              <w:instrText xml:space="preserve"> PAGEREF _Toc210668922 \h </w:instrText>
            </w:r>
            <w:r w:rsidR="00DA122A">
              <w:rPr>
                <w:noProof/>
                <w:webHidden/>
              </w:rPr>
            </w:r>
            <w:r w:rsidR="00DA122A">
              <w:rPr>
                <w:noProof/>
                <w:webHidden/>
              </w:rPr>
              <w:fldChar w:fldCharType="separate"/>
            </w:r>
            <w:r w:rsidR="00DA122A">
              <w:rPr>
                <w:noProof/>
                <w:webHidden/>
              </w:rPr>
              <w:t>13</w:t>
            </w:r>
            <w:r w:rsidR="00DA122A">
              <w:rPr>
                <w:noProof/>
                <w:webHidden/>
              </w:rPr>
              <w:fldChar w:fldCharType="end"/>
            </w:r>
          </w:hyperlink>
        </w:p>
        <w:p w14:paraId="05E1970E" w14:textId="45627C74" w:rsidR="00DA122A" w:rsidRDefault="00AD0458">
          <w:pPr>
            <w:pStyle w:val="IDC1"/>
            <w:tabs>
              <w:tab w:val="right" w:leader="dot" w:pos="8494"/>
            </w:tabs>
            <w:rPr>
              <w:rFonts w:asciiTheme="minorHAnsi" w:eastAsiaTheme="minorEastAsia" w:hAnsiTheme="minorHAnsi"/>
              <w:noProof/>
              <w:sz w:val="22"/>
              <w:lang w:val="ca-ES" w:eastAsia="ca-ES"/>
            </w:rPr>
          </w:pPr>
          <w:hyperlink w:anchor="_Toc210668923" w:history="1">
            <w:r w:rsidR="00DA122A" w:rsidRPr="001B3BC4">
              <w:rPr>
                <w:rStyle w:val="Enlla"/>
                <w:noProof/>
                <w:lang w:val="en-GB"/>
              </w:rPr>
              <w:t>Supplementary figures</w:t>
            </w:r>
            <w:r w:rsidR="00DA122A">
              <w:rPr>
                <w:noProof/>
                <w:webHidden/>
              </w:rPr>
              <w:tab/>
            </w:r>
            <w:r w:rsidR="00DA122A">
              <w:rPr>
                <w:noProof/>
                <w:webHidden/>
              </w:rPr>
              <w:fldChar w:fldCharType="begin"/>
            </w:r>
            <w:r w:rsidR="00DA122A">
              <w:rPr>
                <w:noProof/>
                <w:webHidden/>
              </w:rPr>
              <w:instrText xml:space="preserve"> PAGEREF _Toc210668923 \h </w:instrText>
            </w:r>
            <w:r w:rsidR="00DA122A">
              <w:rPr>
                <w:noProof/>
                <w:webHidden/>
              </w:rPr>
            </w:r>
            <w:r w:rsidR="00DA122A">
              <w:rPr>
                <w:noProof/>
                <w:webHidden/>
              </w:rPr>
              <w:fldChar w:fldCharType="separate"/>
            </w:r>
            <w:r w:rsidR="00DA122A">
              <w:rPr>
                <w:noProof/>
                <w:webHidden/>
              </w:rPr>
              <w:t>14</w:t>
            </w:r>
            <w:r w:rsidR="00DA122A">
              <w:rPr>
                <w:noProof/>
                <w:webHidden/>
              </w:rPr>
              <w:fldChar w:fldCharType="end"/>
            </w:r>
          </w:hyperlink>
        </w:p>
        <w:p w14:paraId="3A6CA8D7" w14:textId="39F3C7B9"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4" w:history="1">
            <w:r w:rsidR="00DA122A" w:rsidRPr="001B3BC4">
              <w:rPr>
                <w:rStyle w:val="Enlla"/>
                <w:noProof/>
                <w:lang w:val="en-GB"/>
              </w:rPr>
              <w:t>Figure S1· Overview of the study design</w:t>
            </w:r>
            <w:r w:rsidR="00DA122A">
              <w:rPr>
                <w:noProof/>
                <w:webHidden/>
              </w:rPr>
              <w:tab/>
            </w:r>
            <w:r w:rsidR="00DA122A">
              <w:rPr>
                <w:noProof/>
                <w:webHidden/>
              </w:rPr>
              <w:fldChar w:fldCharType="begin"/>
            </w:r>
            <w:r w:rsidR="00DA122A">
              <w:rPr>
                <w:noProof/>
                <w:webHidden/>
              </w:rPr>
              <w:instrText xml:space="preserve"> PAGEREF _Toc210668924 \h </w:instrText>
            </w:r>
            <w:r w:rsidR="00DA122A">
              <w:rPr>
                <w:noProof/>
                <w:webHidden/>
              </w:rPr>
            </w:r>
            <w:r w:rsidR="00DA122A">
              <w:rPr>
                <w:noProof/>
                <w:webHidden/>
              </w:rPr>
              <w:fldChar w:fldCharType="separate"/>
            </w:r>
            <w:r w:rsidR="00DA122A">
              <w:rPr>
                <w:noProof/>
                <w:webHidden/>
              </w:rPr>
              <w:t>14</w:t>
            </w:r>
            <w:r w:rsidR="00DA122A">
              <w:rPr>
                <w:noProof/>
                <w:webHidden/>
              </w:rPr>
              <w:fldChar w:fldCharType="end"/>
            </w:r>
          </w:hyperlink>
        </w:p>
        <w:p w14:paraId="759605C7" w14:textId="74AC207F"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5" w:history="1">
            <w:r w:rsidR="00DA122A" w:rsidRPr="001B3BC4">
              <w:rPr>
                <w:rStyle w:val="Enlla"/>
                <w:noProof/>
                <w:lang w:val="en-GB"/>
              </w:rPr>
              <w:t>Figure S2· Sankey diagram for transitions across AMG risk groups</w:t>
            </w:r>
            <w:r w:rsidR="00DA122A">
              <w:rPr>
                <w:noProof/>
                <w:webHidden/>
              </w:rPr>
              <w:tab/>
            </w:r>
            <w:r w:rsidR="00DA122A">
              <w:rPr>
                <w:noProof/>
                <w:webHidden/>
              </w:rPr>
              <w:fldChar w:fldCharType="begin"/>
            </w:r>
            <w:r w:rsidR="00DA122A">
              <w:rPr>
                <w:noProof/>
                <w:webHidden/>
              </w:rPr>
              <w:instrText xml:space="preserve"> PAGEREF _Toc210668925 \h </w:instrText>
            </w:r>
            <w:r w:rsidR="00DA122A">
              <w:rPr>
                <w:noProof/>
                <w:webHidden/>
              </w:rPr>
            </w:r>
            <w:r w:rsidR="00DA122A">
              <w:rPr>
                <w:noProof/>
                <w:webHidden/>
              </w:rPr>
              <w:fldChar w:fldCharType="separate"/>
            </w:r>
            <w:r w:rsidR="00DA122A">
              <w:rPr>
                <w:noProof/>
                <w:webHidden/>
              </w:rPr>
              <w:t>15</w:t>
            </w:r>
            <w:r w:rsidR="00DA122A">
              <w:rPr>
                <w:noProof/>
                <w:webHidden/>
              </w:rPr>
              <w:fldChar w:fldCharType="end"/>
            </w:r>
          </w:hyperlink>
        </w:p>
        <w:p w14:paraId="1768915E" w14:textId="246B239E"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6" w:history="1">
            <w:r w:rsidR="00DA122A" w:rsidRPr="001B3BC4">
              <w:rPr>
                <w:rStyle w:val="Enlla"/>
                <w:noProof/>
                <w:lang w:val="en-GB"/>
              </w:rPr>
              <w:t>Figure S3· Conditions triggering the transition towards high/very-high risk·</w:t>
            </w:r>
            <w:r w:rsidR="00DA122A">
              <w:rPr>
                <w:noProof/>
                <w:webHidden/>
              </w:rPr>
              <w:tab/>
            </w:r>
            <w:r w:rsidR="00DA122A">
              <w:rPr>
                <w:noProof/>
                <w:webHidden/>
              </w:rPr>
              <w:fldChar w:fldCharType="begin"/>
            </w:r>
            <w:r w:rsidR="00DA122A">
              <w:rPr>
                <w:noProof/>
                <w:webHidden/>
              </w:rPr>
              <w:instrText xml:space="preserve"> PAGEREF _Toc210668926 \h </w:instrText>
            </w:r>
            <w:r w:rsidR="00DA122A">
              <w:rPr>
                <w:noProof/>
                <w:webHidden/>
              </w:rPr>
            </w:r>
            <w:r w:rsidR="00DA122A">
              <w:rPr>
                <w:noProof/>
                <w:webHidden/>
              </w:rPr>
              <w:fldChar w:fldCharType="separate"/>
            </w:r>
            <w:r w:rsidR="00DA122A">
              <w:rPr>
                <w:noProof/>
                <w:webHidden/>
              </w:rPr>
              <w:t>16</w:t>
            </w:r>
            <w:r w:rsidR="00DA122A">
              <w:rPr>
                <w:noProof/>
                <w:webHidden/>
              </w:rPr>
              <w:fldChar w:fldCharType="end"/>
            </w:r>
          </w:hyperlink>
        </w:p>
        <w:p w14:paraId="219D702F" w14:textId="7AFFD861"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7" w:history="1">
            <w:r w:rsidR="00DA122A" w:rsidRPr="001B3BC4">
              <w:rPr>
                <w:rStyle w:val="Enlla"/>
                <w:noProof/>
                <w:lang w:val="en-GB"/>
              </w:rPr>
              <w:t xml:space="preserve">Figure S4· </w:t>
            </w:r>
            <w:r w:rsidR="00DA122A" w:rsidRPr="001B3BC4">
              <w:rPr>
                <w:rStyle w:val="Enlla"/>
                <w:noProof/>
              </w:rPr>
              <w:t xml:space="preserve">Performance of the models for predicting transition to high/very-high clinical risk (Adjusted Morbidity Groups [AMG] index </w:t>
            </w:r>
            <w:r w:rsidR="00DA122A" w:rsidRPr="001B3BC4">
              <w:rPr>
                <w:rStyle w:val="Enlla"/>
                <w:noProof/>
                <w:lang w:val="en"/>
              </w:rPr>
              <w:t>≥</w:t>
            </w:r>
            <w:r w:rsidR="00DA122A" w:rsidRPr="001B3BC4">
              <w:rPr>
                <w:rStyle w:val="Enlla"/>
                <w:noProof/>
                <w:lang w:val="en-GB"/>
              </w:rPr>
              <w:t>P</w:t>
            </w:r>
            <w:r w:rsidR="00DA122A" w:rsidRPr="001B3BC4">
              <w:rPr>
                <w:rStyle w:val="Enlla"/>
                <w:noProof/>
                <w:vertAlign w:val="subscript"/>
                <w:lang w:val="en-GB"/>
              </w:rPr>
              <w:t>80</w:t>
            </w:r>
            <w:r w:rsidR="00DA122A" w:rsidRPr="001B3BC4">
              <w:rPr>
                <w:rStyle w:val="Enlla"/>
                <w:noProof/>
                <w:lang w:val="en-GB"/>
              </w:rPr>
              <w:t>)</w:t>
            </w:r>
            <w:r w:rsidR="00DA122A">
              <w:rPr>
                <w:noProof/>
                <w:webHidden/>
              </w:rPr>
              <w:tab/>
            </w:r>
            <w:r w:rsidR="00DA122A">
              <w:rPr>
                <w:noProof/>
                <w:webHidden/>
              </w:rPr>
              <w:fldChar w:fldCharType="begin"/>
            </w:r>
            <w:r w:rsidR="00DA122A">
              <w:rPr>
                <w:noProof/>
                <w:webHidden/>
              </w:rPr>
              <w:instrText xml:space="preserve"> PAGEREF _Toc210668927 \h </w:instrText>
            </w:r>
            <w:r w:rsidR="00DA122A">
              <w:rPr>
                <w:noProof/>
                <w:webHidden/>
              </w:rPr>
            </w:r>
            <w:r w:rsidR="00DA122A">
              <w:rPr>
                <w:noProof/>
                <w:webHidden/>
              </w:rPr>
              <w:fldChar w:fldCharType="separate"/>
            </w:r>
            <w:r w:rsidR="00DA122A">
              <w:rPr>
                <w:noProof/>
                <w:webHidden/>
              </w:rPr>
              <w:t>17</w:t>
            </w:r>
            <w:r w:rsidR="00DA122A">
              <w:rPr>
                <w:noProof/>
                <w:webHidden/>
              </w:rPr>
              <w:fldChar w:fldCharType="end"/>
            </w:r>
          </w:hyperlink>
        </w:p>
        <w:p w14:paraId="2FE574EC" w14:textId="26432CBF"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8" w:history="1">
            <w:r w:rsidR="00DA122A" w:rsidRPr="001B3BC4">
              <w:rPr>
                <w:rStyle w:val="Enlla"/>
                <w:noProof/>
                <w:lang w:val="en-GB"/>
              </w:rPr>
              <w:t>Figure S5· Distribution of diagnostic pairs (A) and triads (B)</w:t>
            </w:r>
            <w:r w:rsidR="00DA122A">
              <w:rPr>
                <w:noProof/>
                <w:webHidden/>
              </w:rPr>
              <w:tab/>
            </w:r>
            <w:r w:rsidR="00DA122A">
              <w:rPr>
                <w:noProof/>
                <w:webHidden/>
              </w:rPr>
              <w:fldChar w:fldCharType="begin"/>
            </w:r>
            <w:r w:rsidR="00DA122A">
              <w:rPr>
                <w:noProof/>
                <w:webHidden/>
              </w:rPr>
              <w:instrText xml:space="preserve"> PAGEREF _Toc210668928 \h </w:instrText>
            </w:r>
            <w:r w:rsidR="00DA122A">
              <w:rPr>
                <w:noProof/>
                <w:webHidden/>
              </w:rPr>
            </w:r>
            <w:r w:rsidR="00DA122A">
              <w:rPr>
                <w:noProof/>
                <w:webHidden/>
              </w:rPr>
              <w:fldChar w:fldCharType="separate"/>
            </w:r>
            <w:r w:rsidR="00DA122A">
              <w:rPr>
                <w:noProof/>
                <w:webHidden/>
              </w:rPr>
              <w:t>18</w:t>
            </w:r>
            <w:r w:rsidR="00DA122A">
              <w:rPr>
                <w:noProof/>
                <w:webHidden/>
              </w:rPr>
              <w:fldChar w:fldCharType="end"/>
            </w:r>
          </w:hyperlink>
        </w:p>
        <w:p w14:paraId="10C33DE8" w14:textId="01E127A8" w:rsidR="00DA122A" w:rsidRDefault="00AD0458">
          <w:pPr>
            <w:pStyle w:val="IDC2"/>
            <w:tabs>
              <w:tab w:val="right" w:leader="dot" w:pos="8494"/>
            </w:tabs>
            <w:rPr>
              <w:rFonts w:asciiTheme="minorHAnsi" w:eastAsiaTheme="minorEastAsia" w:hAnsiTheme="minorHAnsi"/>
              <w:noProof/>
              <w:sz w:val="22"/>
              <w:lang w:val="ca-ES" w:eastAsia="ca-ES"/>
            </w:rPr>
          </w:pPr>
          <w:hyperlink w:anchor="_Toc210668929" w:history="1">
            <w:r w:rsidR="00DA122A" w:rsidRPr="001B3BC4">
              <w:rPr>
                <w:rStyle w:val="Enlla"/>
                <w:noProof/>
              </w:rPr>
              <w:t>Figure S6· Specific network diseases of the 20 most prevalent conditions at the end of the study period ·</w:t>
            </w:r>
            <w:r w:rsidR="00DA122A">
              <w:rPr>
                <w:noProof/>
                <w:webHidden/>
              </w:rPr>
              <w:tab/>
            </w:r>
            <w:r w:rsidR="00DA122A">
              <w:rPr>
                <w:noProof/>
                <w:webHidden/>
              </w:rPr>
              <w:fldChar w:fldCharType="begin"/>
            </w:r>
            <w:r w:rsidR="00DA122A">
              <w:rPr>
                <w:noProof/>
                <w:webHidden/>
              </w:rPr>
              <w:instrText xml:space="preserve"> PAGEREF _Toc210668929 \h </w:instrText>
            </w:r>
            <w:r w:rsidR="00DA122A">
              <w:rPr>
                <w:noProof/>
                <w:webHidden/>
              </w:rPr>
            </w:r>
            <w:r w:rsidR="00DA122A">
              <w:rPr>
                <w:noProof/>
                <w:webHidden/>
              </w:rPr>
              <w:fldChar w:fldCharType="separate"/>
            </w:r>
            <w:r w:rsidR="00DA122A">
              <w:rPr>
                <w:noProof/>
                <w:webHidden/>
              </w:rPr>
              <w:t>18</w:t>
            </w:r>
            <w:r w:rsidR="00DA122A">
              <w:rPr>
                <w:noProof/>
                <w:webHidden/>
              </w:rPr>
              <w:fldChar w:fldCharType="end"/>
            </w:r>
          </w:hyperlink>
        </w:p>
        <w:p w14:paraId="26E450AF" w14:textId="085AAD47" w:rsidR="00207C70" w:rsidRPr="00E97AF3" w:rsidRDefault="00207C70">
          <w:pPr>
            <w:rPr>
              <w:lang w:val="en-GB"/>
            </w:rPr>
          </w:pPr>
          <w:r w:rsidRPr="00E97AF3">
            <w:rPr>
              <w:b/>
              <w:bCs/>
              <w:lang w:val="en-GB"/>
            </w:rPr>
            <w:fldChar w:fldCharType="end"/>
          </w:r>
        </w:p>
      </w:sdtContent>
    </w:sdt>
    <w:p w14:paraId="0A966C29" w14:textId="6FF149AC" w:rsidR="00207C70" w:rsidRPr="00E97AF3" w:rsidRDefault="00207C70">
      <w:pPr>
        <w:spacing w:line="259" w:lineRule="auto"/>
        <w:jc w:val="left"/>
        <w:rPr>
          <w:lang w:val="en-GB"/>
        </w:rPr>
      </w:pPr>
      <w:r w:rsidRPr="00E97AF3">
        <w:rPr>
          <w:lang w:val="en-GB"/>
        </w:rPr>
        <w:br w:type="page"/>
      </w:r>
    </w:p>
    <w:p w14:paraId="62521C47" w14:textId="5CF74570" w:rsidR="00A243DD" w:rsidRPr="00E97AF3" w:rsidRDefault="00A243DD" w:rsidP="00207C70">
      <w:pPr>
        <w:pStyle w:val="Ttol1"/>
        <w:rPr>
          <w:lang w:val="en-GB"/>
        </w:rPr>
      </w:pPr>
      <w:bookmarkStart w:id="0" w:name="_Toc210668913"/>
      <w:r w:rsidRPr="00E97AF3">
        <w:rPr>
          <w:lang w:val="en-GB"/>
        </w:rPr>
        <w:lastRenderedPageBreak/>
        <w:t>Supplementary Methods</w:t>
      </w:r>
      <w:bookmarkEnd w:id="0"/>
    </w:p>
    <w:p w14:paraId="6EFE4ADF" w14:textId="6A9018D2" w:rsidR="001178F3" w:rsidRPr="00E97AF3" w:rsidRDefault="0045530D" w:rsidP="0045530D">
      <w:pPr>
        <w:pStyle w:val="Ttol2"/>
        <w:rPr>
          <w:b w:val="0"/>
          <w:bCs/>
          <w:lang w:val="en-GB"/>
        </w:rPr>
      </w:pPr>
      <w:bookmarkStart w:id="1" w:name="_Toc210668914"/>
      <w:r w:rsidRPr="00E97AF3">
        <w:rPr>
          <w:bCs/>
          <w:lang w:val="en-GB"/>
        </w:rPr>
        <w:t>Risk estimates</w:t>
      </w:r>
      <w:bookmarkEnd w:id="1"/>
    </w:p>
    <w:p w14:paraId="7FE14A09" w14:textId="77777777" w:rsidR="00B14F39" w:rsidRPr="00E97AF3" w:rsidRDefault="00B14F39" w:rsidP="00B14F39">
      <w:pPr>
        <w:spacing w:after="0" w:line="240" w:lineRule="auto"/>
        <w:jc w:val="left"/>
        <w:textAlignment w:val="baseline"/>
        <w:divId w:val="1966886759"/>
        <w:rPr>
          <w:rFonts w:ascii="Calibri" w:eastAsiaTheme="minorEastAsia" w:hAnsi="Calibri" w:cs="Calibri"/>
          <w:lang w:val="en-GB" w:eastAsia="ca-ES"/>
        </w:rPr>
      </w:pPr>
      <w:r w:rsidRPr="00E97AF3">
        <w:rPr>
          <w:rFonts w:ascii="Calibri" w:eastAsiaTheme="minorEastAsia" w:hAnsi="Calibri" w:cs="Calibri"/>
          <w:lang w:val="en-GB" w:eastAsia="ca-ES"/>
        </w:rPr>
        <w:t>The risk ratio compares the observed frequency (O) of the triplet with the expected frequency (E). </w:t>
      </w:r>
    </w:p>
    <w:p w14:paraId="23392A9A" w14:textId="3F8F0F49" w:rsidR="00967F24" w:rsidRPr="00E97AF3" w:rsidRDefault="00507040" w:rsidP="00967F24">
      <w:pPr>
        <w:divId w:val="1966886759"/>
        <w:rPr>
          <w:u w:val="single"/>
          <w:lang w:val="en-GB"/>
        </w:rPr>
      </w:pPr>
      <w:r>
        <w:rPr>
          <w:rFonts w:eastAsiaTheme="minorEastAsia"/>
          <w:lang w:val="en-GB"/>
        </w:rPr>
        <w:br/>
      </w:r>
      <w:r w:rsidR="00967F24" w:rsidRPr="00E97AF3">
        <w:rPr>
          <w:u w:val="single"/>
          <w:lang w:val="en-GB"/>
        </w:rPr>
        <w:t>Disease pairs:</w:t>
      </w:r>
    </w:p>
    <w:p w14:paraId="63242D63" w14:textId="77777777" w:rsidR="00967F24" w:rsidRPr="00E97AF3" w:rsidRDefault="00967F24" w:rsidP="00967F24">
      <w:pPr>
        <w:divId w:val="1966886759"/>
        <w:rPr>
          <w:rFonts w:eastAsiaTheme="minorEastAsia"/>
          <w:lang w:val="en-GB"/>
        </w:rPr>
      </w:pPr>
      <m:oMathPara>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AB</m:t>
                  </m:r>
                </m:e>
              </m:d>
            </m:sub>
          </m:sSub>
          <m:r>
            <w:rPr>
              <w:rFonts w:ascii="Cambria Math" w:hAnsi="Cambria Math"/>
              <w:lang w:val="en-GB"/>
            </w:rPr>
            <m:t>=</m:t>
          </m:r>
          <m:f>
            <m:fPr>
              <m:ctrlPr>
                <w:rPr>
                  <w:rFonts w:ascii="Cambria Math" w:hAnsi="Cambria Math"/>
                  <w:i/>
                  <w:lang w:val="en-GB"/>
                </w:rPr>
              </m:ctrlPr>
            </m:fPr>
            <m:num>
              <m:r>
                <w:rPr>
                  <w:rFonts w:ascii="Cambria Math" w:hAnsi="Cambria Math"/>
                  <w:lang w:val="en-GB"/>
                </w:rPr>
                <m:t>O</m:t>
              </m:r>
            </m:num>
            <m:den>
              <m:r>
                <w:rPr>
                  <w:rFonts w:ascii="Cambria Math" w:hAnsi="Cambria Math"/>
                  <w:lang w:val="en-GB"/>
                </w:rPr>
                <m:t>E</m:t>
              </m:r>
            </m:den>
          </m:f>
          <m:r>
            <w:rPr>
              <w:rFonts w:ascii="Cambria Math" w:hAnsi="Cambria Math"/>
              <w:lang w:val="en-GB"/>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ABC</m:t>
                  </m:r>
                </m:sub>
              </m:sSub>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r>
                <w:rPr>
                  <w:rFonts w:ascii="Cambria Math" w:hAnsi="Cambria Math"/>
                  <w:lang w:val="en-GB"/>
                </w:rPr>
                <m:t>)/N</m:t>
              </m:r>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AB</m:t>
                  </m:r>
                </m:sub>
              </m:sSub>
              <m:r>
                <w:rPr>
                  <w:rFonts w:ascii="Cambria Math" w:hAnsi="Cambria Math"/>
                  <w:lang w:val="en-GB"/>
                </w:rPr>
                <m:t>·N</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den>
          </m:f>
        </m:oMath>
      </m:oMathPara>
    </w:p>
    <w:p w14:paraId="7DEE07D4" w14:textId="77777777" w:rsidR="00967F24" w:rsidRPr="00E97AF3" w:rsidRDefault="00967F24" w:rsidP="00967F24">
      <w:pPr>
        <w:divId w:val="1966886759"/>
        <w:rPr>
          <w:rFonts w:eastAsiaTheme="minorEastAsia"/>
          <w:lang w:val="en-GB"/>
        </w:rPr>
      </w:pPr>
      <w:r w:rsidRPr="00E97AF3">
        <w:rPr>
          <w:rFonts w:eastAsiaTheme="minorEastAsia"/>
          <w:lang w:val="en-GB"/>
        </w:rPr>
        <w:t>where:</w:t>
      </w:r>
    </w:p>
    <w:p w14:paraId="2FAF3A31" w14:textId="77777777"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w:t>
      </w:r>
      <w:r w:rsidRPr="00E97AF3">
        <w:rPr>
          <w:rFonts w:eastAsiaTheme="minorEastAsia"/>
          <w:vertAlign w:val="subscript"/>
          <w:lang w:val="en-GB"/>
        </w:rPr>
        <w:t>AB</w:t>
      </w:r>
      <w:r w:rsidRPr="00E97AF3">
        <w:rPr>
          <w:rFonts w:eastAsiaTheme="minorEastAsia"/>
          <w:lang w:val="en-GB"/>
        </w:rPr>
        <w:t xml:space="preserve"> (O): The observed number of patients with both diseases A and B. </w:t>
      </w:r>
    </w:p>
    <w:p w14:paraId="70582C1C" w14:textId="77777777"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 The total number of patients.</w:t>
      </w:r>
    </w:p>
    <w:p w14:paraId="01A124DD" w14:textId="77777777"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w:t>
      </w:r>
      <w:r w:rsidRPr="00E97AF3">
        <w:rPr>
          <w:rFonts w:eastAsiaTheme="minorEastAsia"/>
          <w:vertAlign w:val="subscript"/>
          <w:lang w:val="en-GB"/>
        </w:rPr>
        <w:t>A</w:t>
      </w:r>
      <w:r w:rsidRPr="00E97AF3">
        <w:rPr>
          <w:rFonts w:eastAsiaTheme="minorEastAsia"/>
          <w:lang w:val="en-GB"/>
        </w:rPr>
        <w:t>, N</w:t>
      </w:r>
      <w:r w:rsidRPr="00E97AF3">
        <w:rPr>
          <w:rFonts w:eastAsiaTheme="minorEastAsia"/>
          <w:vertAlign w:val="subscript"/>
          <w:lang w:val="en-GB"/>
        </w:rPr>
        <w:t>B</w:t>
      </w:r>
      <w:r w:rsidRPr="00E97AF3">
        <w:rPr>
          <w:rFonts w:eastAsiaTheme="minorEastAsia"/>
          <w:lang w:val="en-GB"/>
        </w:rPr>
        <w:t xml:space="preserve">: The number of patients with disease A and disease B, respectively. </w:t>
      </w:r>
    </w:p>
    <w:p w14:paraId="1E0FDAF9" w14:textId="77777777" w:rsidR="00967F24" w:rsidRPr="00E97AF3" w:rsidRDefault="00967F24" w:rsidP="00967F24">
      <w:pPr>
        <w:divId w:val="1966886759"/>
        <w:rPr>
          <w:lang w:val="en-GB"/>
        </w:rPr>
      </w:pPr>
    </w:p>
    <w:p w14:paraId="61504E22" w14:textId="77777777" w:rsidR="00967F24" w:rsidRPr="00E97AF3" w:rsidRDefault="00967F24" w:rsidP="00967F24">
      <w:pPr>
        <w:divId w:val="1966886759"/>
        <w:rPr>
          <w:rFonts w:eastAsiaTheme="minorEastAsia"/>
          <w:u w:val="single"/>
          <w:lang w:val="en-GB"/>
        </w:rPr>
      </w:pPr>
      <w:r w:rsidRPr="00E97AF3">
        <w:rPr>
          <w:rFonts w:eastAsiaTheme="minorEastAsia"/>
          <w:u w:val="single"/>
          <w:lang w:val="en-GB"/>
        </w:rPr>
        <w:t xml:space="preserve">Disease triples: </w:t>
      </w:r>
    </w:p>
    <w:p w14:paraId="60D26539" w14:textId="77777777" w:rsidR="00967F24" w:rsidRPr="00E97AF3" w:rsidRDefault="00967F24" w:rsidP="00967F24">
      <w:pPr>
        <w:divId w:val="1966886759"/>
        <w:rPr>
          <w:rFonts w:eastAsiaTheme="minorEastAsia"/>
          <w:lang w:val="en-GB"/>
        </w:rPr>
      </w:pPr>
      <m:oMathPara>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d>
                <m:dPr>
                  <m:begChr m:val="{"/>
                  <m:endChr m:val="}"/>
                  <m:ctrlPr>
                    <w:rPr>
                      <w:rFonts w:ascii="Cambria Math" w:hAnsi="Cambria Math"/>
                      <w:i/>
                      <w:lang w:val="en-GB"/>
                    </w:rPr>
                  </m:ctrlPr>
                </m:dPr>
                <m:e>
                  <m:r>
                    <w:rPr>
                      <w:rFonts w:ascii="Cambria Math" w:hAnsi="Cambria Math"/>
                      <w:lang w:val="en-GB"/>
                    </w:rPr>
                    <m:t>ABC</m:t>
                  </m:r>
                </m:e>
              </m:d>
            </m:sub>
          </m:sSub>
          <m:r>
            <w:rPr>
              <w:rFonts w:ascii="Cambria Math" w:hAnsi="Cambria Math"/>
              <w:lang w:val="en-GB"/>
            </w:rPr>
            <m:t>=</m:t>
          </m:r>
          <m:f>
            <m:fPr>
              <m:ctrlPr>
                <w:rPr>
                  <w:rFonts w:ascii="Cambria Math" w:hAnsi="Cambria Math"/>
                  <w:i/>
                  <w:lang w:val="en-GB"/>
                </w:rPr>
              </m:ctrlPr>
            </m:fPr>
            <m:num>
              <m:r>
                <w:rPr>
                  <w:rFonts w:ascii="Cambria Math" w:hAnsi="Cambria Math"/>
                  <w:lang w:val="en-GB"/>
                </w:rPr>
                <m:t>O</m:t>
              </m:r>
            </m:num>
            <m:den>
              <m:r>
                <w:rPr>
                  <w:rFonts w:ascii="Cambria Math" w:hAnsi="Cambria Math"/>
                  <w:lang w:val="en-GB"/>
                </w:rPr>
                <m:t>E</m:t>
              </m:r>
            </m:den>
          </m:f>
          <m:r>
            <w:rPr>
              <w:rFonts w:ascii="Cambria Math" w:hAnsi="Cambria Math"/>
              <w:lang w:val="en-GB"/>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ABC</m:t>
                  </m:r>
                </m:sub>
              </m:sSub>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ABC</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2</m:t>
                  </m:r>
                </m:sup>
              </m:sSup>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m:t>
                  </m:r>
                </m:sub>
              </m:sSub>
            </m:den>
          </m:f>
        </m:oMath>
      </m:oMathPara>
    </w:p>
    <w:p w14:paraId="02822F66" w14:textId="77777777" w:rsidR="00967F24" w:rsidRPr="00E97AF3" w:rsidRDefault="00967F24" w:rsidP="00967F24">
      <w:pPr>
        <w:divId w:val="1966886759"/>
        <w:rPr>
          <w:rFonts w:eastAsiaTheme="minorEastAsia"/>
          <w:lang w:val="en-GB"/>
        </w:rPr>
      </w:pPr>
      <w:r w:rsidRPr="00E97AF3">
        <w:rPr>
          <w:rFonts w:eastAsiaTheme="minorEastAsia"/>
          <w:lang w:val="en-GB"/>
        </w:rPr>
        <w:t>where:</w:t>
      </w:r>
    </w:p>
    <w:p w14:paraId="576120EA" w14:textId="77777777"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w:t>
      </w:r>
      <w:r w:rsidRPr="00E97AF3">
        <w:rPr>
          <w:rFonts w:eastAsiaTheme="minorEastAsia"/>
          <w:vertAlign w:val="subscript"/>
          <w:lang w:val="en-GB"/>
        </w:rPr>
        <w:t>ABC</w:t>
      </w:r>
      <w:r w:rsidRPr="00E97AF3">
        <w:rPr>
          <w:rFonts w:eastAsiaTheme="minorEastAsia"/>
          <w:lang w:val="en-GB"/>
        </w:rPr>
        <w:t xml:space="preserve"> (O): The observed number of patients who have all three diseases A, B, and C. </w:t>
      </w:r>
    </w:p>
    <w:p w14:paraId="44388814" w14:textId="77777777"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 The total number of patients.</w:t>
      </w:r>
    </w:p>
    <w:p w14:paraId="1E71FC93" w14:textId="70AB5B4E" w:rsidR="00967F24" w:rsidRPr="00E97AF3" w:rsidRDefault="00967F24" w:rsidP="00967F24">
      <w:pPr>
        <w:pStyle w:val="Pargrafdellista"/>
        <w:numPr>
          <w:ilvl w:val="0"/>
          <w:numId w:val="13"/>
        </w:numPr>
        <w:spacing w:line="259" w:lineRule="auto"/>
        <w:jc w:val="left"/>
        <w:divId w:val="1966886759"/>
        <w:rPr>
          <w:rFonts w:eastAsiaTheme="minorEastAsia"/>
          <w:lang w:val="en-GB"/>
        </w:rPr>
      </w:pPr>
      <w:r w:rsidRPr="00E97AF3">
        <w:rPr>
          <w:rFonts w:eastAsiaTheme="minorEastAsia"/>
          <w:lang w:val="en-GB"/>
        </w:rPr>
        <w:t>N</w:t>
      </w:r>
      <w:r w:rsidRPr="00E97AF3">
        <w:rPr>
          <w:rFonts w:eastAsiaTheme="minorEastAsia"/>
          <w:vertAlign w:val="subscript"/>
          <w:lang w:val="en-GB"/>
        </w:rPr>
        <w:t>A</w:t>
      </w:r>
      <w:r w:rsidRPr="00E97AF3">
        <w:rPr>
          <w:rFonts w:eastAsiaTheme="minorEastAsia"/>
          <w:lang w:val="en-GB"/>
        </w:rPr>
        <w:t>, N</w:t>
      </w:r>
      <w:r w:rsidRPr="00E97AF3">
        <w:rPr>
          <w:rFonts w:eastAsiaTheme="minorEastAsia"/>
          <w:vertAlign w:val="subscript"/>
          <w:lang w:val="en-GB"/>
        </w:rPr>
        <w:t>B</w:t>
      </w:r>
      <w:r w:rsidRPr="00E97AF3">
        <w:rPr>
          <w:rFonts w:eastAsiaTheme="minorEastAsia"/>
          <w:lang w:val="en-GB"/>
        </w:rPr>
        <w:t>, N</w:t>
      </w:r>
      <w:r w:rsidRPr="00E97AF3">
        <w:rPr>
          <w:rFonts w:eastAsiaTheme="minorEastAsia"/>
          <w:vertAlign w:val="subscript"/>
          <w:lang w:val="en-GB"/>
        </w:rPr>
        <w:t>C</w:t>
      </w:r>
      <w:r w:rsidRPr="00E97AF3">
        <w:rPr>
          <w:rFonts w:eastAsiaTheme="minorEastAsia"/>
          <w:lang w:val="en-GB"/>
        </w:rPr>
        <w:t xml:space="preserve">: The number of patients with disease A, disease B, and disease C, respectively. </w:t>
      </w:r>
    </w:p>
    <w:p w14:paraId="78DAB1D3" w14:textId="77777777" w:rsidR="00706DFC" w:rsidRPr="00E97AF3" w:rsidRDefault="00706DFC" w:rsidP="00706DFC">
      <w:pPr>
        <w:spacing w:line="259" w:lineRule="auto"/>
        <w:jc w:val="left"/>
        <w:divId w:val="1966886759"/>
        <w:rPr>
          <w:rFonts w:eastAsiaTheme="minorEastAsia"/>
          <w:lang w:val="en-GB"/>
        </w:rPr>
      </w:pPr>
    </w:p>
    <w:p w14:paraId="15F352CB" w14:textId="07237FAF" w:rsidR="00967F24" w:rsidRPr="00E97AF3" w:rsidRDefault="00774DBC" w:rsidP="00B61E8E">
      <w:pPr>
        <w:pStyle w:val="Ttol2"/>
        <w:divId w:val="1966886759"/>
        <w:rPr>
          <w:b w:val="0"/>
          <w:lang w:val="en-GB"/>
        </w:rPr>
      </w:pPr>
      <w:bookmarkStart w:id="2" w:name="_Toc210668915"/>
      <w:r w:rsidRPr="00E97AF3">
        <w:rPr>
          <w:lang w:val="en-GB"/>
        </w:rPr>
        <w:t>Bonferroni threshold</w:t>
      </w:r>
      <w:bookmarkEnd w:id="2"/>
    </w:p>
    <w:p w14:paraId="12E0E496" w14:textId="6E909095" w:rsidR="00774DBC" w:rsidRPr="00E97AF3" w:rsidRDefault="00774DBC" w:rsidP="00774DBC">
      <w:pPr>
        <w:divId w:val="1966886759"/>
        <w:rPr>
          <w:lang w:val="en-GB"/>
        </w:rPr>
      </w:pPr>
      <w:r w:rsidRPr="00E97AF3">
        <w:rPr>
          <w:lang w:val="en-GB"/>
        </w:rPr>
        <w:t xml:space="preserve">Statistical significance for pairwise associations was assessed using a Bonferroni correction to account for multiple testing. For </w:t>
      </w:r>
      <w:r w:rsidRPr="00E97AF3">
        <w:rPr>
          <w:rStyle w:val="mfasi"/>
          <w:lang w:val="en-GB"/>
        </w:rPr>
        <w:t>m</w:t>
      </w:r>
      <w:r w:rsidRPr="00E97AF3">
        <w:rPr>
          <w:lang w:val="en-GB"/>
        </w:rPr>
        <w:t xml:space="preserve"> tested pairs, the significance threshold was set at α/m, where α = 0·05 and </w:t>
      </w:r>
      <w:r w:rsidRPr="00E97AF3">
        <w:rPr>
          <w:rStyle w:val="mfasi"/>
          <w:lang w:val="en-GB"/>
        </w:rPr>
        <w:t>m</w:t>
      </w:r>
      <w:r w:rsidRPr="00E97AF3">
        <w:rPr>
          <w:lang w:val="en-GB"/>
        </w:rPr>
        <w:t xml:space="preserve"> was the total number of evaluated pairs. Adjusted p-values were obtained using the Bonf</w:t>
      </w:r>
      <w:r w:rsidR="00E74773" w:rsidRPr="00E97AF3">
        <w:rPr>
          <w:lang w:val="en-GB"/>
        </w:rPr>
        <w:t>erroni method implemented in R</w:t>
      </w:r>
      <w:r w:rsidRPr="00E97AF3">
        <w:rPr>
          <w:lang w:val="en-GB"/>
        </w:rPr>
        <w:t>, and only pairs with p &lt; α/m and involving ≥50 individuals were retained for network construction.</w:t>
      </w:r>
    </w:p>
    <w:p w14:paraId="03E97896" w14:textId="77777777" w:rsidR="00774DBC" w:rsidRPr="00E97AF3" w:rsidRDefault="00774DBC" w:rsidP="00774DBC">
      <w:pPr>
        <w:pStyle w:val="Ttol2"/>
        <w:divId w:val="1966886759"/>
        <w:rPr>
          <w:b w:val="0"/>
          <w:lang w:val="en-GB"/>
        </w:rPr>
      </w:pPr>
      <w:bookmarkStart w:id="3" w:name="_Toc210668916"/>
      <w:r w:rsidRPr="00E97AF3">
        <w:rPr>
          <w:lang w:val="en-GB"/>
        </w:rPr>
        <w:t>Pairs classification according to transitions</w:t>
      </w:r>
      <w:bookmarkEnd w:id="3"/>
    </w:p>
    <w:p w14:paraId="26FFE1C5" w14:textId="3E3FA47A" w:rsidR="00B61E8E" w:rsidRPr="00E97AF3" w:rsidRDefault="00B61E8E" w:rsidP="00B61E8E">
      <w:pPr>
        <w:divId w:val="1966886759"/>
        <w:rPr>
          <w:lang w:val="en-GB"/>
        </w:rPr>
      </w:pPr>
      <w:r w:rsidRPr="00E97AF3">
        <w:rPr>
          <w:lang w:val="en-GB"/>
        </w:rPr>
        <w:t>Pairs of chronic conditions were assessed for temporal relationship between with transition from low/moderate clinical risk to high/very-high clinical risk according to the Adjusted Morbidity Groups stratification. For each individual in the study, all instances where two conditions occurred sequentially were examined and each sequential pair was categorized based on the individual's stratum status before and after the onset of both conditions in the pair.</w:t>
      </w:r>
    </w:p>
    <w:p w14:paraId="286F0CAC" w14:textId="336BEB74" w:rsidR="00B61E8E" w:rsidRPr="00E97AF3" w:rsidRDefault="00B61E8E" w:rsidP="00B61E8E">
      <w:pPr>
        <w:divId w:val="1966886759"/>
        <w:rPr>
          <w:lang w:val="en-GB"/>
        </w:rPr>
      </w:pPr>
      <w:r w:rsidRPr="00E97AF3">
        <w:rPr>
          <w:lang w:val="en-GB"/>
        </w:rPr>
        <w:t>Three categories were defined:</w:t>
      </w:r>
    </w:p>
    <w:p w14:paraId="4745F9DA" w14:textId="523D0A81" w:rsidR="00B61E8E" w:rsidRPr="00E97AF3" w:rsidRDefault="00B61E8E" w:rsidP="00B61E8E">
      <w:pPr>
        <w:pStyle w:val="Pargrafdellista"/>
        <w:numPr>
          <w:ilvl w:val="0"/>
          <w:numId w:val="15"/>
        </w:numPr>
        <w:divId w:val="1966886759"/>
        <w:rPr>
          <w:lang w:val="en-GB"/>
        </w:rPr>
      </w:pPr>
      <w:r w:rsidRPr="00E97AF3">
        <w:rPr>
          <w:b/>
          <w:lang w:val="en-GB"/>
        </w:rPr>
        <w:lastRenderedPageBreak/>
        <w:t>Pre-transition (Pre):</w:t>
      </w:r>
      <w:r w:rsidRPr="00E97AF3">
        <w:rPr>
          <w:lang w:val="en-GB"/>
        </w:rPr>
        <w:t xml:space="preserve"> The individual remained in stratum </w:t>
      </w:r>
      <w:r w:rsidRPr="00E97AF3">
        <w:rPr>
          <w:i/>
          <w:lang w:val="en-GB"/>
        </w:rPr>
        <w:t>low/moderate risk</w:t>
      </w:r>
      <w:r w:rsidRPr="00E97AF3">
        <w:rPr>
          <w:lang w:val="en-GB"/>
        </w:rPr>
        <w:t xml:space="preserve"> both before and after the onset of both conditions in the pair. This indicates that neither condition, in that specific instance, triggered a transition to </w:t>
      </w:r>
      <w:r w:rsidRPr="00E97AF3">
        <w:rPr>
          <w:i/>
          <w:lang w:val="en-GB"/>
        </w:rPr>
        <w:t>high/very-high risk</w:t>
      </w:r>
      <w:r w:rsidRPr="00E97AF3">
        <w:rPr>
          <w:lang w:val="en-GB"/>
        </w:rPr>
        <w:t>.</w:t>
      </w:r>
    </w:p>
    <w:p w14:paraId="628EF217" w14:textId="6599CB77" w:rsidR="00B61E8E" w:rsidRPr="00E97AF3" w:rsidRDefault="00B61E8E" w:rsidP="00B61E8E">
      <w:pPr>
        <w:pStyle w:val="Pargrafdellista"/>
        <w:numPr>
          <w:ilvl w:val="0"/>
          <w:numId w:val="15"/>
        </w:numPr>
        <w:divId w:val="1966886759"/>
        <w:rPr>
          <w:lang w:val="en-GB"/>
        </w:rPr>
      </w:pPr>
      <w:r w:rsidRPr="00E97AF3">
        <w:rPr>
          <w:b/>
          <w:lang w:val="en-GB"/>
        </w:rPr>
        <w:t>Post-transition (Post):</w:t>
      </w:r>
      <w:r w:rsidRPr="00E97AF3">
        <w:rPr>
          <w:lang w:val="en-GB"/>
        </w:rPr>
        <w:t xml:space="preserve"> The individual was already in stratum </w:t>
      </w:r>
      <w:r w:rsidRPr="00E97AF3">
        <w:rPr>
          <w:i/>
          <w:lang w:val="en-GB"/>
        </w:rPr>
        <w:t>high/very-high risk</w:t>
      </w:r>
      <w:r w:rsidRPr="00E97AF3">
        <w:rPr>
          <w:lang w:val="en-GB"/>
        </w:rPr>
        <w:t xml:space="preserve"> before the onset of the first condition in the pair and remained in this stratum after the onset of the second condition. This suggests the transition to stratum </w:t>
      </w:r>
      <w:r w:rsidRPr="00E97AF3">
        <w:rPr>
          <w:i/>
          <w:lang w:val="en-GB"/>
        </w:rPr>
        <w:t>high/very-high risk</w:t>
      </w:r>
      <w:r w:rsidRPr="00E97AF3">
        <w:rPr>
          <w:lang w:val="en-GB"/>
        </w:rPr>
        <w:t xml:space="preserve"> had already occurred prior to both conditions.</w:t>
      </w:r>
    </w:p>
    <w:p w14:paraId="20EA4AA7" w14:textId="2AD60E7C" w:rsidR="00B61E8E" w:rsidRPr="00E97AF3" w:rsidRDefault="00B61E8E" w:rsidP="00B61E8E">
      <w:pPr>
        <w:pStyle w:val="Pargrafdellista"/>
        <w:numPr>
          <w:ilvl w:val="0"/>
          <w:numId w:val="15"/>
        </w:numPr>
        <w:divId w:val="1966886759"/>
        <w:rPr>
          <w:lang w:val="en-GB"/>
        </w:rPr>
      </w:pPr>
      <w:r w:rsidRPr="00E97AF3">
        <w:rPr>
          <w:b/>
          <w:lang w:val="en-GB"/>
        </w:rPr>
        <w:t>Mixed</w:t>
      </w:r>
      <w:r w:rsidRPr="00E97AF3">
        <w:rPr>
          <w:lang w:val="en-GB"/>
        </w:rPr>
        <w:t xml:space="preserve">: All other possible scenarios. This primarily includes cases where the transition to </w:t>
      </w:r>
      <w:r w:rsidRPr="00E97AF3">
        <w:rPr>
          <w:i/>
          <w:lang w:val="en-GB"/>
        </w:rPr>
        <w:t>high/very-high risk</w:t>
      </w:r>
      <w:r w:rsidRPr="00E97AF3">
        <w:rPr>
          <w:lang w:val="en-GB"/>
        </w:rPr>
        <w:t xml:space="preserve"> occurred between the onset of the first and second condition.</w:t>
      </w:r>
    </w:p>
    <w:p w14:paraId="1A20F049" w14:textId="6A13D8DA" w:rsidR="00B61E8E" w:rsidRPr="00E97AF3" w:rsidRDefault="00B61E8E" w:rsidP="00B61E8E">
      <w:pPr>
        <w:divId w:val="1966886759"/>
        <w:rPr>
          <w:lang w:val="en-GB"/>
        </w:rPr>
      </w:pPr>
      <w:r w:rsidRPr="00E97AF3">
        <w:rPr>
          <w:lang w:val="en-GB"/>
        </w:rPr>
        <w:t>For each pair of conditions, we counted the number of times it was classified as "Pre," "Post," and "Mixed" across all individuals. The final classification of each condition pair was then determined as follows:</w:t>
      </w:r>
    </w:p>
    <w:p w14:paraId="7CAEE1EE" w14:textId="77777777" w:rsidR="00B61E8E" w:rsidRPr="00E97AF3" w:rsidRDefault="00B61E8E" w:rsidP="00B61E8E">
      <w:pPr>
        <w:pStyle w:val="Pargrafdellista"/>
        <w:numPr>
          <w:ilvl w:val="0"/>
          <w:numId w:val="16"/>
        </w:numPr>
        <w:divId w:val="1966886759"/>
        <w:rPr>
          <w:lang w:val="en-GB"/>
        </w:rPr>
      </w:pPr>
      <w:r w:rsidRPr="00E97AF3">
        <w:rPr>
          <w:b/>
          <w:lang w:val="en-GB"/>
        </w:rPr>
        <w:t>Pre:</w:t>
      </w:r>
      <w:r w:rsidRPr="00E97AF3">
        <w:rPr>
          <w:lang w:val="en-GB"/>
        </w:rPr>
        <w:t xml:space="preserve"> If the "Pre" count was greater than both the "Post" and "Mixed" counts.</w:t>
      </w:r>
    </w:p>
    <w:p w14:paraId="5C1E5741" w14:textId="77777777" w:rsidR="00B61E8E" w:rsidRPr="00E97AF3" w:rsidRDefault="00B61E8E" w:rsidP="00B61E8E">
      <w:pPr>
        <w:pStyle w:val="Pargrafdellista"/>
        <w:numPr>
          <w:ilvl w:val="0"/>
          <w:numId w:val="16"/>
        </w:numPr>
        <w:divId w:val="1966886759"/>
        <w:rPr>
          <w:lang w:val="en-GB"/>
        </w:rPr>
      </w:pPr>
      <w:r w:rsidRPr="00E97AF3">
        <w:rPr>
          <w:b/>
          <w:lang w:val="en-GB"/>
        </w:rPr>
        <w:t>Post:</w:t>
      </w:r>
      <w:r w:rsidRPr="00E97AF3">
        <w:rPr>
          <w:lang w:val="en-GB"/>
        </w:rPr>
        <w:t xml:space="preserve"> If the "Post" count was greater than both the "Pre" and "Mixed" counts.</w:t>
      </w:r>
    </w:p>
    <w:p w14:paraId="55770092" w14:textId="469B22BA" w:rsidR="00B61E8E" w:rsidRPr="00E97AF3" w:rsidRDefault="00B61E8E" w:rsidP="00B61E8E">
      <w:pPr>
        <w:pStyle w:val="Pargrafdellista"/>
        <w:numPr>
          <w:ilvl w:val="0"/>
          <w:numId w:val="16"/>
        </w:numPr>
        <w:divId w:val="1966886759"/>
        <w:rPr>
          <w:lang w:val="en-GB"/>
        </w:rPr>
      </w:pPr>
      <w:r w:rsidRPr="00E97AF3">
        <w:rPr>
          <w:b/>
          <w:lang w:val="en-GB"/>
        </w:rPr>
        <w:t>Mixed:</w:t>
      </w:r>
      <w:r w:rsidRPr="00E97AF3">
        <w:rPr>
          <w:lang w:val="en-GB"/>
        </w:rPr>
        <w:t xml:space="preserve"> If the "Mixed" count was greater than both the "Pre" and "Post" counts, or if the "Pre" and "Post" counts were equal.</w:t>
      </w:r>
    </w:p>
    <w:p w14:paraId="675F218A" w14:textId="318CD0B2" w:rsidR="00F9648D" w:rsidRPr="00E97AF3" w:rsidRDefault="00F9648D" w:rsidP="00F9648D">
      <w:pPr>
        <w:pStyle w:val="Ttol2"/>
        <w:divId w:val="1966886759"/>
        <w:rPr>
          <w:b w:val="0"/>
          <w:lang w:val="en-GB"/>
        </w:rPr>
      </w:pPr>
      <w:bookmarkStart w:id="4" w:name="_Toc210668917"/>
      <w:r w:rsidRPr="00E97AF3">
        <w:rPr>
          <w:lang w:val="en-GB"/>
        </w:rPr>
        <w:t>Pairs directionality</w:t>
      </w:r>
      <w:bookmarkEnd w:id="4"/>
    </w:p>
    <w:p w14:paraId="71373603" w14:textId="4865BF87" w:rsidR="007A4596" w:rsidRPr="00E97AF3" w:rsidRDefault="00E97AF3" w:rsidP="00E97AF3">
      <w:pPr>
        <w:divId w:val="1966886759"/>
        <w:rPr>
          <w:highlight w:val="yellow"/>
          <w:lang w:val="en-GB"/>
        </w:rPr>
      </w:pPr>
      <w:r>
        <w:t xml:space="preserve">All possible directed pairs of conditions were </w:t>
      </w:r>
      <w:r w:rsidRPr="00E97AF3">
        <w:rPr>
          <w:lang w:val="en-GB"/>
        </w:rPr>
        <w:t>analysed</w:t>
      </w:r>
      <w:r>
        <w:t xml:space="preserve"> separately, considering both A→B and B→A. Temporal ordering of diagnoses at the individual level was used to assign the direction of each pair, but both directions were evaluated independently. In the resulting networks, only those directed pairs that fulfilled the predefined relevance criteria (i.e., sufficient prevalence or high co-occurrence risk ratio) were retained. Therefore, both directions could appear simultaneously in the same network when each was independently relevant, resulting in the inclusion of both A→B and B→A.</w:t>
      </w:r>
      <w:r w:rsidRPr="00E97AF3">
        <w:rPr>
          <w:highlight w:val="yellow"/>
          <w:lang w:val="en-GB"/>
        </w:rPr>
        <w:t xml:space="preserve"> </w:t>
      </w:r>
      <w:r w:rsidR="007A4596" w:rsidRPr="00E97AF3">
        <w:rPr>
          <w:lang w:val="en-GB"/>
        </w:rPr>
        <w:br w:type="page"/>
      </w:r>
    </w:p>
    <w:p w14:paraId="47C022FB" w14:textId="3D834D3F" w:rsidR="00207C70" w:rsidRPr="00E97AF3" w:rsidRDefault="00207C70" w:rsidP="00207C70">
      <w:pPr>
        <w:pStyle w:val="Ttol1"/>
        <w:rPr>
          <w:lang w:val="en-GB"/>
        </w:rPr>
      </w:pPr>
      <w:bookmarkStart w:id="5" w:name="_Toc210668918"/>
      <w:r w:rsidRPr="00E97AF3">
        <w:rPr>
          <w:lang w:val="en-GB"/>
        </w:rPr>
        <w:lastRenderedPageBreak/>
        <w:t>Supplementary Tables</w:t>
      </w:r>
      <w:bookmarkEnd w:id="5"/>
    </w:p>
    <w:p w14:paraId="14C7AA69" w14:textId="77777777" w:rsidR="003119CA" w:rsidRPr="00E97AF3" w:rsidRDefault="00D33D51" w:rsidP="00D33D51">
      <w:pPr>
        <w:pStyle w:val="Ttol2"/>
        <w:rPr>
          <w:lang w:val="en-GB"/>
        </w:rPr>
      </w:pPr>
      <w:bookmarkStart w:id="6" w:name="_Toc210668919"/>
      <w:r w:rsidRPr="00E97AF3">
        <w:rPr>
          <w:lang w:val="en-GB"/>
        </w:rPr>
        <w:t>Table S1. Prevalence of ICD-10-CM codes</w:t>
      </w:r>
      <w:r w:rsidR="003119CA" w:rsidRPr="00E97AF3">
        <w:rPr>
          <w:lang w:val="en-GB"/>
        </w:rPr>
        <w:t>.</w:t>
      </w:r>
      <w:bookmarkEnd w:id="6"/>
    </w:p>
    <w:p w14:paraId="5B782173" w14:textId="66FAB91B" w:rsidR="00D33D51" w:rsidRPr="00E97AF3" w:rsidRDefault="003119CA" w:rsidP="003119CA">
      <w:pPr>
        <w:spacing w:line="240" w:lineRule="auto"/>
        <w:rPr>
          <w:lang w:val="en-GB"/>
        </w:rPr>
      </w:pPr>
      <w:r w:rsidRPr="00E97AF3">
        <w:rPr>
          <w:lang w:val="en-GB"/>
        </w:rPr>
        <w:t xml:space="preserve">Counts and percentages correspond to ICD-10-CM codes at the end of the investigation period. Only diagnoses with a prevalence </w:t>
      </w:r>
      <w:r w:rsidRPr="00E97AF3">
        <w:rPr>
          <w:rFonts w:cstheme="minorHAnsi"/>
          <w:lang w:val="en-GB"/>
        </w:rPr>
        <w:t>≥</w:t>
      </w:r>
      <w:r w:rsidRPr="00E97AF3">
        <w:rPr>
          <w:lang w:val="en-GB"/>
        </w:rPr>
        <w:t xml:space="preserve">1% are shown. </w:t>
      </w:r>
    </w:p>
    <w:tbl>
      <w:tblPr>
        <w:tblStyle w:val="Taulasenzilla4"/>
        <w:tblW w:w="5584" w:type="pct"/>
        <w:tblLayout w:type="fixed"/>
        <w:tblLook w:val="04A0" w:firstRow="1" w:lastRow="0" w:firstColumn="1" w:lastColumn="0" w:noHBand="0" w:noVBand="1"/>
      </w:tblPr>
      <w:tblGrid>
        <w:gridCol w:w="3117"/>
        <w:gridCol w:w="4253"/>
        <w:gridCol w:w="2127"/>
      </w:tblGrid>
      <w:tr w:rsidR="007B6DF1" w:rsidRPr="00E97AF3" w14:paraId="7044DA60" w14:textId="77777777" w:rsidTr="003119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auto"/>
              <w:bottom w:val="single" w:sz="4" w:space="0" w:color="auto"/>
            </w:tcBorders>
            <w:noWrap/>
            <w:hideMark/>
          </w:tcPr>
          <w:p w14:paraId="7FD70F69" w14:textId="77777777" w:rsidR="007B6DF1" w:rsidRPr="00E97AF3" w:rsidRDefault="007B6DF1" w:rsidP="004A5269">
            <w:pPr>
              <w:spacing w:line="240" w:lineRule="auto"/>
              <w:jc w:val="left"/>
              <w:rPr>
                <w:rFonts w:ascii="Calibri" w:hAnsi="Calibri"/>
                <w:color w:val="000000"/>
                <w:lang w:val="en-GB"/>
              </w:rPr>
            </w:pPr>
            <w:r w:rsidRPr="00E97AF3">
              <w:rPr>
                <w:rFonts w:ascii="Calibri" w:hAnsi="Calibri"/>
                <w:color w:val="000000"/>
                <w:lang w:val="en-GB"/>
              </w:rPr>
              <w:t>CCS Code and description</w:t>
            </w:r>
          </w:p>
        </w:tc>
        <w:tc>
          <w:tcPr>
            <w:tcW w:w="2239" w:type="pct"/>
            <w:tcBorders>
              <w:top w:val="single" w:sz="4" w:space="0" w:color="auto"/>
              <w:bottom w:val="single" w:sz="4" w:space="0" w:color="auto"/>
            </w:tcBorders>
            <w:noWrap/>
            <w:hideMark/>
          </w:tcPr>
          <w:p w14:paraId="787721DB" w14:textId="77777777" w:rsidR="007B6DF1" w:rsidRPr="00E97AF3" w:rsidRDefault="007B6DF1" w:rsidP="004A5269">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lang w:val="en-GB"/>
              </w:rPr>
            </w:pPr>
            <w:r w:rsidRPr="00E97AF3">
              <w:rPr>
                <w:rFonts w:ascii="Calibri" w:hAnsi="Calibri"/>
                <w:color w:val="000000"/>
                <w:lang w:val="en-GB"/>
              </w:rPr>
              <w:t>ICD-10-CM Code and description</w:t>
            </w:r>
          </w:p>
        </w:tc>
        <w:tc>
          <w:tcPr>
            <w:tcW w:w="1120" w:type="pct"/>
            <w:tcBorders>
              <w:top w:val="single" w:sz="4" w:space="0" w:color="auto"/>
              <w:bottom w:val="single" w:sz="4" w:space="0" w:color="auto"/>
            </w:tcBorders>
            <w:noWrap/>
            <w:hideMark/>
          </w:tcPr>
          <w:p w14:paraId="0D5AD25C" w14:textId="77777777" w:rsidR="007B6DF1" w:rsidRPr="00E97AF3" w:rsidRDefault="007B6DF1" w:rsidP="004A5269">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lang w:val="en-GB"/>
              </w:rPr>
            </w:pPr>
            <w:r w:rsidRPr="00E97AF3">
              <w:rPr>
                <w:rFonts w:ascii="Calibri" w:hAnsi="Calibri"/>
                <w:color w:val="000000"/>
                <w:lang w:val="en-GB"/>
              </w:rPr>
              <w:t>No. (%)</w:t>
            </w:r>
          </w:p>
        </w:tc>
      </w:tr>
      <w:tr w:rsidR="003119CA" w:rsidRPr="00E97AF3" w14:paraId="6C28CA3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tcBorders>
              <w:top w:val="single" w:sz="4" w:space="0" w:color="auto"/>
            </w:tcBorders>
            <w:noWrap/>
            <w:hideMark/>
          </w:tcPr>
          <w:p w14:paraId="1C7A959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tcBorders>
              <w:top w:val="single" w:sz="4" w:space="0" w:color="auto"/>
            </w:tcBorders>
            <w:noWrap/>
            <w:hideMark/>
          </w:tcPr>
          <w:p w14:paraId="25CA112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E02 - Subclinical iodine-deficiency hypothyroidism</w:t>
            </w:r>
          </w:p>
        </w:tc>
        <w:tc>
          <w:tcPr>
            <w:tcW w:w="1120" w:type="pct"/>
            <w:tcBorders>
              <w:top w:val="single" w:sz="4" w:space="0" w:color="auto"/>
            </w:tcBorders>
            <w:noWrap/>
            <w:hideMark/>
          </w:tcPr>
          <w:p w14:paraId="5402028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249,593 (29.2%)</w:t>
            </w:r>
          </w:p>
        </w:tc>
      </w:tr>
      <w:tr w:rsidR="007B6DF1" w:rsidRPr="00E97AF3" w14:paraId="4599AEB0"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3E1940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2FF82B9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E039 - Hypothyroidism, unspecified</w:t>
            </w:r>
          </w:p>
        </w:tc>
        <w:tc>
          <w:tcPr>
            <w:tcW w:w="1120" w:type="pct"/>
            <w:noWrap/>
            <w:hideMark/>
          </w:tcPr>
          <w:p w14:paraId="5EAD9E2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230,256 (27%)</w:t>
            </w:r>
          </w:p>
        </w:tc>
      </w:tr>
      <w:tr w:rsidR="007B6DF1" w:rsidRPr="00E97AF3" w14:paraId="4DB5896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3CF725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3861B292"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E0590 - Thyrotoxicosis, unspecified without thyrotoxic crisis or storm</w:t>
            </w:r>
          </w:p>
        </w:tc>
        <w:tc>
          <w:tcPr>
            <w:tcW w:w="1120" w:type="pct"/>
            <w:noWrap/>
            <w:hideMark/>
          </w:tcPr>
          <w:p w14:paraId="170C4B6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81,512 (9.5%)</w:t>
            </w:r>
          </w:p>
        </w:tc>
      </w:tr>
      <w:tr w:rsidR="007B6DF1" w:rsidRPr="00E97AF3" w14:paraId="5807B91D"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8643BB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4853770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E041 - Nontoxic single thyroid nodule</w:t>
            </w:r>
          </w:p>
        </w:tc>
        <w:tc>
          <w:tcPr>
            <w:tcW w:w="1120" w:type="pct"/>
            <w:noWrap/>
            <w:hideMark/>
          </w:tcPr>
          <w:p w14:paraId="450B27E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78,026 (9.1%)</w:t>
            </w:r>
          </w:p>
        </w:tc>
      </w:tr>
      <w:tr w:rsidR="007B6DF1" w:rsidRPr="00E97AF3" w14:paraId="42909CE6"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B557DB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59C43902" w14:textId="77777777" w:rsidR="007B6DF1" w:rsidRPr="00E97AF3" w:rsidRDefault="007B6DF1" w:rsidP="004A5269">
            <w:pPr>
              <w:spacing w:line="240" w:lineRule="auto"/>
              <w:ind w:right="2024"/>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E042 - Nontoxic multinodular goiter</w:t>
            </w:r>
          </w:p>
        </w:tc>
        <w:tc>
          <w:tcPr>
            <w:tcW w:w="1120" w:type="pct"/>
            <w:noWrap/>
            <w:hideMark/>
          </w:tcPr>
          <w:p w14:paraId="57CBDAAA"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36,606 (4.3%)</w:t>
            </w:r>
          </w:p>
        </w:tc>
      </w:tr>
      <w:tr w:rsidR="007B6DF1" w:rsidRPr="00E97AF3" w14:paraId="0317937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0E0080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6DA10AF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E049 - Nontoxic goiter, unspecified</w:t>
            </w:r>
          </w:p>
        </w:tc>
        <w:tc>
          <w:tcPr>
            <w:tcW w:w="1120" w:type="pct"/>
            <w:noWrap/>
            <w:hideMark/>
          </w:tcPr>
          <w:p w14:paraId="562FCEA6"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36,409 (4.3%)</w:t>
            </w:r>
          </w:p>
        </w:tc>
      </w:tr>
      <w:tr w:rsidR="007B6DF1" w:rsidRPr="00E97AF3" w14:paraId="57C75C7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A80276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61753E1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E069 - Thyroiditis, unspecified</w:t>
            </w:r>
          </w:p>
        </w:tc>
        <w:tc>
          <w:tcPr>
            <w:tcW w:w="1120" w:type="pct"/>
            <w:noWrap/>
            <w:hideMark/>
          </w:tcPr>
          <w:p w14:paraId="69DCD43F"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28,623 (3.4%)</w:t>
            </w:r>
          </w:p>
        </w:tc>
      </w:tr>
      <w:tr w:rsidR="007B6DF1" w:rsidRPr="00E97AF3" w14:paraId="5BF25F1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6320F9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198C60E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E032 - Hypothyroidism due to medicaments and other exogenous substances</w:t>
            </w:r>
          </w:p>
        </w:tc>
        <w:tc>
          <w:tcPr>
            <w:tcW w:w="1120" w:type="pct"/>
            <w:noWrap/>
            <w:hideMark/>
          </w:tcPr>
          <w:p w14:paraId="396E6A5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21,282 (2.5%)</w:t>
            </w:r>
          </w:p>
        </w:tc>
      </w:tr>
      <w:tr w:rsidR="007B6DF1" w:rsidRPr="00E97AF3" w14:paraId="1BE27C6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C36431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48B834A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E031 - Congenital hypothyroidism without goiter</w:t>
            </w:r>
          </w:p>
        </w:tc>
        <w:tc>
          <w:tcPr>
            <w:tcW w:w="1120" w:type="pct"/>
            <w:noWrap/>
            <w:hideMark/>
          </w:tcPr>
          <w:p w14:paraId="5DC9A59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20,404 (2.4%)</w:t>
            </w:r>
          </w:p>
        </w:tc>
      </w:tr>
      <w:tr w:rsidR="007B6DF1" w:rsidRPr="00E97AF3" w14:paraId="42DE744E"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ACB607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4741C340"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E063 - Autoimmune thyroiditis</w:t>
            </w:r>
          </w:p>
        </w:tc>
        <w:tc>
          <w:tcPr>
            <w:tcW w:w="1120" w:type="pct"/>
            <w:noWrap/>
            <w:hideMark/>
          </w:tcPr>
          <w:p w14:paraId="40EC434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17,770 (2.1%)</w:t>
            </w:r>
          </w:p>
        </w:tc>
      </w:tr>
      <w:tr w:rsidR="007B6DF1" w:rsidRPr="00E97AF3" w14:paraId="3A1CDC49"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B20A8E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48 - Thyroid disorders</w:t>
            </w:r>
          </w:p>
        </w:tc>
        <w:tc>
          <w:tcPr>
            <w:tcW w:w="2239" w:type="pct"/>
            <w:noWrap/>
            <w:hideMark/>
          </w:tcPr>
          <w:p w14:paraId="5EFD8F12"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E038 - Other specified hypothyroidism</w:t>
            </w:r>
          </w:p>
        </w:tc>
        <w:tc>
          <w:tcPr>
            <w:tcW w:w="1120" w:type="pct"/>
            <w:noWrap/>
            <w:hideMark/>
          </w:tcPr>
          <w:p w14:paraId="406692DC"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16,449 (1.9%)</w:t>
            </w:r>
          </w:p>
        </w:tc>
      </w:tr>
      <w:tr w:rsidR="007B6DF1" w:rsidRPr="00E97AF3" w14:paraId="7E951FD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03BB89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49 - Diabetes mellitus without complication</w:t>
            </w:r>
          </w:p>
        </w:tc>
        <w:tc>
          <w:tcPr>
            <w:tcW w:w="2239" w:type="pct"/>
            <w:noWrap/>
            <w:hideMark/>
          </w:tcPr>
          <w:p w14:paraId="0E25F53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E119 - Type 2 diabetes mellitus without complications</w:t>
            </w:r>
          </w:p>
        </w:tc>
        <w:tc>
          <w:tcPr>
            <w:tcW w:w="1120" w:type="pct"/>
            <w:noWrap/>
            <w:hideMark/>
          </w:tcPr>
          <w:p w14:paraId="613D0FD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594,132 (92.5%)</w:t>
            </w:r>
          </w:p>
        </w:tc>
      </w:tr>
      <w:tr w:rsidR="007B6DF1" w:rsidRPr="00E97AF3" w14:paraId="364C037C"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9F3A01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49 - Diabetes mellitus without complication</w:t>
            </w:r>
          </w:p>
        </w:tc>
        <w:tc>
          <w:tcPr>
            <w:tcW w:w="2239" w:type="pct"/>
            <w:noWrap/>
            <w:hideMark/>
          </w:tcPr>
          <w:p w14:paraId="5251B805"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E109 - Type 1 diabetes mellitus without complications</w:t>
            </w:r>
          </w:p>
        </w:tc>
        <w:tc>
          <w:tcPr>
            <w:tcW w:w="1120" w:type="pct"/>
            <w:noWrap/>
            <w:hideMark/>
          </w:tcPr>
          <w:p w14:paraId="240D88F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26,182 (4.1%)</w:t>
            </w:r>
          </w:p>
        </w:tc>
      </w:tr>
      <w:tr w:rsidR="007B6DF1" w:rsidRPr="00E97AF3" w14:paraId="79B0D570"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D2E75C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49 - Diabetes mellitus without complication</w:t>
            </w:r>
          </w:p>
        </w:tc>
        <w:tc>
          <w:tcPr>
            <w:tcW w:w="2239" w:type="pct"/>
            <w:noWrap/>
            <w:hideMark/>
          </w:tcPr>
          <w:p w14:paraId="1A6922F2"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E139 - Other specified diabetes mellitus without complications</w:t>
            </w:r>
          </w:p>
        </w:tc>
        <w:tc>
          <w:tcPr>
            <w:tcW w:w="1120" w:type="pct"/>
            <w:noWrap/>
            <w:hideMark/>
          </w:tcPr>
          <w:p w14:paraId="4E6E549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21,992 (3.4%)</w:t>
            </w:r>
          </w:p>
        </w:tc>
      </w:tr>
      <w:tr w:rsidR="007B6DF1" w:rsidRPr="00E97AF3" w14:paraId="5C67FB8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FF911B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53 - Disorders of lipid metabolism</w:t>
            </w:r>
          </w:p>
        </w:tc>
        <w:tc>
          <w:tcPr>
            <w:tcW w:w="2239" w:type="pct"/>
            <w:noWrap/>
            <w:hideMark/>
          </w:tcPr>
          <w:p w14:paraId="61286B45"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E7800 - Pure hypercholesterolemia, unspecified</w:t>
            </w:r>
          </w:p>
        </w:tc>
        <w:tc>
          <w:tcPr>
            <w:tcW w:w="1120" w:type="pct"/>
            <w:noWrap/>
            <w:hideMark/>
          </w:tcPr>
          <w:p w14:paraId="66A82A3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652,134 (68.5%)</w:t>
            </w:r>
          </w:p>
        </w:tc>
      </w:tr>
      <w:tr w:rsidR="007B6DF1" w:rsidRPr="00E97AF3" w14:paraId="4E86CAF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C2A81A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53 - Disorders of lipid metabolism</w:t>
            </w:r>
          </w:p>
        </w:tc>
        <w:tc>
          <w:tcPr>
            <w:tcW w:w="2239" w:type="pct"/>
            <w:noWrap/>
            <w:hideMark/>
          </w:tcPr>
          <w:p w14:paraId="25BCC24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E781 - Pure hyperglyceridemia</w:t>
            </w:r>
          </w:p>
        </w:tc>
        <w:tc>
          <w:tcPr>
            <w:tcW w:w="1120" w:type="pct"/>
            <w:noWrap/>
            <w:hideMark/>
          </w:tcPr>
          <w:p w14:paraId="5576ED9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188,868 (19.8%)</w:t>
            </w:r>
          </w:p>
        </w:tc>
      </w:tr>
      <w:tr w:rsidR="007B6DF1" w:rsidRPr="00E97AF3" w14:paraId="06F533D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4248C1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53 - Disorders of lipid metabolism</w:t>
            </w:r>
          </w:p>
        </w:tc>
        <w:tc>
          <w:tcPr>
            <w:tcW w:w="2239" w:type="pct"/>
            <w:noWrap/>
            <w:hideMark/>
          </w:tcPr>
          <w:p w14:paraId="29202B7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E782 - Mixed hyperlipidemia</w:t>
            </w:r>
          </w:p>
        </w:tc>
        <w:tc>
          <w:tcPr>
            <w:tcW w:w="1120" w:type="pct"/>
            <w:noWrap/>
            <w:hideMark/>
          </w:tcPr>
          <w:p w14:paraId="522F985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65,355 (6.9%)</w:t>
            </w:r>
          </w:p>
        </w:tc>
      </w:tr>
      <w:tr w:rsidR="007B6DF1" w:rsidRPr="00E97AF3" w14:paraId="3EF5AB8D"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7D2122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53 - Disorders of lipid metabolism</w:t>
            </w:r>
          </w:p>
        </w:tc>
        <w:tc>
          <w:tcPr>
            <w:tcW w:w="2239" w:type="pct"/>
            <w:noWrap/>
            <w:hideMark/>
          </w:tcPr>
          <w:p w14:paraId="210F163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E785 - Hyperlipidemia, unspecified</w:t>
            </w:r>
          </w:p>
        </w:tc>
        <w:tc>
          <w:tcPr>
            <w:tcW w:w="1120" w:type="pct"/>
            <w:noWrap/>
            <w:hideMark/>
          </w:tcPr>
          <w:p w14:paraId="5AD52B9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29,946 (3.1%)</w:t>
            </w:r>
          </w:p>
        </w:tc>
      </w:tr>
      <w:tr w:rsidR="007B6DF1" w:rsidRPr="00E97AF3" w14:paraId="3B44167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1C3117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53 - Disorders of lipid metabolism</w:t>
            </w:r>
          </w:p>
        </w:tc>
        <w:tc>
          <w:tcPr>
            <w:tcW w:w="2239" w:type="pct"/>
            <w:noWrap/>
            <w:hideMark/>
          </w:tcPr>
          <w:p w14:paraId="6381185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E7801 - Familial hypercholesterolemia</w:t>
            </w:r>
          </w:p>
        </w:tc>
        <w:tc>
          <w:tcPr>
            <w:tcW w:w="1120" w:type="pct"/>
            <w:noWrap/>
            <w:hideMark/>
          </w:tcPr>
          <w:p w14:paraId="6A904215"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11,879 (1.2%)</w:t>
            </w:r>
          </w:p>
        </w:tc>
      </w:tr>
      <w:tr w:rsidR="007B6DF1" w:rsidRPr="00E97AF3" w14:paraId="0C57D57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E1EB03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58 - Other nutritional; endocrine; and metabolic disorders</w:t>
            </w:r>
          </w:p>
        </w:tc>
        <w:tc>
          <w:tcPr>
            <w:tcW w:w="2239" w:type="pct"/>
            <w:noWrap/>
            <w:hideMark/>
          </w:tcPr>
          <w:p w14:paraId="3A5B17C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E669 - Obesity, unspecified</w:t>
            </w:r>
          </w:p>
        </w:tc>
        <w:tc>
          <w:tcPr>
            <w:tcW w:w="1120" w:type="pct"/>
            <w:noWrap/>
            <w:hideMark/>
          </w:tcPr>
          <w:p w14:paraId="53AC196A"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894,053 (50.4%)</w:t>
            </w:r>
          </w:p>
        </w:tc>
      </w:tr>
      <w:tr w:rsidR="007B6DF1" w:rsidRPr="00E97AF3" w14:paraId="256F4CB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0A52DE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58 - Other nutritional; endocrine; and metabolic disorders</w:t>
            </w:r>
          </w:p>
        </w:tc>
        <w:tc>
          <w:tcPr>
            <w:tcW w:w="2239" w:type="pct"/>
            <w:noWrap/>
            <w:hideMark/>
          </w:tcPr>
          <w:p w14:paraId="7BDE60B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E789 - Disorder of lipoprotein metabolism, unspecified</w:t>
            </w:r>
          </w:p>
        </w:tc>
        <w:tc>
          <w:tcPr>
            <w:tcW w:w="1120" w:type="pct"/>
            <w:noWrap/>
            <w:hideMark/>
          </w:tcPr>
          <w:p w14:paraId="1D32157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662,356 (37.3%)</w:t>
            </w:r>
          </w:p>
        </w:tc>
      </w:tr>
      <w:tr w:rsidR="007B6DF1" w:rsidRPr="00E97AF3" w14:paraId="1B6FBBA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9DF602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58 - Other nutritional; endocrine; and metabolic disorders</w:t>
            </w:r>
          </w:p>
        </w:tc>
        <w:tc>
          <w:tcPr>
            <w:tcW w:w="2239" w:type="pct"/>
            <w:noWrap/>
            <w:hideMark/>
          </w:tcPr>
          <w:p w14:paraId="49777C53"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E668 - Other obesity</w:t>
            </w:r>
          </w:p>
        </w:tc>
        <w:tc>
          <w:tcPr>
            <w:tcW w:w="1120" w:type="pct"/>
            <w:noWrap/>
            <w:hideMark/>
          </w:tcPr>
          <w:p w14:paraId="07E947A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60,485 (3.4%)</w:t>
            </w:r>
          </w:p>
        </w:tc>
      </w:tr>
      <w:tr w:rsidR="007B6DF1" w:rsidRPr="00E97AF3" w14:paraId="77DF2E0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87E963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58 - Other nutritional; endocrine; and metabolic disorders</w:t>
            </w:r>
          </w:p>
        </w:tc>
        <w:tc>
          <w:tcPr>
            <w:tcW w:w="2239" w:type="pct"/>
            <w:noWrap/>
            <w:hideMark/>
          </w:tcPr>
          <w:p w14:paraId="1B5482D6"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E739 - Lactose intolerance, unspecified</w:t>
            </w:r>
          </w:p>
        </w:tc>
        <w:tc>
          <w:tcPr>
            <w:tcW w:w="1120" w:type="pct"/>
            <w:noWrap/>
            <w:hideMark/>
          </w:tcPr>
          <w:p w14:paraId="142C059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48,811 (2.8%)</w:t>
            </w:r>
          </w:p>
        </w:tc>
      </w:tr>
      <w:tr w:rsidR="007B6DF1" w:rsidRPr="00E97AF3" w14:paraId="701566AD"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7F5708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58 - Other nutritional; endocrine; and metabolic disorders</w:t>
            </w:r>
          </w:p>
        </w:tc>
        <w:tc>
          <w:tcPr>
            <w:tcW w:w="2239" w:type="pct"/>
            <w:noWrap/>
            <w:hideMark/>
          </w:tcPr>
          <w:p w14:paraId="2DEB9915"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E804 - Gilbert syndrome</w:t>
            </w:r>
          </w:p>
        </w:tc>
        <w:tc>
          <w:tcPr>
            <w:tcW w:w="1120" w:type="pct"/>
            <w:noWrap/>
            <w:hideMark/>
          </w:tcPr>
          <w:p w14:paraId="425C7586"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24,503 (1.4%)</w:t>
            </w:r>
          </w:p>
        </w:tc>
      </w:tr>
      <w:tr w:rsidR="007B6DF1" w:rsidRPr="00E97AF3" w14:paraId="5EAFA56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010E24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84 - Headache; including migraine</w:t>
            </w:r>
          </w:p>
        </w:tc>
        <w:tc>
          <w:tcPr>
            <w:tcW w:w="2239" w:type="pct"/>
            <w:noWrap/>
            <w:hideMark/>
          </w:tcPr>
          <w:p w14:paraId="22C47E34"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G43909 - Migraine, unspecified, not intractable, without status migrainosus</w:t>
            </w:r>
          </w:p>
        </w:tc>
        <w:tc>
          <w:tcPr>
            <w:tcW w:w="1120" w:type="pct"/>
            <w:noWrap/>
            <w:hideMark/>
          </w:tcPr>
          <w:p w14:paraId="672A5945"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256,559 (47%)</w:t>
            </w:r>
          </w:p>
        </w:tc>
      </w:tr>
      <w:tr w:rsidR="007B6DF1" w:rsidRPr="00E97AF3" w14:paraId="5D625015"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36830A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84 - Headache; including migraine</w:t>
            </w:r>
          </w:p>
        </w:tc>
        <w:tc>
          <w:tcPr>
            <w:tcW w:w="2239" w:type="pct"/>
            <w:noWrap/>
            <w:hideMark/>
          </w:tcPr>
          <w:p w14:paraId="1F1EB21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G44209 - Tension-type headache, unspecified, not intractable</w:t>
            </w:r>
          </w:p>
        </w:tc>
        <w:tc>
          <w:tcPr>
            <w:tcW w:w="1120" w:type="pct"/>
            <w:noWrap/>
            <w:hideMark/>
          </w:tcPr>
          <w:p w14:paraId="77A3AE4A"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214,510 (39.3%)</w:t>
            </w:r>
          </w:p>
        </w:tc>
      </w:tr>
      <w:tr w:rsidR="007B6DF1" w:rsidRPr="00E97AF3" w14:paraId="34C70E9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FA7119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84 - Headache; including migraine</w:t>
            </w:r>
          </w:p>
        </w:tc>
        <w:tc>
          <w:tcPr>
            <w:tcW w:w="2239" w:type="pct"/>
            <w:noWrap/>
            <w:hideMark/>
          </w:tcPr>
          <w:p w14:paraId="6759BCA4"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G43109 - Migraine with aura, not intractable, without status migrainosus</w:t>
            </w:r>
          </w:p>
        </w:tc>
        <w:tc>
          <w:tcPr>
            <w:tcW w:w="1120" w:type="pct"/>
            <w:noWrap/>
            <w:hideMark/>
          </w:tcPr>
          <w:p w14:paraId="78A6DF0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42,237 (7.7%)</w:t>
            </w:r>
          </w:p>
        </w:tc>
      </w:tr>
      <w:tr w:rsidR="007B6DF1" w:rsidRPr="00E97AF3" w14:paraId="2A21641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388C5F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84 - Headache; including migraine</w:t>
            </w:r>
          </w:p>
        </w:tc>
        <w:tc>
          <w:tcPr>
            <w:tcW w:w="2239" w:type="pct"/>
            <w:noWrap/>
            <w:hideMark/>
          </w:tcPr>
          <w:p w14:paraId="4120B87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G43009 - Migraine without aura, not intractable, without status migrainosus</w:t>
            </w:r>
          </w:p>
        </w:tc>
        <w:tc>
          <w:tcPr>
            <w:tcW w:w="1120" w:type="pct"/>
            <w:noWrap/>
            <w:hideMark/>
          </w:tcPr>
          <w:p w14:paraId="1F520F4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13,012 (2.4%)</w:t>
            </w:r>
          </w:p>
        </w:tc>
      </w:tr>
      <w:tr w:rsidR="007B6DF1" w:rsidRPr="00E97AF3" w14:paraId="417A5C9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E09E13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86 - Cataract</w:t>
            </w:r>
          </w:p>
        </w:tc>
        <w:tc>
          <w:tcPr>
            <w:tcW w:w="2239" w:type="pct"/>
            <w:noWrap/>
            <w:hideMark/>
          </w:tcPr>
          <w:p w14:paraId="3C127F95"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H259 - Unspecified age-related cataract</w:t>
            </w:r>
          </w:p>
        </w:tc>
        <w:tc>
          <w:tcPr>
            <w:tcW w:w="1120" w:type="pct"/>
            <w:noWrap/>
            <w:hideMark/>
          </w:tcPr>
          <w:p w14:paraId="2CB5473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514,743 (91.8%)</w:t>
            </w:r>
          </w:p>
        </w:tc>
      </w:tr>
      <w:tr w:rsidR="007B6DF1" w:rsidRPr="00E97AF3" w14:paraId="255010C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E3E71C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86 - Cataract</w:t>
            </w:r>
          </w:p>
        </w:tc>
        <w:tc>
          <w:tcPr>
            <w:tcW w:w="2239" w:type="pct"/>
            <w:noWrap/>
            <w:hideMark/>
          </w:tcPr>
          <w:p w14:paraId="0CA0D61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H269 - Unspecified cataract</w:t>
            </w:r>
          </w:p>
        </w:tc>
        <w:tc>
          <w:tcPr>
            <w:tcW w:w="1120" w:type="pct"/>
            <w:noWrap/>
            <w:hideMark/>
          </w:tcPr>
          <w:p w14:paraId="1141D33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33,382 (6%)</w:t>
            </w:r>
          </w:p>
        </w:tc>
      </w:tr>
      <w:tr w:rsidR="007B6DF1" w:rsidRPr="00E97AF3" w14:paraId="61C447F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B9FDC6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88 - Glaucoma</w:t>
            </w:r>
          </w:p>
        </w:tc>
        <w:tc>
          <w:tcPr>
            <w:tcW w:w="2239" w:type="pct"/>
            <w:noWrap/>
            <w:hideMark/>
          </w:tcPr>
          <w:p w14:paraId="0ED689C0"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H409 - Unspecified glaucoma</w:t>
            </w:r>
          </w:p>
        </w:tc>
        <w:tc>
          <w:tcPr>
            <w:tcW w:w="1120" w:type="pct"/>
            <w:noWrap/>
            <w:hideMark/>
          </w:tcPr>
          <w:p w14:paraId="576F3EA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221,569 (82.3%)</w:t>
            </w:r>
          </w:p>
        </w:tc>
      </w:tr>
      <w:tr w:rsidR="007B6DF1" w:rsidRPr="00E97AF3" w14:paraId="38DCBA2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209B5C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88 - Glaucoma</w:t>
            </w:r>
          </w:p>
        </w:tc>
        <w:tc>
          <w:tcPr>
            <w:tcW w:w="2239" w:type="pct"/>
            <w:noWrap/>
            <w:hideMark/>
          </w:tcPr>
          <w:p w14:paraId="098EA3F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H40009 - Preglaucoma, unspecified, unspecified eye</w:t>
            </w:r>
          </w:p>
        </w:tc>
        <w:tc>
          <w:tcPr>
            <w:tcW w:w="1120" w:type="pct"/>
            <w:noWrap/>
            <w:hideMark/>
          </w:tcPr>
          <w:p w14:paraId="40347E4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23,930 (8.9%)</w:t>
            </w:r>
          </w:p>
        </w:tc>
      </w:tr>
      <w:tr w:rsidR="007B6DF1" w:rsidRPr="00E97AF3" w14:paraId="0586F1DA"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6DDBCD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88 - Glaucoma</w:t>
            </w:r>
          </w:p>
        </w:tc>
        <w:tc>
          <w:tcPr>
            <w:tcW w:w="2239" w:type="pct"/>
            <w:noWrap/>
            <w:hideMark/>
          </w:tcPr>
          <w:p w14:paraId="03A23BB5"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H40059 - Ocular hypertension, unspecified eye</w:t>
            </w:r>
          </w:p>
        </w:tc>
        <w:tc>
          <w:tcPr>
            <w:tcW w:w="1120" w:type="pct"/>
            <w:noWrap/>
            <w:hideMark/>
          </w:tcPr>
          <w:p w14:paraId="01D939B1"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20,777 (7.7%)</w:t>
            </w:r>
          </w:p>
        </w:tc>
      </w:tr>
      <w:tr w:rsidR="007B6DF1" w:rsidRPr="00E97AF3" w14:paraId="125A5997"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4F8F4A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89 - Blindness and vision defects</w:t>
            </w:r>
          </w:p>
        </w:tc>
        <w:tc>
          <w:tcPr>
            <w:tcW w:w="2239" w:type="pct"/>
            <w:noWrap/>
            <w:hideMark/>
          </w:tcPr>
          <w:p w14:paraId="7DCEFEA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H547 - Unspecified visual loss</w:t>
            </w:r>
          </w:p>
        </w:tc>
        <w:tc>
          <w:tcPr>
            <w:tcW w:w="1120" w:type="pct"/>
            <w:noWrap/>
            <w:hideMark/>
          </w:tcPr>
          <w:p w14:paraId="090B522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502,382 (94.4%)</w:t>
            </w:r>
          </w:p>
        </w:tc>
      </w:tr>
      <w:tr w:rsidR="007B6DF1" w:rsidRPr="00E97AF3" w14:paraId="41EC881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F2B9FA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89 - Blindness and vision defects</w:t>
            </w:r>
          </w:p>
        </w:tc>
        <w:tc>
          <w:tcPr>
            <w:tcW w:w="2239" w:type="pct"/>
            <w:noWrap/>
            <w:hideMark/>
          </w:tcPr>
          <w:p w14:paraId="3799243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H543 - Unqualified visual loss, both eyes</w:t>
            </w:r>
          </w:p>
        </w:tc>
        <w:tc>
          <w:tcPr>
            <w:tcW w:w="1120" w:type="pct"/>
            <w:noWrap/>
            <w:hideMark/>
          </w:tcPr>
          <w:p w14:paraId="090FE5B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10,275 (1.9%)</w:t>
            </w:r>
          </w:p>
        </w:tc>
      </w:tr>
      <w:tr w:rsidR="007B6DF1" w:rsidRPr="00E97AF3" w14:paraId="2660294D"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A2E397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89 - Blindness and vision defects</w:t>
            </w:r>
          </w:p>
        </w:tc>
        <w:tc>
          <w:tcPr>
            <w:tcW w:w="2239" w:type="pct"/>
            <w:noWrap/>
            <w:hideMark/>
          </w:tcPr>
          <w:p w14:paraId="4A606DC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H5440 - Blindness, one eye, unspecified eye</w:t>
            </w:r>
          </w:p>
        </w:tc>
        <w:tc>
          <w:tcPr>
            <w:tcW w:w="1120" w:type="pct"/>
            <w:noWrap/>
            <w:hideMark/>
          </w:tcPr>
          <w:p w14:paraId="705FCD9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7,015 (1.3%)</w:t>
            </w:r>
          </w:p>
        </w:tc>
      </w:tr>
      <w:tr w:rsidR="007B6DF1" w:rsidRPr="00E97AF3" w14:paraId="268661EA"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21D2F0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44A251B9"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H6090 - Unspecified otitis externa, unspecified ear</w:t>
            </w:r>
          </w:p>
        </w:tc>
        <w:tc>
          <w:tcPr>
            <w:tcW w:w="1120" w:type="pct"/>
            <w:noWrap/>
            <w:hideMark/>
          </w:tcPr>
          <w:p w14:paraId="2225FDC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776,700 (56.4%)</w:t>
            </w:r>
          </w:p>
        </w:tc>
      </w:tr>
      <w:tr w:rsidR="007B6DF1" w:rsidRPr="00E97AF3" w14:paraId="7ABEF8EB"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C67099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67E735C0"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H9190 - Unspecified hearing loss, unspecified ear</w:t>
            </w:r>
          </w:p>
        </w:tc>
        <w:tc>
          <w:tcPr>
            <w:tcW w:w="1120" w:type="pct"/>
            <w:noWrap/>
            <w:hideMark/>
          </w:tcPr>
          <w:p w14:paraId="2C05EF6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453,675 (32.9%)</w:t>
            </w:r>
          </w:p>
        </w:tc>
      </w:tr>
      <w:tr w:rsidR="007B6DF1" w:rsidRPr="00E97AF3" w14:paraId="5ABBEE2A"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B6044C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073B9EC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H905 - Unspecified sensorineural hearing loss</w:t>
            </w:r>
          </w:p>
        </w:tc>
        <w:tc>
          <w:tcPr>
            <w:tcW w:w="1120" w:type="pct"/>
            <w:noWrap/>
            <w:hideMark/>
          </w:tcPr>
          <w:p w14:paraId="1546DDE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45,074 (3.3%)</w:t>
            </w:r>
          </w:p>
        </w:tc>
      </w:tr>
      <w:tr w:rsidR="007B6DF1" w:rsidRPr="00E97AF3" w14:paraId="182B6C9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6AC95C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55FAC8E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H6240 - Otitis externa in other diseases classified elsewhere, unspecified ear</w:t>
            </w:r>
          </w:p>
        </w:tc>
        <w:tc>
          <w:tcPr>
            <w:tcW w:w="1120" w:type="pct"/>
            <w:noWrap/>
            <w:hideMark/>
          </w:tcPr>
          <w:p w14:paraId="10FB6A5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31,267 (2.3%)</w:t>
            </w:r>
          </w:p>
        </w:tc>
      </w:tr>
      <w:tr w:rsidR="007B6DF1" w:rsidRPr="00E97AF3" w14:paraId="5E82EAD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4F0ABC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2FFBA8F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H902 - Conductive hearing loss, unspecified</w:t>
            </w:r>
          </w:p>
        </w:tc>
        <w:tc>
          <w:tcPr>
            <w:tcW w:w="1120" w:type="pct"/>
            <w:noWrap/>
            <w:hideMark/>
          </w:tcPr>
          <w:p w14:paraId="648F0A1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25,926 (1.9%)</w:t>
            </w:r>
          </w:p>
        </w:tc>
      </w:tr>
      <w:tr w:rsidR="007B6DF1" w:rsidRPr="00E97AF3" w14:paraId="5C0907E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F776BA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0369DF0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H908 - Mixed conductive and sensorineural hearing loss, unspecified</w:t>
            </w:r>
          </w:p>
        </w:tc>
        <w:tc>
          <w:tcPr>
            <w:tcW w:w="1120" w:type="pct"/>
            <w:noWrap/>
            <w:hideMark/>
          </w:tcPr>
          <w:p w14:paraId="0F9ED97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19,649 (1.4%)</w:t>
            </w:r>
          </w:p>
        </w:tc>
      </w:tr>
      <w:tr w:rsidR="007B6DF1" w:rsidRPr="00E97AF3" w14:paraId="6C6A5CF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1816E8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94 - Other ear and sense organ disorders</w:t>
            </w:r>
          </w:p>
        </w:tc>
        <w:tc>
          <w:tcPr>
            <w:tcW w:w="2239" w:type="pct"/>
            <w:noWrap/>
            <w:hideMark/>
          </w:tcPr>
          <w:p w14:paraId="3D79242E"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H608X9 - Other otitis externa, unspecified ear</w:t>
            </w:r>
          </w:p>
        </w:tc>
        <w:tc>
          <w:tcPr>
            <w:tcW w:w="1120" w:type="pct"/>
            <w:noWrap/>
            <w:hideMark/>
          </w:tcPr>
          <w:p w14:paraId="6B6DBFF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15,728 (1.1%)</w:t>
            </w:r>
          </w:p>
        </w:tc>
      </w:tr>
      <w:tr w:rsidR="007B6DF1" w:rsidRPr="00E97AF3" w14:paraId="334BA70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77D61D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301F8DE3"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G5600 - Carpal tunnel syndrome, unspecified upper limb</w:t>
            </w:r>
          </w:p>
        </w:tc>
        <w:tc>
          <w:tcPr>
            <w:tcW w:w="1120" w:type="pct"/>
            <w:noWrap/>
            <w:hideMark/>
          </w:tcPr>
          <w:p w14:paraId="4592FEF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304,163 (51.7%)</w:t>
            </w:r>
          </w:p>
        </w:tc>
      </w:tr>
      <w:tr w:rsidR="007B6DF1" w:rsidRPr="00E97AF3" w14:paraId="06D9BF7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85400A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49A9CE39"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G8929 - Other chronic pain</w:t>
            </w:r>
          </w:p>
        </w:tc>
        <w:tc>
          <w:tcPr>
            <w:tcW w:w="1120" w:type="pct"/>
            <w:noWrap/>
            <w:hideMark/>
          </w:tcPr>
          <w:p w14:paraId="12594C8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51,150 (8.7%)</w:t>
            </w:r>
          </w:p>
        </w:tc>
      </w:tr>
      <w:tr w:rsidR="007B6DF1" w:rsidRPr="00E97AF3" w14:paraId="17FCB22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A94268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5097F0F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R262 - Difficulty in walking, not elsewhere classified</w:t>
            </w:r>
          </w:p>
        </w:tc>
        <w:tc>
          <w:tcPr>
            <w:tcW w:w="1120" w:type="pct"/>
            <w:noWrap/>
            <w:hideMark/>
          </w:tcPr>
          <w:p w14:paraId="7005578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41,095 (7%)</w:t>
            </w:r>
          </w:p>
        </w:tc>
      </w:tr>
      <w:tr w:rsidR="007B6DF1" w:rsidRPr="00E97AF3" w14:paraId="5C1F5D9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44BA52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750B0C2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G629 - Polyneuropathy, unspecified</w:t>
            </w:r>
          </w:p>
        </w:tc>
        <w:tc>
          <w:tcPr>
            <w:tcW w:w="1120" w:type="pct"/>
            <w:noWrap/>
            <w:hideMark/>
          </w:tcPr>
          <w:p w14:paraId="43DEF9B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34,860 (5.9%)</w:t>
            </w:r>
          </w:p>
        </w:tc>
      </w:tr>
      <w:tr w:rsidR="007B6DF1" w:rsidRPr="00E97AF3" w14:paraId="0AE773E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A57325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3E33196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G5760 - Lesion of plantar nerve, unspecified lower limb</w:t>
            </w:r>
          </w:p>
        </w:tc>
        <w:tc>
          <w:tcPr>
            <w:tcW w:w="1120" w:type="pct"/>
            <w:noWrap/>
            <w:hideMark/>
          </w:tcPr>
          <w:p w14:paraId="49638B6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22,562 (3.8%)</w:t>
            </w:r>
          </w:p>
        </w:tc>
      </w:tr>
      <w:tr w:rsidR="007B6DF1" w:rsidRPr="00E97AF3" w14:paraId="7AF0F0F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C55AF4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2E31C1C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G219 - Secondary parkinsonism, unspecified</w:t>
            </w:r>
          </w:p>
        </w:tc>
        <w:tc>
          <w:tcPr>
            <w:tcW w:w="1120" w:type="pct"/>
            <w:noWrap/>
            <w:hideMark/>
          </w:tcPr>
          <w:p w14:paraId="45E4F0A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13,722 (2.3%)</w:t>
            </w:r>
          </w:p>
        </w:tc>
      </w:tr>
      <w:tr w:rsidR="007B6DF1" w:rsidRPr="00E97AF3" w14:paraId="05CB526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858F35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577C590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G5710 - Meralgia paresthetica, unspecified lower limb</w:t>
            </w:r>
          </w:p>
        </w:tc>
        <w:tc>
          <w:tcPr>
            <w:tcW w:w="1120" w:type="pct"/>
            <w:noWrap/>
            <w:hideMark/>
          </w:tcPr>
          <w:p w14:paraId="587118A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13,380 (2.3%)</w:t>
            </w:r>
          </w:p>
        </w:tc>
      </w:tr>
      <w:tr w:rsidR="007B6DF1" w:rsidRPr="00E97AF3" w14:paraId="0B14AD7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423FDF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53D21B4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G919 - Hydrocephalus, unspecified</w:t>
            </w:r>
          </w:p>
        </w:tc>
        <w:tc>
          <w:tcPr>
            <w:tcW w:w="1120" w:type="pct"/>
            <w:noWrap/>
            <w:hideMark/>
          </w:tcPr>
          <w:p w14:paraId="3E6D885A"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12,092 (2.1%)</w:t>
            </w:r>
          </w:p>
        </w:tc>
      </w:tr>
      <w:tr w:rsidR="007B6DF1" w:rsidRPr="00E97AF3" w14:paraId="0B4D2B6B"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34EFCE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7849FC5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G64 - Other disorders of peripheral nervous system</w:t>
            </w:r>
          </w:p>
        </w:tc>
        <w:tc>
          <w:tcPr>
            <w:tcW w:w="1120" w:type="pct"/>
            <w:noWrap/>
            <w:hideMark/>
          </w:tcPr>
          <w:p w14:paraId="49638E0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8,780 (1.5%)</w:t>
            </w:r>
          </w:p>
        </w:tc>
      </w:tr>
      <w:tr w:rsidR="007B6DF1" w:rsidRPr="00E97AF3" w14:paraId="08BE86A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A875F2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265AD069"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G5601 - Carpal tunnel syndrome, right upper limb</w:t>
            </w:r>
          </w:p>
        </w:tc>
        <w:tc>
          <w:tcPr>
            <w:tcW w:w="1120" w:type="pct"/>
            <w:noWrap/>
            <w:hideMark/>
          </w:tcPr>
          <w:p w14:paraId="04FA132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7,732 (1.3%)</w:t>
            </w:r>
          </w:p>
        </w:tc>
      </w:tr>
      <w:tr w:rsidR="007B6DF1" w:rsidRPr="00E97AF3" w14:paraId="7DDA95C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041992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95 - Other nervous system disorders</w:t>
            </w:r>
          </w:p>
        </w:tc>
        <w:tc>
          <w:tcPr>
            <w:tcW w:w="2239" w:type="pct"/>
            <w:noWrap/>
            <w:hideMark/>
          </w:tcPr>
          <w:p w14:paraId="3F9E36A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G729 - Myopathy, unspecified</w:t>
            </w:r>
          </w:p>
        </w:tc>
        <w:tc>
          <w:tcPr>
            <w:tcW w:w="1120" w:type="pct"/>
            <w:noWrap/>
            <w:hideMark/>
          </w:tcPr>
          <w:p w14:paraId="33A28BD1"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7,282 (1.2%)</w:t>
            </w:r>
          </w:p>
        </w:tc>
      </w:tr>
      <w:tr w:rsidR="007B6DF1" w:rsidRPr="00E97AF3" w14:paraId="11AFD92E"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5B1171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98 - Essential hypertension</w:t>
            </w:r>
          </w:p>
        </w:tc>
        <w:tc>
          <w:tcPr>
            <w:tcW w:w="2239" w:type="pct"/>
            <w:noWrap/>
            <w:hideMark/>
          </w:tcPr>
          <w:p w14:paraId="35CF838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I10 - Essential (primary) hypertension</w:t>
            </w:r>
          </w:p>
        </w:tc>
        <w:tc>
          <w:tcPr>
            <w:tcW w:w="1120" w:type="pct"/>
            <w:noWrap/>
            <w:hideMark/>
          </w:tcPr>
          <w:p w14:paraId="74F5B86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1,494,457 (100%)</w:t>
            </w:r>
          </w:p>
        </w:tc>
      </w:tr>
      <w:tr w:rsidR="007B6DF1" w:rsidRPr="00E97AF3" w14:paraId="02A402E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22B6F2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775358B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I4891 - Unspecified atrial fibrillation</w:t>
            </w:r>
          </w:p>
        </w:tc>
        <w:tc>
          <w:tcPr>
            <w:tcW w:w="1120" w:type="pct"/>
            <w:noWrap/>
            <w:hideMark/>
          </w:tcPr>
          <w:p w14:paraId="538078B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292,126 (52.9%)</w:t>
            </w:r>
          </w:p>
        </w:tc>
      </w:tr>
      <w:tr w:rsidR="007B6DF1" w:rsidRPr="00E97AF3" w14:paraId="7FDCD20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90F825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13087FE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I499 - Cardiac arrhythmia, unspecified</w:t>
            </w:r>
          </w:p>
        </w:tc>
        <w:tc>
          <w:tcPr>
            <w:tcW w:w="1120" w:type="pct"/>
            <w:noWrap/>
            <w:hideMark/>
          </w:tcPr>
          <w:p w14:paraId="481F9D2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103,964 (18.8%)</w:t>
            </w:r>
          </w:p>
        </w:tc>
      </w:tr>
      <w:tr w:rsidR="007B6DF1" w:rsidRPr="00E97AF3" w14:paraId="452F798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57185B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7F22D7F3"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I4949 - Other premature depolarization</w:t>
            </w:r>
          </w:p>
        </w:tc>
        <w:tc>
          <w:tcPr>
            <w:tcW w:w="1120" w:type="pct"/>
            <w:noWrap/>
            <w:hideMark/>
          </w:tcPr>
          <w:p w14:paraId="76C380C2"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32,073 (5.8%)</w:t>
            </w:r>
          </w:p>
        </w:tc>
      </w:tr>
      <w:tr w:rsidR="007B6DF1" w:rsidRPr="00E97AF3" w14:paraId="0D20B4FA"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9551A6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60E31219"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I4940 - Unspecified premature depolarization</w:t>
            </w:r>
          </w:p>
        </w:tc>
        <w:tc>
          <w:tcPr>
            <w:tcW w:w="1120" w:type="pct"/>
            <w:noWrap/>
            <w:hideMark/>
          </w:tcPr>
          <w:p w14:paraId="023A2EC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29,699 (5.4%)</w:t>
            </w:r>
          </w:p>
        </w:tc>
      </w:tr>
      <w:tr w:rsidR="007B6DF1" w:rsidRPr="00E97AF3" w14:paraId="26FFFFF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ACB8EE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2E35E13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I493 - Ventricular premature depolarization</w:t>
            </w:r>
          </w:p>
        </w:tc>
        <w:tc>
          <w:tcPr>
            <w:tcW w:w="1120" w:type="pct"/>
            <w:noWrap/>
            <w:hideMark/>
          </w:tcPr>
          <w:p w14:paraId="640ECDF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28,749 (5.2%)</w:t>
            </w:r>
          </w:p>
        </w:tc>
      </w:tr>
      <w:tr w:rsidR="007B6DF1" w:rsidRPr="00E97AF3" w14:paraId="7763335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60B063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2FFA25E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I498 - Other specified cardiac arrhythmias</w:t>
            </w:r>
          </w:p>
        </w:tc>
        <w:tc>
          <w:tcPr>
            <w:tcW w:w="1120" w:type="pct"/>
            <w:noWrap/>
            <w:hideMark/>
          </w:tcPr>
          <w:p w14:paraId="2A8CD20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18,530 (3.4%)</w:t>
            </w:r>
          </w:p>
        </w:tc>
      </w:tr>
      <w:tr w:rsidR="007B6DF1" w:rsidRPr="00E97AF3" w14:paraId="5E1D8BB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3B5325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49586A1A"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I480 - Paroxysmal atrial fibrillation</w:t>
            </w:r>
          </w:p>
        </w:tc>
        <w:tc>
          <w:tcPr>
            <w:tcW w:w="1120" w:type="pct"/>
            <w:noWrap/>
            <w:hideMark/>
          </w:tcPr>
          <w:p w14:paraId="5FEB3A0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15,958 (2.9%)</w:t>
            </w:r>
          </w:p>
        </w:tc>
      </w:tr>
      <w:tr w:rsidR="007B6DF1" w:rsidRPr="00E97AF3" w14:paraId="67F7A7C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E8694C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106 - Cardiac dysrhythmias</w:t>
            </w:r>
          </w:p>
        </w:tc>
        <w:tc>
          <w:tcPr>
            <w:tcW w:w="2239" w:type="pct"/>
            <w:noWrap/>
            <w:hideMark/>
          </w:tcPr>
          <w:p w14:paraId="7C07265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I4892 - Unspecified atrial flutter</w:t>
            </w:r>
          </w:p>
        </w:tc>
        <w:tc>
          <w:tcPr>
            <w:tcW w:w="1120" w:type="pct"/>
            <w:noWrap/>
            <w:hideMark/>
          </w:tcPr>
          <w:p w14:paraId="39575F81"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13,046 (2.4%)</w:t>
            </w:r>
          </w:p>
        </w:tc>
      </w:tr>
      <w:tr w:rsidR="007B6DF1" w:rsidRPr="00E97AF3" w14:paraId="2F9CC1F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2EDA92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106 - Cardiac dysrhythmias</w:t>
            </w:r>
          </w:p>
        </w:tc>
        <w:tc>
          <w:tcPr>
            <w:tcW w:w="2239" w:type="pct"/>
            <w:noWrap/>
            <w:hideMark/>
          </w:tcPr>
          <w:p w14:paraId="127E5DA3"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I479 - Paroxysmal tachycardia, unspecified</w:t>
            </w:r>
          </w:p>
        </w:tc>
        <w:tc>
          <w:tcPr>
            <w:tcW w:w="1120" w:type="pct"/>
            <w:noWrap/>
            <w:hideMark/>
          </w:tcPr>
          <w:p w14:paraId="14DAF95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11,360 (2.1%)</w:t>
            </w:r>
          </w:p>
        </w:tc>
      </w:tr>
      <w:tr w:rsidR="007B6DF1" w:rsidRPr="00E97AF3" w14:paraId="526EE95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BC928F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5F368E6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J449 - Chronic obstructive pulmonary disease, unspecified</w:t>
            </w:r>
          </w:p>
        </w:tc>
        <w:tc>
          <w:tcPr>
            <w:tcW w:w="1120" w:type="pct"/>
            <w:noWrap/>
            <w:hideMark/>
          </w:tcPr>
          <w:p w14:paraId="4B03235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219,601 (54.1%)</w:t>
            </w:r>
          </w:p>
        </w:tc>
      </w:tr>
      <w:tr w:rsidR="007B6DF1" w:rsidRPr="00E97AF3" w14:paraId="5690777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3F98AD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174F24D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J42 - Unspecified chronic bronchitis</w:t>
            </w:r>
          </w:p>
        </w:tc>
        <w:tc>
          <w:tcPr>
            <w:tcW w:w="1120" w:type="pct"/>
            <w:noWrap/>
            <w:hideMark/>
          </w:tcPr>
          <w:p w14:paraId="5245B07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63,004 (15.5%)</w:t>
            </w:r>
          </w:p>
        </w:tc>
      </w:tr>
      <w:tr w:rsidR="007B6DF1" w:rsidRPr="00E97AF3" w14:paraId="7655EBEC"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F43D1B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67D1503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J479 - Bronchiectasis, uncomplicated</w:t>
            </w:r>
          </w:p>
        </w:tc>
        <w:tc>
          <w:tcPr>
            <w:tcW w:w="1120" w:type="pct"/>
            <w:noWrap/>
            <w:hideMark/>
          </w:tcPr>
          <w:p w14:paraId="6400309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55,697 (13.7%)</w:t>
            </w:r>
          </w:p>
        </w:tc>
      </w:tr>
      <w:tr w:rsidR="007B6DF1" w:rsidRPr="00E97AF3" w14:paraId="168413A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948A45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52D63F5A"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J439 - Emphysema, unspecified</w:t>
            </w:r>
          </w:p>
        </w:tc>
        <w:tc>
          <w:tcPr>
            <w:tcW w:w="1120" w:type="pct"/>
            <w:noWrap/>
            <w:hideMark/>
          </w:tcPr>
          <w:p w14:paraId="0049490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25,677 (6.3%)</w:t>
            </w:r>
          </w:p>
        </w:tc>
      </w:tr>
      <w:tr w:rsidR="007B6DF1" w:rsidRPr="00E97AF3" w14:paraId="6F7376F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3F37DC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0F2E4B9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J441 - Chronic obstructive pulmonary disease with (acute) exacerbation</w:t>
            </w:r>
          </w:p>
        </w:tc>
        <w:tc>
          <w:tcPr>
            <w:tcW w:w="1120" w:type="pct"/>
            <w:noWrap/>
            <w:hideMark/>
          </w:tcPr>
          <w:p w14:paraId="7E17BB25"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25,523 (6.3%)</w:t>
            </w:r>
          </w:p>
        </w:tc>
      </w:tr>
      <w:tr w:rsidR="007B6DF1" w:rsidRPr="00E97AF3" w14:paraId="6329A39E"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BA8041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37B22499"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J410 - Simple chronic bronchitis</w:t>
            </w:r>
          </w:p>
        </w:tc>
        <w:tc>
          <w:tcPr>
            <w:tcW w:w="1120" w:type="pct"/>
            <w:noWrap/>
            <w:hideMark/>
          </w:tcPr>
          <w:p w14:paraId="4832E28A"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6,346 (1.6%)</w:t>
            </w:r>
          </w:p>
        </w:tc>
      </w:tr>
      <w:tr w:rsidR="007B6DF1" w:rsidRPr="00E97AF3" w14:paraId="7AEF3C19"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F76DC4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127 - Chronic obstructive pulmonary disease and bronchiectasis</w:t>
            </w:r>
          </w:p>
        </w:tc>
        <w:tc>
          <w:tcPr>
            <w:tcW w:w="2239" w:type="pct"/>
            <w:noWrap/>
            <w:hideMark/>
          </w:tcPr>
          <w:p w14:paraId="1DEDA7F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J418 - Mixed simple and mucopurulent chronic bronchitis</w:t>
            </w:r>
          </w:p>
        </w:tc>
        <w:tc>
          <w:tcPr>
            <w:tcW w:w="1120" w:type="pct"/>
            <w:noWrap/>
            <w:hideMark/>
          </w:tcPr>
          <w:p w14:paraId="4151D1E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4,911 (1.2%)</w:t>
            </w:r>
          </w:p>
        </w:tc>
      </w:tr>
      <w:tr w:rsidR="007B6DF1" w:rsidRPr="00E97AF3" w14:paraId="7A70799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6E1847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128 - Asthma</w:t>
            </w:r>
          </w:p>
        </w:tc>
        <w:tc>
          <w:tcPr>
            <w:tcW w:w="2239" w:type="pct"/>
            <w:noWrap/>
            <w:hideMark/>
          </w:tcPr>
          <w:p w14:paraId="54A3ACF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J45909 - Unspecified asthma, uncomplicated</w:t>
            </w:r>
          </w:p>
        </w:tc>
        <w:tc>
          <w:tcPr>
            <w:tcW w:w="1120" w:type="pct"/>
            <w:noWrap/>
            <w:hideMark/>
          </w:tcPr>
          <w:p w14:paraId="262F2A2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410,801 (97.3%)</w:t>
            </w:r>
          </w:p>
        </w:tc>
      </w:tr>
      <w:tr w:rsidR="007B6DF1" w:rsidRPr="00E97AF3" w14:paraId="6B59A96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7F4D5B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128 - Asthma</w:t>
            </w:r>
          </w:p>
        </w:tc>
        <w:tc>
          <w:tcPr>
            <w:tcW w:w="2239" w:type="pct"/>
            <w:noWrap/>
            <w:hideMark/>
          </w:tcPr>
          <w:p w14:paraId="16B7BB1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J45902 - Unspecified asthma with status asthmaticus</w:t>
            </w:r>
          </w:p>
        </w:tc>
        <w:tc>
          <w:tcPr>
            <w:tcW w:w="1120" w:type="pct"/>
            <w:noWrap/>
            <w:hideMark/>
          </w:tcPr>
          <w:p w14:paraId="2191A45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8,500 (2%)</w:t>
            </w:r>
          </w:p>
        </w:tc>
      </w:tr>
      <w:tr w:rsidR="007B6DF1" w:rsidRPr="00E97AF3" w14:paraId="4EB5280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9C445B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29B4000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J309 - Allergic rhinitis, unspecified</w:t>
            </w:r>
          </w:p>
        </w:tc>
        <w:tc>
          <w:tcPr>
            <w:tcW w:w="1120" w:type="pct"/>
            <w:noWrap/>
            <w:hideMark/>
          </w:tcPr>
          <w:p w14:paraId="7973133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705,773 (76.6%)</w:t>
            </w:r>
          </w:p>
        </w:tc>
      </w:tr>
      <w:tr w:rsidR="007B6DF1" w:rsidRPr="00E97AF3" w14:paraId="68B9DB4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6CD88E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660A097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J300 - Vasomotor rhinitis</w:t>
            </w:r>
          </w:p>
        </w:tc>
        <w:tc>
          <w:tcPr>
            <w:tcW w:w="1120" w:type="pct"/>
            <w:noWrap/>
            <w:hideMark/>
          </w:tcPr>
          <w:p w14:paraId="2A1AFF1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68,169 (7.4%)</w:t>
            </w:r>
          </w:p>
        </w:tc>
      </w:tr>
      <w:tr w:rsidR="007B6DF1" w:rsidRPr="00E97AF3" w14:paraId="4C87983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D1EAB5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5C9FA29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J3089 - Other allergic rhinitis</w:t>
            </w:r>
          </w:p>
        </w:tc>
        <w:tc>
          <w:tcPr>
            <w:tcW w:w="1120" w:type="pct"/>
            <w:noWrap/>
            <w:hideMark/>
          </w:tcPr>
          <w:p w14:paraId="732E267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54,259 (5.9%)</w:t>
            </w:r>
          </w:p>
        </w:tc>
      </w:tr>
      <w:tr w:rsidR="007B6DF1" w:rsidRPr="00E97AF3" w14:paraId="7096803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8E7A4A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39A3EA91"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J312 - Chronic pharyngitis</w:t>
            </w:r>
          </w:p>
        </w:tc>
        <w:tc>
          <w:tcPr>
            <w:tcW w:w="1120" w:type="pct"/>
            <w:noWrap/>
            <w:hideMark/>
          </w:tcPr>
          <w:p w14:paraId="606A7EFC"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53,405 (5.8%)</w:t>
            </w:r>
          </w:p>
        </w:tc>
      </w:tr>
      <w:tr w:rsidR="007B6DF1" w:rsidRPr="00E97AF3" w14:paraId="5922967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8C24CD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310AEC9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J310 - Chronic rhinitis</w:t>
            </w:r>
          </w:p>
        </w:tc>
        <w:tc>
          <w:tcPr>
            <w:tcW w:w="1120" w:type="pct"/>
            <w:noWrap/>
            <w:hideMark/>
          </w:tcPr>
          <w:p w14:paraId="0B230279"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17,274 (1.9%)</w:t>
            </w:r>
          </w:p>
        </w:tc>
      </w:tr>
      <w:tr w:rsidR="007B6DF1" w:rsidRPr="00E97AF3" w14:paraId="49B0260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EF39AD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134 - Other upper respiratory disease</w:t>
            </w:r>
          </w:p>
        </w:tc>
        <w:tc>
          <w:tcPr>
            <w:tcW w:w="2239" w:type="pct"/>
            <w:noWrap/>
            <w:hideMark/>
          </w:tcPr>
          <w:p w14:paraId="0287FFC1"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J301 - Allergic rhinitis due to pollen</w:t>
            </w:r>
          </w:p>
        </w:tc>
        <w:tc>
          <w:tcPr>
            <w:tcW w:w="1120" w:type="pct"/>
            <w:noWrap/>
            <w:hideMark/>
          </w:tcPr>
          <w:p w14:paraId="366B33D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10,706 (1.2%)</w:t>
            </w:r>
          </w:p>
        </w:tc>
      </w:tr>
      <w:tr w:rsidR="007B6DF1" w:rsidRPr="00E97AF3" w14:paraId="5B04307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5AEEAF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138 - Esophageal disorders</w:t>
            </w:r>
          </w:p>
        </w:tc>
        <w:tc>
          <w:tcPr>
            <w:tcW w:w="2239" w:type="pct"/>
            <w:noWrap/>
            <w:hideMark/>
          </w:tcPr>
          <w:p w14:paraId="227940E7"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K219 - Gastro-esophageal reflux disease without esophagitis</w:t>
            </w:r>
          </w:p>
        </w:tc>
        <w:tc>
          <w:tcPr>
            <w:tcW w:w="1120" w:type="pct"/>
            <w:noWrap/>
            <w:hideMark/>
          </w:tcPr>
          <w:p w14:paraId="20BBADB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345,445 (90.8%)</w:t>
            </w:r>
          </w:p>
        </w:tc>
      </w:tr>
      <w:tr w:rsidR="007B6DF1" w:rsidRPr="00E97AF3" w14:paraId="486C863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AC4A0D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138 - Esophageal disorders</w:t>
            </w:r>
          </w:p>
        </w:tc>
        <w:tc>
          <w:tcPr>
            <w:tcW w:w="2239" w:type="pct"/>
            <w:noWrap/>
            <w:hideMark/>
          </w:tcPr>
          <w:p w14:paraId="745B673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K2270 - Barrett's esophagus without dysplasia</w:t>
            </w:r>
          </w:p>
        </w:tc>
        <w:tc>
          <w:tcPr>
            <w:tcW w:w="1120" w:type="pct"/>
            <w:noWrap/>
            <w:hideMark/>
          </w:tcPr>
          <w:p w14:paraId="7193A6A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14,180 (3.7%)</w:t>
            </w:r>
          </w:p>
        </w:tc>
      </w:tr>
      <w:tr w:rsidR="007B6DF1" w:rsidRPr="00E97AF3" w14:paraId="4C985E45"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665E57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138 - Esophageal disorders</w:t>
            </w:r>
          </w:p>
        </w:tc>
        <w:tc>
          <w:tcPr>
            <w:tcW w:w="2239" w:type="pct"/>
            <w:noWrap/>
            <w:hideMark/>
          </w:tcPr>
          <w:p w14:paraId="0E1FE46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I8500 - Esophageal varices without bleeding</w:t>
            </w:r>
          </w:p>
        </w:tc>
        <w:tc>
          <w:tcPr>
            <w:tcW w:w="1120" w:type="pct"/>
            <w:noWrap/>
            <w:hideMark/>
          </w:tcPr>
          <w:p w14:paraId="7889769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10,982 (2.9%)</w:t>
            </w:r>
          </w:p>
        </w:tc>
      </w:tr>
      <w:tr w:rsidR="007B6DF1" w:rsidRPr="00E97AF3" w14:paraId="15C4E39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C65530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138 - Esophageal disorders</w:t>
            </w:r>
          </w:p>
        </w:tc>
        <w:tc>
          <w:tcPr>
            <w:tcW w:w="2239" w:type="pct"/>
            <w:noWrap/>
            <w:hideMark/>
          </w:tcPr>
          <w:p w14:paraId="262E5AAE"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K224 - Dyskinesia of esophagus</w:t>
            </w:r>
          </w:p>
        </w:tc>
        <w:tc>
          <w:tcPr>
            <w:tcW w:w="1120" w:type="pct"/>
            <w:noWrap/>
            <w:hideMark/>
          </w:tcPr>
          <w:p w14:paraId="5B598EB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5,802 (1.5%)</w:t>
            </w:r>
          </w:p>
        </w:tc>
      </w:tr>
      <w:tr w:rsidR="007B6DF1" w:rsidRPr="00E97AF3" w14:paraId="00E2C67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D5BDAE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07EA32A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K760 - Fatty (change of) liver, not elsewhere classified</w:t>
            </w:r>
          </w:p>
        </w:tc>
        <w:tc>
          <w:tcPr>
            <w:tcW w:w="1120" w:type="pct"/>
            <w:noWrap/>
            <w:hideMark/>
          </w:tcPr>
          <w:p w14:paraId="3EA5FCD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210,227 (64.5%)</w:t>
            </w:r>
          </w:p>
        </w:tc>
      </w:tr>
      <w:tr w:rsidR="007B6DF1" w:rsidRPr="00E97AF3" w14:paraId="7C2CD28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6E37ED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3085FB3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K7689 - Other specified diseases of liver</w:t>
            </w:r>
          </w:p>
        </w:tc>
        <w:tc>
          <w:tcPr>
            <w:tcW w:w="1120" w:type="pct"/>
            <w:noWrap/>
            <w:hideMark/>
          </w:tcPr>
          <w:p w14:paraId="1F041F2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32,374 (9.9%)</w:t>
            </w:r>
          </w:p>
        </w:tc>
      </w:tr>
      <w:tr w:rsidR="007B6DF1" w:rsidRPr="00E97AF3" w14:paraId="32FC049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E95910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2AEA4F4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K769 - Liver disease, unspecified</w:t>
            </w:r>
          </w:p>
        </w:tc>
        <w:tc>
          <w:tcPr>
            <w:tcW w:w="1120" w:type="pct"/>
            <w:noWrap/>
            <w:hideMark/>
          </w:tcPr>
          <w:p w14:paraId="79F123E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31,185 (9.6%)</w:t>
            </w:r>
          </w:p>
        </w:tc>
      </w:tr>
      <w:tr w:rsidR="007B6DF1" w:rsidRPr="00E97AF3" w14:paraId="20E2E066"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949692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6052E104"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K7460 - Unspecified cirrhosis of liver</w:t>
            </w:r>
          </w:p>
        </w:tc>
        <w:tc>
          <w:tcPr>
            <w:tcW w:w="1120" w:type="pct"/>
            <w:noWrap/>
            <w:hideMark/>
          </w:tcPr>
          <w:p w14:paraId="668F41F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22,397 (6.9%)</w:t>
            </w:r>
          </w:p>
        </w:tc>
      </w:tr>
      <w:tr w:rsidR="007B6DF1" w:rsidRPr="00E97AF3" w14:paraId="13A26C5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AC774F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10DEB4E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K759 - Inflammatory liver disease, unspecified</w:t>
            </w:r>
          </w:p>
        </w:tc>
        <w:tc>
          <w:tcPr>
            <w:tcW w:w="1120" w:type="pct"/>
            <w:noWrap/>
            <w:hideMark/>
          </w:tcPr>
          <w:p w14:paraId="4ACF740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10,215 (3.1%)</w:t>
            </w:r>
          </w:p>
        </w:tc>
      </w:tr>
      <w:tr w:rsidR="007B6DF1" w:rsidRPr="00E97AF3" w14:paraId="53CEF17E"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923D40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4E89B269"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K7589 - Other specified inflammatory liver diseases</w:t>
            </w:r>
          </w:p>
        </w:tc>
        <w:tc>
          <w:tcPr>
            <w:tcW w:w="1120" w:type="pct"/>
            <w:noWrap/>
            <w:hideMark/>
          </w:tcPr>
          <w:p w14:paraId="138E43E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5,650 (1.7%)</w:t>
            </w:r>
          </w:p>
        </w:tc>
      </w:tr>
      <w:tr w:rsidR="007B6DF1" w:rsidRPr="00E97AF3" w14:paraId="1D17D870"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513580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151 - Other liver diseases</w:t>
            </w:r>
          </w:p>
        </w:tc>
        <w:tc>
          <w:tcPr>
            <w:tcW w:w="2239" w:type="pct"/>
            <w:noWrap/>
            <w:hideMark/>
          </w:tcPr>
          <w:p w14:paraId="1225A612"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K766 - Portal hypertension</w:t>
            </w:r>
          </w:p>
        </w:tc>
        <w:tc>
          <w:tcPr>
            <w:tcW w:w="1120" w:type="pct"/>
            <w:noWrap/>
            <w:hideMark/>
          </w:tcPr>
          <w:p w14:paraId="4960AE9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5,614 (1.7%)</w:t>
            </w:r>
          </w:p>
        </w:tc>
      </w:tr>
      <w:tr w:rsidR="007B6DF1" w:rsidRPr="00E97AF3" w14:paraId="520ABB8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6D70FE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163 - Genitourinary symptoms and ill-defined conditions</w:t>
            </w:r>
          </w:p>
        </w:tc>
        <w:tc>
          <w:tcPr>
            <w:tcW w:w="2239" w:type="pct"/>
            <w:noWrap/>
            <w:hideMark/>
          </w:tcPr>
          <w:p w14:paraId="73895114"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R32 - Unspecified urinary incontinence</w:t>
            </w:r>
          </w:p>
        </w:tc>
        <w:tc>
          <w:tcPr>
            <w:tcW w:w="1120" w:type="pct"/>
            <w:noWrap/>
            <w:hideMark/>
          </w:tcPr>
          <w:p w14:paraId="75F84F65"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573,504 (78.5%)</w:t>
            </w:r>
          </w:p>
        </w:tc>
      </w:tr>
      <w:tr w:rsidR="007B6DF1" w:rsidRPr="00E97AF3" w14:paraId="04804B7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0C8B17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163 - Genitourinary symptoms and ill-defined conditions</w:t>
            </w:r>
          </w:p>
        </w:tc>
        <w:tc>
          <w:tcPr>
            <w:tcW w:w="2239" w:type="pct"/>
            <w:noWrap/>
            <w:hideMark/>
          </w:tcPr>
          <w:p w14:paraId="2E4CD509"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N39498 - Other specified urinary incontinence</w:t>
            </w:r>
          </w:p>
        </w:tc>
        <w:tc>
          <w:tcPr>
            <w:tcW w:w="1120" w:type="pct"/>
            <w:noWrap/>
            <w:hideMark/>
          </w:tcPr>
          <w:p w14:paraId="5495739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57,408 (7.9%)</w:t>
            </w:r>
          </w:p>
        </w:tc>
      </w:tr>
      <w:tr w:rsidR="007B6DF1" w:rsidRPr="00E97AF3" w14:paraId="4610309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8DC3A6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163 - Genitourinary symptoms and ill-defined conditions</w:t>
            </w:r>
          </w:p>
        </w:tc>
        <w:tc>
          <w:tcPr>
            <w:tcW w:w="2239" w:type="pct"/>
            <w:noWrap/>
            <w:hideMark/>
          </w:tcPr>
          <w:p w14:paraId="43BA166E"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N393 - Stress incontinence (female) (male)</w:t>
            </w:r>
          </w:p>
        </w:tc>
        <w:tc>
          <w:tcPr>
            <w:tcW w:w="1120" w:type="pct"/>
            <w:noWrap/>
            <w:hideMark/>
          </w:tcPr>
          <w:p w14:paraId="54FB419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53,359 (7.3%)</w:t>
            </w:r>
          </w:p>
        </w:tc>
      </w:tr>
      <w:tr w:rsidR="007B6DF1" w:rsidRPr="00E97AF3" w14:paraId="64DA7365"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6242E6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163 - Genitourinary symptoms and ill-defined conditions</w:t>
            </w:r>
          </w:p>
        </w:tc>
        <w:tc>
          <w:tcPr>
            <w:tcW w:w="2239" w:type="pct"/>
            <w:noWrap/>
            <w:hideMark/>
          </w:tcPr>
          <w:p w14:paraId="6514E55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N3941 - Urge incontinence</w:t>
            </w:r>
          </w:p>
        </w:tc>
        <w:tc>
          <w:tcPr>
            <w:tcW w:w="1120" w:type="pct"/>
            <w:noWrap/>
            <w:hideMark/>
          </w:tcPr>
          <w:p w14:paraId="6DAEC57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33,002 (4.5%)</w:t>
            </w:r>
          </w:p>
        </w:tc>
      </w:tr>
      <w:tr w:rsidR="007B6DF1" w:rsidRPr="00E97AF3" w14:paraId="3DEA232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B89CBA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163 - Genitourinary symptoms and ill-defined conditions</w:t>
            </w:r>
          </w:p>
        </w:tc>
        <w:tc>
          <w:tcPr>
            <w:tcW w:w="2239" w:type="pct"/>
            <w:noWrap/>
            <w:hideMark/>
          </w:tcPr>
          <w:p w14:paraId="60557C1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N3946 - Mixed incontinence</w:t>
            </w:r>
          </w:p>
        </w:tc>
        <w:tc>
          <w:tcPr>
            <w:tcW w:w="1120" w:type="pct"/>
            <w:noWrap/>
            <w:hideMark/>
          </w:tcPr>
          <w:p w14:paraId="4A8726D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9,731 (1.3%)</w:t>
            </w:r>
          </w:p>
        </w:tc>
      </w:tr>
      <w:tr w:rsidR="007B6DF1" w:rsidRPr="00E97AF3" w14:paraId="2631234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A53849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164 - Hyperplasia of prostate</w:t>
            </w:r>
          </w:p>
        </w:tc>
        <w:tc>
          <w:tcPr>
            <w:tcW w:w="2239" w:type="pct"/>
            <w:noWrap/>
            <w:hideMark/>
          </w:tcPr>
          <w:p w14:paraId="511213C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N400 - Benign prostatic hyperplasia without lower urinary tract symptoms</w:t>
            </w:r>
          </w:p>
        </w:tc>
        <w:tc>
          <w:tcPr>
            <w:tcW w:w="1120" w:type="pct"/>
            <w:noWrap/>
            <w:hideMark/>
          </w:tcPr>
          <w:p w14:paraId="3D8EB13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399,488 (99.6%)</w:t>
            </w:r>
          </w:p>
        </w:tc>
      </w:tr>
      <w:tr w:rsidR="007B6DF1" w:rsidRPr="00E97AF3" w14:paraId="39B7FC46"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6226F1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320DD16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N921 - Excessive and frequent menstruation with irregular cycle</w:t>
            </w:r>
          </w:p>
        </w:tc>
        <w:tc>
          <w:tcPr>
            <w:tcW w:w="1120" w:type="pct"/>
            <w:noWrap/>
            <w:hideMark/>
          </w:tcPr>
          <w:p w14:paraId="5728224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187,005 (24.6%)</w:t>
            </w:r>
          </w:p>
        </w:tc>
      </w:tr>
      <w:tr w:rsidR="007B6DF1" w:rsidRPr="00E97AF3" w14:paraId="55A8EB65"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255D44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11BDB99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N912 - Amenorrhea, unspecified</w:t>
            </w:r>
          </w:p>
        </w:tc>
        <w:tc>
          <w:tcPr>
            <w:tcW w:w="1120" w:type="pct"/>
            <w:noWrap/>
            <w:hideMark/>
          </w:tcPr>
          <w:p w14:paraId="368634E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144,856 (19%)</w:t>
            </w:r>
          </w:p>
        </w:tc>
      </w:tr>
      <w:tr w:rsidR="007B6DF1" w:rsidRPr="00E97AF3" w14:paraId="775F047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C5B5B3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67C7C29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N946 - Dysmenorrhea, unspecified</w:t>
            </w:r>
          </w:p>
        </w:tc>
        <w:tc>
          <w:tcPr>
            <w:tcW w:w="1120" w:type="pct"/>
            <w:noWrap/>
            <w:hideMark/>
          </w:tcPr>
          <w:p w14:paraId="75812B17"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139,013 (18.3%)</w:t>
            </w:r>
          </w:p>
        </w:tc>
      </w:tr>
      <w:tr w:rsidR="007B6DF1" w:rsidRPr="00E97AF3" w14:paraId="1CB55DC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33A634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41FE865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N920 - Excessive and frequent menstruation with regular cycle</w:t>
            </w:r>
          </w:p>
        </w:tc>
        <w:tc>
          <w:tcPr>
            <w:tcW w:w="1120" w:type="pct"/>
            <w:noWrap/>
            <w:hideMark/>
          </w:tcPr>
          <w:p w14:paraId="5C7557C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121,979 (16%)</w:t>
            </w:r>
          </w:p>
        </w:tc>
      </w:tr>
      <w:tr w:rsidR="007B6DF1" w:rsidRPr="00E97AF3" w14:paraId="76F300C3"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4DACDF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091C6B8E"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N926 - Irregular menstruation, unspecified</w:t>
            </w:r>
          </w:p>
        </w:tc>
        <w:tc>
          <w:tcPr>
            <w:tcW w:w="1120" w:type="pct"/>
            <w:noWrap/>
            <w:hideMark/>
          </w:tcPr>
          <w:p w14:paraId="2256CC9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67,498 (8.9%)</w:t>
            </w:r>
          </w:p>
        </w:tc>
      </w:tr>
      <w:tr w:rsidR="007B6DF1" w:rsidRPr="00E97AF3" w14:paraId="3D26F48D"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3711F1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05C3997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N911 - Secondary amenorrhea</w:t>
            </w:r>
          </w:p>
        </w:tc>
        <w:tc>
          <w:tcPr>
            <w:tcW w:w="1120" w:type="pct"/>
            <w:noWrap/>
            <w:hideMark/>
          </w:tcPr>
          <w:p w14:paraId="3BE43736"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66,380 (8.7%)</w:t>
            </w:r>
          </w:p>
        </w:tc>
      </w:tr>
      <w:tr w:rsidR="007B6DF1" w:rsidRPr="00E97AF3" w14:paraId="4339491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A80883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171 - Menstrual disorders</w:t>
            </w:r>
          </w:p>
        </w:tc>
        <w:tc>
          <w:tcPr>
            <w:tcW w:w="2239" w:type="pct"/>
            <w:noWrap/>
            <w:hideMark/>
          </w:tcPr>
          <w:p w14:paraId="4FF641EE"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N944 - Primary dysmenorrhea</w:t>
            </w:r>
          </w:p>
        </w:tc>
        <w:tc>
          <w:tcPr>
            <w:tcW w:w="1120" w:type="pct"/>
            <w:noWrap/>
            <w:hideMark/>
          </w:tcPr>
          <w:p w14:paraId="354C17C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14,155 (1.9%)</w:t>
            </w:r>
          </w:p>
        </w:tc>
      </w:tr>
      <w:tr w:rsidR="007B6DF1" w:rsidRPr="00E97AF3" w14:paraId="61E6242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7B5033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4649405A"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N951 - Menopausal and female climacteric states</w:t>
            </w:r>
          </w:p>
        </w:tc>
        <w:tc>
          <w:tcPr>
            <w:tcW w:w="1120" w:type="pct"/>
            <w:noWrap/>
            <w:hideMark/>
          </w:tcPr>
          <w:p w14:paraId="0336A1B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142,428 (42%)</w:t>
            </w:r>
          </w:p>
        </w:tc>
      </w:tr>
      <w:tr w:rsidR="007B6DF1" w:rsidRPr="00E97AF3" w14:paraId="6985DB6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506852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762EF97D"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N950 - Postmenopausal bleeding</w:t>
            </w:r>
          </w:p>
        </w:tc>
        <w:tc>
          <w:tcPr>
            <w:tcW w:w="1120" w:type="pct"/>
            <w:noWrap/>
            <w:hideMark/>
          </w:tcPr>
          <w:p w14:paraId="032625D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70,225 (20.7%)</w:t>
            </w:r>
          </w:p>
        </w:tc>
      </w:tr>
      <w:tr w:rsidR="007B6DF1" w:rsidRPr="00E97AF3" w14:paraId="46AC73A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F3EF0C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3CA73A5D"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N959 - Unspecified menopausal and perimenopausal disorder</w:t>
            </w:r>
          </w:p>
        </w:tc>
        <w:tc>
          <w:tcPr>
            <w:tcW w:w="1120" w:type="pct"/>
            <w:noWrap/>
            <w:hideMark/>
          </w:tcPr>
          <w:p w14:paraId="7676CD3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55,631 (16.4%)</w:t>
            </w:r>
          </w:p>
        </w:tc>
      </w:tr>
      <w:tr w:rsidR="007B6DF1" w:rsidRPr="00E97AF3" w14:paraId="73553A7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0DCB2A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0DBE1E8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N952 - Postmenopausal atrophic vaginitis</w:t>
            </w:r>
          </w:p>
        </w:tc>
        <w:tc>
          <w:tcPr>
            <w:tcW w:w="1120" w:type="pct"/>
            <w:noWrap/>
            <w:hideMark/>
          </w:tcPr>
          <w:p w14:paraId="51A6494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37,312 (11%)</w:t>
            </w:r>
          </w:p>
        </w:tc>
      </w:tr>
      <w:tr w:rsidR="007B6DF1" w:rsidRPr="00E97AF3" w14:paraId="7FFAFA6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7B20BF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7481662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E28319 - Asymptomatic premature menopause</w:t>
            </w:r>
          </w:p>
        </w:tc>
        <w:tc>
          <w:tcPr>
            <w:tcW w:w="1120" w:type="pct"/>
            <w:noWrap/>
            <w:hideMark/>
          </w:tcPr>
          <w:p w14:paraId="2339EB0C"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13,552 (4%)</w:t>
            </w:r>
          </w:p>
        </w:tc>
      </w:tr>
      <w:tr w:rsidR="007B6DF1" w:rsidRPr="00E97AF3" w14:paraId="454EC12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A6559D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7D33B8C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E2839 - Other primary ovarian failure</w:t>
            </w:r>
          </w:p>
        </w:tc>
        <w:tc>
          <w:tcPr>
            <w:tcW w:w="1120" w:type="pct"/>
            <w:noWrap/>
            <w:hideMark/>
          </w:tcPr>
          <w:p w14:paraId="4445D02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12,621 (3.7%)</w:t>
            </w:r>
          </w:p>
        </w:tc>
      </w:tr>
      <w:tr w:rsidR="007B6DF1" w:rsidRPr="00E97AF3" w14:paraId="0233DD8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953F6D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173 - Menopausal disorders</w:t>
            </w:r>
          </w:p>
        </w:tc>
        <w:tc>
          <w:tcPr>
            <w:tcW w:w="2239" w:type="pct"/>
            <w:noWrap/>
            <w:hideMark/>
          </w:tcPr>
          <w:p w14:paraId="2531668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N924 - Excessive bleeding in the premenopausal period</w:t>
            </w:r>
          </w:p>
        </w:tc>
        <w:tc>
          <w:tcPr>
            <w:tcW w:w="1120" w:type="pct"/>
            <w:noWrap/>
            <w:hideMark/>
          </w:tcPr>
          <w:p w14:paraId="733638F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4,599 (1.4%)</w:t>
            </w:r>
          </w:p>
        </w:tc>
      </w:tr>
      <w:tr w:rsidR="007B6DF1" w:rsidRPr="00E97AF3" w14:paraId="30F7BE9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AC66BA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491D60F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L409 - Psoriasis, unspecified</w:t>
            </w:r>
          </w:p>
        </w:tc>
        <w:tc>
          <w:tcPr>
            <w:tcW w:w="1120" w:type="pct"/>
            <w:noWrap/>
            <w:hideMark/>
          </w:tcPr>
          <w:p w14:paraId="071E5035"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147,076 (43.4%)</w:t>
            </w:r>
          </w:p>
        </w:tc>
      </w:tr>
      <w:tr w:rsidR="007B6DF1" w:rsidRPr="00E97AF3" w14:paraId="2C15251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B58AA8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03931C45"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L719 - Rosacea, unspecified</w:t>
            </w:r>
          </w:p>
        </w:tc>
        <w:tc>
          <w:tcPr>
            <w:tcW w:w="1120" w:type="pct"/>
            <w:noWrap/>
            <w:hideMark/>
          </w:tcPr>
          <w:p w14:paraId="3DB0360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59,973 (17.7%)</w:t>
            </w:r>
          </w:p>
        </w:tc>
      </w:tr>
      <w:tr w:rsidR="007B6DF1" w:rsidRPr="00E97AF3" w14:paraId="443AB35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23C19C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16B5B2E6"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L42 - Pityriasis rosea</w:t>
            </w:r>
          </w:p>
        </w:tc>
        <w:tc>
          <w:tcPr>
            <w:tcW w:w="1120" w:type="pct"/>
            <w:noWrap/>
            <w:hideMark/>
          </w:tcPr>
          <w:p w14:paraId="539CDF9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59,745 (17.6%)</w:t>
            </w:r>
          </w:p>
        </w:tc>
      </w:tr>
      <w:tr w:rsidR="007B6DF1" w:rsidRPr="00E97AF3" w14:paraId="25C1E73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AFF0AB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454BD159"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L305 - Pityriasis alba</w:t>
            </w:r>
          </w:p>
        </w:tc>
        <w:tc>
          <w:tcPr>
            <w:tcW w:w="1120" w:type="pct"/>
            <w:noWrap/>
            <w:hideMark/>
          </w:tcPr>
          <w:p w14:paraId="08AB114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22,418 (6.6%)</w:t>
            </w:r>
          </w:p>
        </w:tc>
      </w:tr>
      <w:tr w:rsidR="007B6DF1" w:rsidRPr="00E97AF3" w14:paraId="1596B89E"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AD02BC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3F2D5D3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L404 - Guttate psoriasis</w:t>
            </w:r>
          </w:p>
        </w:tc>
        <w:tc>
          <w:tcPr>
            <w:tcW w:w="1120" w:type="pct"/>
            <w:noWrap/>
            <w:hideMark/>
          </w:tcPr>
          <w:p w14:paraId="4A5E0FF3"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13,150 (3.9%)</w:t>
            </w:r>
          </w:p>
        </w:tc>
      </w:tr>
      <w:tr w:rsidR="007B6DF1" w:rsidRPr="00E97AF3" w14:paraId="2B5DB39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23548F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613DBF3D"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L4059 - Other psoriatic arthropathy</w:t>
            </w:r>
          </w:p>
        </w:tc>
        <w:tc>
          <w:tcPr>
            <w:tcW w:w="1120" w:type="pct"/>
            <w:noWrap/>
            <w:hideMark/>
          </w:tcPr>
          <w:p w14:paraId="18DE833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8,519 (2.5%)</w:t>
            </w:r>
          </w:p>
        </w:tc>
      </w:tr>
      <w:tr w:rsidR="007B6DF1" w:rsidRPr="00E97AF3" w14:paraId="5F05323F"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4BEBDE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198 - Other inflammatory condition of skin</w:t>
            </w:r>
          </w:p>
        </w:tc>
        <w:tc>
          <w:tcPr>
            <w:tcW w:w="2239" w:type="pct"/>
            <w:noWrap/>
            <w:hideMark/>
          </w:tcPr>
          <w:p w14:paraId="64884D4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L4050 - Arthropathic psoriasis, unspecified</w:t>
            </w:r>
          </w:p>
        </w:tc>
        <w:tc>
          <w:tcPr>
            <w:tcW w:w="1120" w:type="pct"/>
            <w:noWrap/>
            <w:hideMark/>
          </w:tcPr>
          <w:p w14:paraId="5C08F75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8,039 (2.4%)</w:t>
            </w:r>
          </w:p>
        </w:tc>
      </w:tr>
      <w:tr w:rsidR="007B6DF1" w:rsidRPr="00E97AF3" w14:paraId="4AABB6F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56587D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0318D445"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M179 - Osteoarthritis of knee, unspecified</w:t>
            </w:r>
          </w:p>
        </w:tc>
        <w:tc>
          <w:tcPr>
            <w:tcW w:w="1120" w:type="pct"/>
            <w:noWrap/>
            <w:hideMark/>
          </w:tcPr>
          <w:p w14:paraId="6A93FF0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424,129 (35.4%)</w:t>
            </w:r>
          </w:p>
        </w:tc>
      </w:tr>
      <w:tr w:rsidR="007B6DF1" w:rsidRPr="00E97AF3" w14:paraId="5A69946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8960EA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6FBCBAA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M1990 - Unspecified osteoarthritis, unspecified site</w:t>
            </w:r>
          </w:p>
        </w:tc>
        <w:tc>
          <w:tcPr>
            <w:tcW w:w="1120" w:type="pct"/>
            <w:noWrap/>
            <w:hideMark/>
          </w:tcPr>
          <w:p w14:paraId="3650F23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256,086 (21.4%)</w:t>
            </w:r>
          </w:p>
        </w:tc>
      </w:tr>
      <w:tr w:rsidR="007B6DF1" w:rsidRPr="00E97AF3" w14:paraId="27F7D6E7"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F6E2A0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604E16E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M169 - Osteoarthritis of hip, unspecified</w:t>
            </w:r>
          </w:p>
        </w:tc>
        <w:tc>
          <w:tcPr>
            <w:tcW w:w="1120" w:type="pct"/>
            <w:noWrap/>
            <w:hideMark/>
          </w:tcPr>
          <w:p w14:paraId="2ED1215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171,155 (14.3%)</w:t>
            </w:r>
          </w:p>
        </w:tc>
      </w:tr>
      <w:tr w:rsidR="007B6DF1" w:rsidRPr="00E97AF3" w14:paraId="196BE60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9FC116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063503E0"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M159 - Polyosteoarthritis, unspecified</w:t>
            </w:r>
          </w:p>
        </w:tc>
        <w:tc>
          <w:tcPr>
            <w:tcW w:w="1120" w:type="pct"/>
            <w:noWrap/>
            <w:hideMark/>
          </w:tcPr>
          <w:p w14:paraId="3AE25F3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138,090 (11.5%)</w:t>
            </w:r>
          </w:p>
        </w:tc>
      </w:tr>
      <w:tr w:rsidR="007B6DF1" w:rsidRPr="00E97AF3" w14:paraId="1E84D89E"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B653A1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55736FF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M189 - Osteoarthritis of first carpometacarpal joint, unspecified</w:t>
            </w:r>
          </w:p>
        </w:tc>
        <w:tc>
          <w:tcPr>
            <w:tcW w:w="1120" w:type="pct"/>
            <w:noWrap/>
            <w:hideMark/>
          </w:tcPr>
          <w:p w14:paraId="489BDD4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73,849 (6.2%)</w:t>
            </w:r>
          </w:p>
        </w:tc>
      </w:tr>
      <w:tr w:rsidR="007B6DF1" w:rsidRPr="00E97AF3" w14:paraId="02AF8F8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976E77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119B61D5"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M1810 - Unilateral primary osteoarthritis of first carpometacarpal joint, unspecified hand</w:t>
            </w:r>
          </w:p>
        </w:tc>
        <w:tc>
          <w:tcPr>
            <w:tcW w:w="1120" w:type="pct"/>
            <w:noWrap/>
            <w:hideMark/>
          </w:tcPr>
          <w:p w14:paraId="1104DD6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49,524 (4.1%)</w:t>
            </w:r>
          </w:p>
        </w:tc>
      </w:tr>
      <w:tr w:rsidR="007B6DF1" w:rsidRPr="00E97AF3" w14:paraId="2E00481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4218A8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203 - Osteoarthritis</w:t>
            </w:r>
          </w:p>
        </w:tc>
        <w:tc>
          <w:tcPr>
            <w:tcW w:w="2239" w:type="pct"/>
            <w:noWrap/>
            <w:hideMark/>
          </w:tcPr>
          <w:p w14:paraId="35CC332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M19049 - Primary osteoarthritis, unspecified hand</w:t>
            </w:r>
          </w:p>
        </w:tc>
        <w:tc>
          <w:tcPr>
            <w:tcW w:w="1120" w:type="pct"/>
            <w:noWrap/>
            <w:hideMark/>
          </w:tcPr>
          <w:p w14:paraId="75D2AB3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38,103 (3.2%)</w:t>
            </w:r>
          </w:p>
        </w:tc>
      </w:tr>
      <w:tr w:rsidR="007B6DF1" w:rsidRPr="00E97AF3" w14:paraId="43F3594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BDA307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205 - Spondylosis; intervertebral disc disorders; other back problems</w:t>
            </w:r>
          </w:p>
        </w:tc>
        <w:tc>
          <w:tcPr>
            <w:tcW w:w="2239" w:type="pct"/>
            <w:noWrap/>
            <w:hideMark/>
          </w:tcPr>
          <w:p w14:paraId="5C81E8B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M519 - Unspecified thoracic, thoracolumbar and lumbosacral intervertebral disc disorder</w:t>
            </w:r>
          </w:p>
        </w:tc>
        <w:tc>
          <w:tcPr>
            <w:tcW w:w="1120" w:type="pct"/>
            <w:noWrap/>
            <w:hideMark/>
          </w:tcPr>
          <w:p w14:paraId="7ECAC4F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258,658 (29.8%)</w:t>
            </w:r>
          </w:p>
        </w:tc>
      </w:tr>
      <w:tr w:rsidR="007B6DF1" w:rsidRPr="00E97AF3" w14:paraId="585C8105"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9B4C3F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56CDFBD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M47899 - Other spondylosis, site unspecified</w:t>
            </w:r>
          </w:p>
        </w:tc>
        <w:tc>
          <w:tcPr>
            <w:tcW w:w="1120" w:type="pct"/>
            <w:noWrap/>
            <w:hideMark/>
          </w:tcPr>
          <w:p w14:paraId="3744758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132,403 (15.2%)</w:t>
            </w:r>
          </w:p>
        </w:tc>
      </w:tr>
      <w:tr w:rsidR="007B6DF1" w:rsidRPr="00E97AF3" w14:paraId="1DCACD83"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FCE8EA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6242B351"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M5126 - Other intervertebral disc displacement, lumbar region</w:t>
            </w:r>
          </w:p>
        </w:tc>
        <w:tc>
          <w:tcPr>
            <w:tcW w:w="1120" w:type="pct"/>
            <w:noWrap/>
            <w:hideMark/>
          </w:tcPr>
          <w:p w14:paraId="33E61BF1"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127,780 (14.7%)</w:t>
            </w:r>
          </w:p>
        </w:tc>
      </w:tr>
      <w:tr w:rsidR="007B6DF1" w:rsidRPr="00E97AF3" w14:paraId="5CE26E6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83ACFB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533F7100"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M479 - Spondylosis, unspecified</w:t>
            </w:r>
          </w:p>
        </w:tc>
        <w:tc>
          <w:tcPr>
            <w:tcW w:w="1120" w:type="pct"/>
            <w:noWrap/>
            <w:hideMark/>
          </w:tcPr>
          <w:p w14:paraId="43DEFED1"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107,117 (12.3%)</w:t>
            </w:r>
          </w:p>
        </w:tc>
      </w:tr>
      <w:tr w:rsidR="007B6DF1" w:rsidRPr="00E97AF3" w14:paraId="6133301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5B1E3B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4478F6A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M47892 - Other spondylosis, cervical region</w:t>
            </w:r>
          </w:p>
        </w:tc>
        <w:tc>
          <w:tcPr>
            <w:tcW w:w="1120" w:type="pct"/>
            <w:noWrap/>
            <w:hideMark/>
          </w:tcPr>
          <w:p w14:paraId="6F9C7B4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56,137 (6.5%)</w:t>
            </w:r>
          </w:p>
        </w:tc>
      </w:tr>
      <w:tr w:rsidR="007B6DF1" w:rsidRPr="00E97AF3" w14:paraId="6FD9EC3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3C974D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62935D2D"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M47896 - Other spondylosis, lumbar region</w:t>
            </w:r>
          </w:p>
        </w:tc>
        <w:tc>
          <w:tcPr>
            <w:tcW w:w="1120" w:type="pct"/>
            <w:noWrap/>
            <w:hideMark/>
          </w:tcPr>
          <w:p w14:paraId="4A6A6CBA"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55,198 (6.4%)</w:t>
            </w:r>
          </w:p>
        </w:tc>
      </w:tr>
      <w:tr w:rsidR="007B6DF1" w:rsidRPr="00E97AF3" w14:paraId="1BA1D7E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646FEB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3CA6E0D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M5090 - Cervical disc disorder, unspecified, unspecified cervical region</w:t>
            </w:r>
          </w:p>
        </w:tc>
        <w:tc>
          <w:tcPr>
            <w:tcW w:w="1120" w:type="pct"/>
            <w:noWrap/>
            <w:hideMark/>
          </w:tcPr>
          <w:p w14:paraId="690C659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36,630 (4.2%)</w:t>
            </w:r>
          </w:p>
        </w:tc>
      </w:tr>
      <w:tr w:rsidR="007B6DF1" w:rsidRPr="00E97AF3" w14:paraId="7C220A7A"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AE56DE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3EB6D3D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M4726 - Other spondylosis with radiculopathy, lumbar region</w:t>
            </w:r>
          </w:p>
        </w:tc>
        <w:tc>
          <w:tcPr>
            <w:tcW w:w="1120" w:type="pct"/>
            <w:noWrap/>
            <w:hideMark/>
          </w:tcPr>
          <w:p w14:paraId="06EAE36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22,995 (2.6%)</w:t>
            </w:r>
          </w:p>
        </w:tc>
      </w:tr>
      <w:tr w:rsidR="007B6DF1" w:rsidRPr="00E97AF3" w14:paraId="7D14DD6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0F8EF6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2904BFF2"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M461 - Sacroiliitis, not elsewhere classified</w:t>
            </w:r>
          </w:p>
        </w:tc>
        <w:tc>
          <w:tcPr>
            <w:tcW w:w="1120" w:type="pct"/>
            <w:noWrap/>
            <w:hideMark/>
          </w:tcPr>
          <w:p w14:paraId="364480F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16,828 (1.9%)</w:t>
            </w:r>
          </w:p>
        </w:tc>
      </w:tr>
      <w:tr w:rsidR="007B6DF1" w:rsidRPr="00E97AF3" w14:paraId="46B5AC6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47E5F1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1F1277F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M5020 - Other cervical disc displacement, unspecified cervical region</w:t>
            </w:r>
          </w:p>
        </w:tc>
        <w:tc>
          <w:tcPr>
            <w:tcW w:w="1120" w:type="pct"/>
            <w:noWrap/>
            <w:hideMark/>
          </w:tcPr>
          <w:p w14:paraId="2291996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16,685 (1.9%)</w:t>
            </w:r>
          </w:p>
        </w:tc>
      </w:tr>
      <w:tr w:rsidR="007B6DF1" w:rsidRPr="00E97AF3" w14:paraId="57A2305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2A3AB8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205 - Spondylosis; intervertebral disc disorders; other back problems</w:t>
            </w:r>
          </w:p>
        </w:tc>
        <w:tc>
          <w:tcPr>
            <w:tcW w:w="2239" w:type="pct"/>
            <w:noWrap/>
            <w:hideMark/>
          </w:tcPr>
          <w:p w14:paraId="1BF95302"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M47894 - Other spondylosis, thoracic region</w:t>
            </w:r>
          </w:p>
        </w:tc>
        <w:tc>
          <w:tcPr>
            <w:tcW w:w="1120" w:type="pct"/>
            <w:noWrap/>
            <w:hideMark/>
          </w:tcPr>
          <w:p w14:paraId="46F2473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8,676 (1%)</w:t>
            </w:r>
          </w:p>
        </w:tc>
      </w:tr>
      <w:tr w:rsidR="007B6DF1" w:rsidRPr="00E97AF3" w14:paraId="7C3E093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425580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206 - Osteoporosis</w:t>
            </w:r>
          </w:p>
        </w:tc>
        <w:tc>
          <w:tcPr>
            <w:tcW w:w="2239" w:type="pct"/>
            <w:noWrap/>
            <w:hideMark/>
          </w:tcPr>
          <w:p w14:paraId="27AE6633"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M810 - Age-related osteoporosis without current pathological fracture</w:t>
            </w:r>
          </w:p>
        </w:tc>
        <w:tc>
          <w:tcPr>
            <w:tcW w:w="1120" w:type="pct"/>
            <w:noWrap/>
            <w:hideMark/>
          </w:tcPr>
          <w:p w14:paraId="689376B6"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151,616 (53.5%)</w:t>
            </w:r>
          </w:p>
        </w:tc>
      </w:tr>
      <w:tr w:rsidR="007B6DF1" w:rsidRPr="00E97AF3" w14:paraId="137F47F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2F39E4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206 - Osteoporosis</w:t>
            </w:r>
          </w:p>
        </w:tc>
        <w:tc>
          <w:tcPr>
            <w:tcW w:w="2239" w:type="pct"/>
            <w:noWrap/>
            <w:hideMark/>
          </w:tcPr>
          <w:p w14:paraId="070BDED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M818 - Other osteoporosis without current pathological fracture</w:t>
            </w:r>
          </w:p>
        </w:tc>
        <w:tc>
          <w:tcPr>
            <w:tcW w:w="1120" w:type="pct"/>
            <w:noWrap/>
            <w:hideMark/>
          </w:tcPr>
          <w:p w14:paraId="6D7097DF"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131,511 (46.4%)</w:t>
            </w:r>
          </w:p>
        </w:tc>
      </w:tr>
      <w:tr w:rsidR="007B6DF1" w:rsidRPr="00E97AF3" w14:paraId="69E8BC9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4F79AD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208 - Acquired foot deformities</w:t>
            </w:r>
          </w:p>
        </w:tc>
        <w:tc>
          <w:tcPr>
            <w:tcW w:w="2239" w:type="pct"/>
            <w:noWrap/>
            <w:hideMark/>
          </w:tcPr>
          <w:p w14:paraId="79FB8C4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M2010 - Hallux valgus (acquired), unspecified foot</w:t>
            </w:r>
          </w:p>
        </w:tc>
        <w:tc>
          <w:tcPr>
            <w:tcW w:w="1120" w:type="pct"/>
            <w:noWrap/>
            <w:hideMark/>
          </w:tcPr>
          <w:p w14:paraId="42419B1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174,297 (80.4%)</w:t>
            </w:r>
          </w:p>
        </w:tc>
      </w:tr>
      <w:tr w:rsidR="007B6DF1" w:rsidRPr="00E97AF3" w14:paraId="738C2B9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096EB6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208 - Acquired foot deformities</w:t>
            </w:r>
          </w:p>
        </w:tc>
        <w:tc>
          <w:tcPr>
            <w:tcW w:w="2239" w:type="pct"/>
            <w:noWrap/>
            <w:hideMark/>
          </w:tcPr>
          <w:p w14:paraId="58D0C6D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M2040 - Other hammer toe(s) (acquired), unspecified foot</w:t>
            </w:r>
          </w:p>
        </w:tc>
        <w:tc>
          <w:tcPr>
            <w:tcW w:w="1120" w:type="pct"/>
            <w:noWrap/>
            <w:hideMark/>
          </w:tcPr>
          <w:p w14:paraId="5C6A42A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38,938 (18%)</w:t>
            </w:r>
          </w:p>
        </w:tc>
      </w:tr>
      <w:tr w:rsidR="007B6DF1" w:rsidRPr="00E97AF3" w14:paraId="7F7A463B"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370B2F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208 - Acquired foot deformities</w:t>
            </w:r>
          </w:p>
        </w:tc>
        <w:tc>
          <w:tcPr>
            <w:tcW w:w="2239" w:type="pct"/>
            <w:noWrap/>
            <w:hideMark/>
          </w:tcPr>
          <w:p w14:paraId="758EA4A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M2030 - Hallux varus (acquired), unspecified foot</w:t>
            </w:r>
          </w:p>
        </w:tc>
        <w:tc>
          <w:tcPr>
            <w:tcW w:w="1120" w:type="pct"/>
            <w:noWrap/>
            <w:hideMark/>
          </w:tcPr>
          <w:p w14:paraId="7C4F0B8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2,318 (1.1%)</w:t>
            </w:r>
          </w:p>
        </w:tc>
      </w:tr>
      <w:tr w:rsidR="007B6DF1" w:rsidRPr="00E97AF3" w14:paraId="46068A44"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0E53FF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209 - Other acquired deformities</w:t>
            </w:r>
          </w:p>
        </w:tc>
        <w:tc>
          <w:tcPr>
            <w:tcW w:w="2239" w:type="pct"/>
            <w:noWrap/>
            <w:hideMark/>
          </w:tcPr>
          <w:p w14:paraId="45D2D9C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M419 - Scoliosis, unspecified</w:t>
            </w:r>
          </w:p>
        </w:tc>
        <w:tc>
          <w:tcPr>
            <w:tcW w:w="1120" w:type="pct"/>
            <w:noWrap/>
            <w:hideMark/>
          </w:tcPr>
          <w:p w14:paraId="44FA010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239,324 (87.1%)</w:t>
            </w:r>
          </w:p>
        </w:tc>
      </w:tr>
      <w:tr w:rsidR="007B6DF1" w:rsidRPr="00E97AF3" w14:paraId="1C299AC7"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3F31DE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209 - Other acquired deformities</w:t>
            </w:r>
          </w:p>
        </w:tc>
        <w:tc>
          <w:tcPr>
            <w:tcW w:w="2239" w:type="pct"/>
            <w:noWrap/>
            <w:hideMark/>
          </w:tcPr>
          <w:p w14:paraId="20D01B64"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M4050 - Lordosis, unspecified, site unspecified</w:t>
            </w:r>
          </w:p>
        </w:tc>
        <w:tc>
          <w:tcPr>
            <w:tcW w:w="1120" w:type="pct"/>
            <w:noWrap/>
            <w:hideMark/>
          </w:tcPr>
          <w:p w14:paraId="6AB77C54"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9,858 (3.6%)</w:t>
            </w:r>
          </w:p>
        </w:tc>
      </w:tr>
      <w:tr w:rsidR="007B6DF1" w:rsidRPr="00E97AF3" w14:paraId="133118C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3238C3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209 - Other acquired deformities</w:t>
            </w:r>
          </w:p>
        </w:tc>
        <w:tc>
          <w:tcPr>
            <w:tcW w:w="2239" w:type="pct"/>
            <w:noWrap/>
            <w:hideMark/>
          </w:tcPr>
          <w:p w14:paraId="05C74EF0"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M4000 - Postural kyphosis, site unspecified</w:t>
            </w:r>
          </w:p>
        </w:tc>
        <w:tc>
          <w:tcPr>
            <w:tcW w:w="1120" w:type="pct"/>
            <w:noWrap/>
            <w:hideMark/>
          </w:tcPr>
          <w:p w14:paraId="4A2BF3B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8,627 (3.1%)</w:t>
            </w:r>
          </w:p>
        </w:tc>
      </w:tr>
      <w:tr w:rsidR="007B6DF1" w:rsidRPr="00E97AF3" w14:paraId="29D7C0D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D91218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209 - Other acquired deformities</w:t>
            </w:r>
          </w:p>
        </w:tc>
        <w:tc>
          <w:tcPr>
            <w:tcW w:w="2239" w:type="pct"/>
            <w:noWrap/>
            <w:hideMark/>
          </w:tcPr>
          <w:p w14:paraId="23C0F717"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M40209 - Unspecified kyphosis, site unspecified</w:t>
            </w:r>
          </w:p>
        </w:tc>
        <w:tc>
          <w:tcPr>
            <w:tcW w:w="1120" w:type="pct"/>
            <w:noWrap/>
            <w:hideMark/>
          </w:tcPr>
          <w:p w14:paraId="3CD3F12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8,250 (3%)</w:t>
            </w:r>
          </w:p>
        </w:tc>
      </w:tr>
      <w:tr w:rsidR="007B6DF1" w:rsidRPr="00E97AF3" w14:paraId="537A7FC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50E814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209 - Other acquired deformities</w:t>
            </w:r>
          </w:p>
        </w:tc>
        <w:tc>
          <w:tcPr>
            <w:tcW w:w="2239" w:type="pct"/>
            <w:noWrap/>
            <w:hideMark/>
          </w:tcPr>
          <w:p w14:paraId="288253F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M40204 - Unspecified kyphosis, thoracic region</w:t>
            </w:r>
          </w:p>
        </w:tc>
        <w:tc>
          <w:tcPr>
            <w:tcW w:w="1120" w:type="pct"/>
            <w:noWrap/>
            <w:hideMark/>
          </w:tcPr>
          <w:p w14:paraId="2ADBF609"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5,345 (1.9%)</w:t>
            </w:r>
          </w:p>
        </w:tc>
      </w:tr>
      <w:tr w:rsidR="007B6DF1" w:rsidRPr="00E97AF3" w14:paraId="6E24B45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D85AEB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2C8C9B1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M1250 - Traumatic arthropathy, unspecified site</w:t>
            </w:r>
          </w:p>
        </w:tc>
        <w:tc>
          <w:tcPr>
            <w:tcW w:w="1120" w:type="pct"/>
            <w:noWrap/>
            <w:hideMark/>
          </w:tcPr>
          <w:p w14:paraId="2927924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183,063 (40.6%)</w:t>
            </w:r>
          </w:p>
        </w:tc>
      </w:tr>
      <w:tr w:rsidR="007B6DF1" w:rsidRPr="00E97AF3" w14:paraId="21BEB5A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1267C8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0C849061"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M23309 - Other meniscus derangements, unspecified meniscus, unspecified knee</w:t>
            </w:r>
          </w:p>
        </w:tc>
        <w:tc>
          <w:tcPr>
            <w:tcW w:w="1120" w:type="pct"/>
            <w:noWrap/>
            <w:hideMark/>
          </w:tcPr>
          <w:p w14:paraId="54A38F5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146,812 (32.5%)</w:t>
            </w:r>
          </w:p>
        </w:tc>
      </w:tr>
      <w:tr w:rsidR="007B6DF1" w:rsidRPr="00E97AF3" w14:paraId="5578C42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C4A9DB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4591EA45"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M2240 - Chondromalacia patellae, unspecified knee</w:t>
            </w:r>
          </w:p>
        </w:tc>
        <w:tc>
          <w:tcPr>
            <w:tcW w:w="1120" w:type="pct"/>
            <w:noWrap/>
            <w:hideMark/>
          </w:tcPr>
          <w:p w14:paraId="09D5430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61,835 (13.7%)</w:t>
            </w:r>
          </w:p>
        </w:tc>
      </w:tr>
      <w:tr w:rsidR="007B6DF1" w:rsidRPr="00E97AF3" w14:paraId="58B0A6A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509BB87"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316BD5B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M2350 - Chronic instability of knee, unspecified knee</w:t>
            </w:r>
          </w:p>
        </w:tc>
        <w:tc>
          <w:tcPr>
            <w:tcW w:w="1120" w:type="pct"/>
            <w:noWrap/>
            <w:hideMark/>
          </w:tcPr>
          <w:p w14:paraId="10F31671"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25,293 (5.6%)</w:t>
            </w:r>
          </w:p>
        </w:tc>
      </w:tr>
      <w:tr w:rsidR="007B6DF1" w:rsidRPr="00E97AF3" w14:paraId="3502AA2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BF6E21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194D2CE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M2390 - Unspecified internal derangement of unspecified knee</w:t>
            </w:r>
          </w:p>
        </w:tc>
        <w:tc>
          <w:tcPr>
            <w:tcW w:w="1120" w:type="pct"/>
            <w:noWrap/>
            <w:hideMark/>
          </w:tcPr>
          <w:p w14:paraId="40C086D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11,129 (2.5%)</w:t>
            </w:r>
          </w:p>
        </w:tc>
      </w:tr>
      <w:tr w:rsidR="007B6DF1" w:rsidRPr="00E97AF3" w14:paraId="32423CC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247245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3E48F21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M222X9 - Patellofemoral disorders, unspecified knee</w:t>
            </w:r>
          </w:p>
        </w:tc>
        <w:tc>
          <w:tcPr>
            <w:tcW w:w="1120" w:type="pct"/>
            <w:noWrap/>
            <w:hideMark/>
          </w:tcPr>
          <w:p w14:paraId="0F7C652E"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5,821 (1.3%)</w:t>
            </w:r>
          </w:p>
        </w:tc>
      </w:tr>
      <w:tr w:rsidR="007B6DF1" w:rsidRPr="00E97AF3" w14:paraId="4598B7A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32215D9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225 - Joint disorders and dislocations; trauma-related</w:t>
            </w:r>
          </w:p>
        </w:tc>
        <w:tc>
          <w:tcPr>
            <w:tcW w:w="2239" w:type="pct"/>
            <w:noWrap/>
            <w:hideMark/>
          </w:tcPr>
          <w:p w14:paraId="450FC9B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M238X9 - Other internal derangements of unspecified knee</w:t>
            </w:r>
          </w:p>
        </w:tc>
        <w:tc>
          <w:tcPr>
            <w:tcW w:w="1120" w:type="pct"/>
            <w:noWrap/>
            <w:hideMark/>
          </w:tcPr>
          <w:p w14:paraId="09BA27E2"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4,852 (1.1%)</w:t>
            </w:r>
          </w:p>
        </w:tc>
      </w:tr>
      <w:tr w:rsidR="007B6DF1" w:rsidRPr="00E97AF3" w14:paraId="6CEE492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EC993F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253 - Allergic reactions</w:t>
            </w:r>
          </w:p>
        </w:tc>
        <w:tc>
          <w:tcPr>
            <w:tcW w:w="2239" w:type="pct"/>
            <w:noWrap/>
            <w:hideMark/>
          </w:tcPr>
          <w:p w14:paraId="663E944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L209 - Atopic dermatitis, unspecified</w:t>
            </w:r>
          </w:p>
        </w:tc>
        <w:tc>
          <w:tcPr>
            <w:tcW w:w="1120" w:type="pct"/>
            <w:noWrap/>
            <w:hideMark/>
          </w:tcPr>
          <w:p w14:paraId="09CBDD1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482,466 (96.9%)</w:t>
            </w:r>
          </w:p>
        </w:tc>
      </w:tr>
      <w:tr w:rsidR="007B6DF1" w:rsidRPr="00E97AF3" w14:paraId="45B6FED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C79FA3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253 - Allergic reactions</w:t>
            </w:r>
          </w:p>
        </w:tc>
        <w:tc>
          <w:tcPr>
            <w:tcW w:w="2239" w:type="pct"/>
            <w:noWrap/>
            <w:hideMark/>
          </w:tcPr>
          <w:p w14:paraId="3E80288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L2089 - Other atopic dermatitis</w:t>
            </w:r>
          </w:p>
        </w:tc>
        <w:tc>
          <w:tcPr>
            <w:tcW w:w="1120" w:type="pct"/>
            <w:noWrap/>
            <w:hideMark/>
          </w:tcPr>
          <w:p w14:paraId="559EBC9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7,377 (1.5%)</w:t>
            </w:r>
          </w:p>
        </w:tc>
      </w:tr>
      <w:tr w:rsidR="007B6DF1" w:rsidRPr="00E97AF3" w14:paraId="695DEF4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85B919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650 - Adjustment disorders</w:t>
            </w:r>
          </w:p>
        </w:tc>
        <w:tc>
          <w:tcPr>
            <w:tcW w:w="2239" w:type="pct"/>
            <w:noWrap/>
            <w:hideMark/>
          </w:tcPr>
          <w:p w14:paraId="0BEC2D2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F4320 - Adjustment disorder, unspecified</w:t>
            </w:r>
          </w:p>
        </w:tc>
        <w:tc>
          <w:tcPr>
            <w:tcW w:w="1120" w:type="pct"/>
            <w:noWrap/>
            <w:hideMark/>
          </w:tcPr>
          <w:p w14:paraId="7E8C59CC"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254,969 (86.8%)</w:t>
            </w:r>
          </w:p>
        </w:tc>
      </w:tr>
      <w:tr w:rsidR="007B6DF1" w:rsidRPr="00E97AF3" w14:paraId="41F4D45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3B06C1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650 - Adjustment disorders</w:t>
            </w:r>
          </w:p>
        </w:tc>
        <w:tc>
          <w:tcPr>
            <w:tcW w:w="2239" w:type="pct"/>
            <w:noWrap/>
            <w:hideMark/>
          </w:tcPr>
          <w:p w14:paraId="322FF2F8"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F439 - Reaction to severe stress, unspecified</w:t>
            </w:r>
          </w:p>
        </w:tc>
        <w:tc>
          <w:tcPr>
            <w:tcW w:w="1120" w:type="pct"/>
            <w:noWrap/>
            <w:hideMark/>
          </w:tcPr>
          <w:p w14:paraId="7488DF8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16,453 (5.6%)</w:t>
            </w:r>
          </w:p>
        </w:tc>
      </w:tr>
      <w:tr w:rsidR="007B6DF1" w:rsidRPr="00E97AF3" w14:paraId="703431B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88265A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650 - Adjustment disorders</w:t>
            </w:r>
          </w:p>
        </w:tc>
        <w:tc>
          <w:tcPr>
            <w:tcW w:w="2239" w:type="pct"/>
            <w:noWrap/>
            <w:hideMark/>
          </w:tcPr>
          <w:p w14:paraId="6D83321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F4321 - Adjustment disorder with depressed mood</w:t>
            </w:r>
          </w:p>
        </w:tc>
        <w:tc>
          <w:tcPr>
            <w:tcW w:w="1120" w:type="pct"/>
            <w:noWrap/>
            <w:hideMark/>
          </w:tcPr>
          <w:p w14:paraId="5D2504C0"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11,407 (3.9%)</w:t>
            </w:r>
          </w:p>
        </w:tc>
      </w:tr>
      <w:tr w:rsidR="007B6DF1" w:rsidRPr="00E97AF3" w14:paraId="7DAC404F"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D63E58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650 - Adjustment disorders</w:t>
            </w:r>
          </w:p>
        </w:tc>
        <w:tc>
          <w:tcPr>
            <w:tcW w:w="2239" w:type="pct"/>
            <w:noWrap/>
            <w:hideMark/>
          </w:tcPr>
          <w:p w14:paraId="1C69B17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F4323 - Adjustment disorder with mixed anxiety and depressed mood</w:t>
            </w:r>
          </w:p>
        </w:tc>
        <w:tc>
          <w:tcPr>
            <w:tcW w:w="1120" w:type="pct"/>
            <w:noWrap/>
            <w:hideMark/>
          </w:tcPr>
          <w:p w14:paraId="1DCA871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6,187 (2.1%)</w:t>
            </w:r>
          </w:p>
        </w:tc>
      </w:tr>
      <w:tr w:rsidR="007B6DF1" w:rsidRPr="00E97AF3" w14:paraId="49B2591E"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42C0C30"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650 - Adjustment disorders</w:t>
            </w:r>
          </w:p>
        </w:tc>
        <w:tc>
          <w:tcPr>
            <w:tcW w:w="2239" w:type="pct"/>
            <w:noWrap/>
            <w:hideMark/>
          </w:tcPr>
          <w:p w14:paraId="38DC6016"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F4322 - Adjustment disorder with anxiety</w:t>
            </w:r>
          </w:p>
        </w:tc>
        <w:tc>
          <w:tcPr>
            <w:tcW w:w="1120" w:type="pct"/>
            <w:noWrap/>
            <w:hideMark/>
          </w:tcPr>
          <w:p w14:paraId="795EECE0"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3,283 (1.1%)</w:t>
            </w:r>
          </w:p>
        </w:tc>
      </w:tr>
      <w:tr w:rsidR="007B6DF1" w:rsidRPr="00E97AF3" w14:paraId="64AA0FA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A11A49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71E44D1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F419 - Anxiety disorder, unspecified</w:t>
            </w:r>
          </w:p>
        </w:tc>
        <w:tc>
          <w:tcPr>
            <w:tcW w:w="1120" w:type="pct"/>
            <w:noWrap/>
            <w:hideMark/>
          </w:tcPr>
          <w:p w14:paraId="5E6F089B"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1,396,954 (68.9%)</w:t>
            </w:r>
          </w:p>
        </w:tc>
      </w:tr>
      <w:tr w:rsidR="007B6DF1" w:rsidRPr="00E97AF3" w14:paraId="16AC0F89"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B266DD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3C51204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F413 - Other mixed anxiety disorders</w:t>
            </w:r>
          </w:p>
        </w:tc>
        <w:tc>
          <w:tcPr>
            <w:tcW w:w="1120" w:type="pct"/>
            <w:noWrap/>
            <w:hideMark/>
          </w:tcPr>
          <w:p w14:paraId="0F504D24"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285,065 (14.1%)</w:t>
            </w:r>
          </w:p>
        </w:tc>
      </w:tr>
      <w:tr w:rsidR="007B6DF1" w:rsidRPr="00E97AF3" w14:paraId="73A80EA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1DCA9B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6969005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F411 - Generalized anxiety disorder</w:t>
            </w:r>
          </w:p>
        </w:tc>
        <w:tc>
          <w:tcPr>
            <w:tcW w:w="1120" w:type="pct"/>
            <w:noWrap/>
            <w:hideMark/>
          </w:tcPr>
          <w:p w14:paraId="7C3E0DE5"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141,292 (7%)</w:t>
            </w:r>
          </w:p>
        </w:tc>
      </w:tr>
      <w:tr w:rsidR="007B6DF1" w:rsidRPr="00E97AF3" w14:paraId="07E9CC3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1476EF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7C79DB04"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F410 - Panic disorder [episodic paroxysmal anxiety]</w:t>
            </w:r>
          </w:p>
        </w:tc>
        <w:tc>
          <w:tcPr>
            <w:tcW w:w="1120" w:type="pct"/>
            <w:noWrap/>
            <w:hideMark/>
          </w:tcPr>
          <w:p w14:paraId="69D41300"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72,812 (3.6%)</w:t>
            </w:r>
          </w:p>
        </w:tc>
      </w:tr>
      <w:tr w:rsidR="007B6DF1" w:rsidRPr="00E97AF3" w14:paraId="40A11F50"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F4CB61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2CF3901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F409 - Phobic anxiety disorder, unspecified</w:t>
            </w:r>
          </w:p>
        </w:tc>
        <w:tc>
          <w:tcPr>
            <w:tcW w:w="1120" w:type="pct"/>
            <w:noWrap/>
            <w:hideMark/>
          </w:tcPr>
          <w:p w14:paraId="16EA969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26,755 (1.3%)</w:t>
            </w:r>
          </w:p>
        </w:tc>
      </w:tr>
      <w:tr w:rsidR="007B6DF1" w:rsidRPr="00E97AF3" w14:paraId="2DA9F34C"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03B19D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651 - Anxiety disorders</w:t>
            </w:r>
          </w:p>
        </w:tc>
        <w:tc>
          <w:tcPr>
            <w:tcW w:w="2239" w:type="pct"/>
            <w:noWrap/>
            <w:hideMark/>
          </w:tcPr>
          <w:p w14:paraId="765AA4B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F429 - Obsessive-compulsive disorder, unspecified</w:t>
            </w:r>
          </w:p>
        </w:tc>
        <w:tc>
          <w:tcPr>
            <w:tcW w:w="1120" w:type="pct"/>
            <w:noWrap/>
            <w:hideMark/>
          </w:tcPr>
          <w:p w14:paraId="0E6E045C"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21,288 (1.1%)</w:t>
            </w:r>
          </w:p>
        </w:tc>
      </w:tr>
      <w:tr w:rsidR="007B6DF1" w:rsidRPr="00E97AF3" w14:paraId="3BDC5026"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BE7751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2983BBF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F329 - Major depressive disorder, single episode, unspecified</w:t>
            </w:r>
          </w:p>
        </w:tc>
        <w:tc>
          <w:tcPr>
            <w:tcW w:w="1120" w:type="pct"/>
            <w:noWrap/>
            <w:hideMark/>
          </w:tcPr>
          <w:p w14:paraId="3DCEA6A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547,076 (67.2%)</w:t>
            </w:r>
          </w:p>
        </w:tc>
      </w:tr>
      <w:tr w:rsidR="007B6DF1" w:rsidRPr="00E97AF3" w14:paraId="77265182"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DFBA8D6"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0A88C3D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F341 - Dysthymic disorder</w:t>
            </w:r>
          </w:p>
        </w:tc>
        <w:tc>
          <w:tcPr>
            <w:tcW w:w="1120" w:type="pct"/>
            <w:noWrap/>
            <w:hideMark/>
          </w:tcPr>
          <w:p w14:paraId="3BCE5F2F"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80,277 (9.9%)</w:t>
            </w:r>
          </w:p>
        </w:tc>
      </w:tr>
      <w:tr w:rsidR="007B6DF1" w:rsidRPr="00E97AF3" w14:paraId="6D29294C"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411D45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0B0C385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F322 - Major depressive disorder, single episode, severe without psychotic features</w:t>
            </w:r>
          </w:p>
        </w:tc>
        <w:tc>
          <w:tcPr>
            <w:tcW w:w="1120" w:type="pct"/>
            <w:noWrap/>
            <w:hideMark/>
          </w:tcPr>
          <w:p w14:paraId="6EDB4669"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42,479 (5.2%)</w:t>
            </w:r>
          </w:p>
        </w:tc>
      </w:tr>
      <w:tr w:rsidR="007B6DF1" w:rsidRPr="00E97AF3" w14:paraId="3360A349"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F222BE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3CFA973B"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F339 - Major depressive disorder, recurrent, unspecified</w:t>
            </w:r>
          </w:p>
        </w:tc>
        <w:tc>
          <w:tcPr>
            <w:tcW w:w="1120" w:type="pct"/>
            <w:noWrap/>
            <w:hideMark/>
          </w:tcPr>
          <w:p w14:paraId="74887E42"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32,495 (4%)</w:t>
            </w:r>
          </w:p>
        </w:tc>
      </w:tr>
      <w:tr w:rsidR="007B6DF1" w:rsidRPr="00E97AF3" w14:paraId="44F6AA8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D65045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4764F2E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F320 - Major depressive disorder, single episode, mild</w:t>
            </w:r>
          </w:p>
        </w:tc>
        <w:tc>
          <w:tcPr>
            <w:tcW w:w="1120" w:type="pct"/>
            <w:noWrap/>
            <w:hideMark/>
          </w:tcPr>
          <w:p w14:paraId="06C815B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21,461 (2.6%)</w:t>
            </w:r>
          </w:p>
        </w:tc>
      </w:tr>
      <w:tr w:rsidR="007B6DF1" w:rsidRPr="00E97AF3" w14:paraId="1317B2E1"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5F8159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59603B6F"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F319 - Bipolar disorder, unspecified</w:t>
            </w:r>
          </w:p>
        </w:tc>
        <w:tc>
          <w:tcPr>
            <w:tcW w:w="1120" w:type="pct"/>
            <w:noWrap/>
            <w:hideMark/>
          </w:tcPr>
          <w:p w14:paraId="5BD4F068"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20,673 (2.5%)</w:t>
            </w:r>
          </w:p>
        </w:tc>
      </w:tr>
      <w:tr w:rsidR="007B6DF1" w:rsidRPr="00E97AF3" w14:paraId="0AAECE5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0F36273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2B8A919E"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F39 - Unspecified mood [affective] disorder</w:t>
            </w:r>
          </w:p>
        </w:tc>
        <w:tc>
          <w:tcPr>
            <w:tcW w:w="1120" w:type="pct"/>
            <w:noWrap/>
            <w:hideMark/>
          </w:tcPr>
          <w:p w14:paraId="7E0115D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14,239 (1.7%)</w:t>
            </w:r>
          </w:p>
        </w:tc>
      </w:tr>
      <w:tr w:rsidR="007B6DF1" w:rsidRPr="00E97AF3" w14:paraId="1323C14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F2EAA28"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6C42B677"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F321 - Major depressive disorder, single episode, moderate</w:t>
            </w:r>
          </w:p>
        </w:tc>
        <w:tc>
          <w:tcPr>
            <w:tcW w:w="1120" w:type="pct"/>
            <w:noWrap/>
            <w:hideMark/>
          </w:tcPr>
          <w:p w14:paraId="565EEFD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11,007 (1.4%)</w:t>
            </w:r>
          </w:p>
        </w:tc>
      </w:tr>
      <w:tr w:rsidR="007B6DF1" w:rsidRPr="00E97AF3" w14:paraId="25EF22A1"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DBAA72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5CAB14ED"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F332 - Major depressive disorder, recurrent severe without psychotic features</w:t>
            </w:r>
          </w:p>
        </w:tc>
        <w:tc>
          <w:tcPr>
            <w:tcW w:w="1120" w:type="pct"/>
            <w:noWrap/>
            <w:hideMark/>
          </w:tcPr>
          <w:p w14:paraId="2A4EA3D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9,855 (1.2%)</w:t>
            </w:r>
          </w:p>
        </w:tc>
      </w:tr>
      <w:tr w:rsidR="007B6DF1" w:rsidRPr="00E97AF3" w14:paraId="5A30A8DA"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210399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657 - Mood disorders</w:t>
            </w:r>
          </w:p>
        </w:tc>
        <w:tc>
          <w:tcPr>
            <w:tcW w:w="2239" w:type="pct"/>
            <w:noWrap/>
            <w:hideMark/>
          </w:tcPr>
          <w:p w14:paraId="237DBA5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F349 - Persistent mood [affective] disorder, unspecified</w:t>
            </w:r>
          </w:p>
        </w:tc>
        <w:tc>
          <w:tcPr>
            <w:tcW w:w="1120" w:type="pct"/>
            <w:noWrap/>
            <w:hideMark/>
          </w:tcPr>
          <w:p w14:paraId="29631BD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8,305 (1%)</w:t>
            </w:r>
          </w:p>
        </w:tc>
      </w:tr>
      <w:tr w:rsidR="007B6DF1" w:rsidRPr="00E97AF3" w14:paraId="6070DEBF"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7CA9C8C"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52E4692C"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F1010 - Alcohol abuse, uncomplicated</w:t>
            </w:r>
          </w:p>
        </w:tc>
        <w:tc>
          <w:tcPr>
            <w:tcW w:w="1120" w:type="pct"/>
            <w:noWrap/>
            <w:hideMark/>
          </w:tcPr>
          <w:p w14:paraId="1FA38D4F"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77,639 (36.8%)</w:t>
            </w:r>
          </w:p>
        </w:tc>
      </w:tr>
      <w:tr w:rsidR="007B6DF1" w:rsidRPr="00E97AF3" w14:paraId="76405939"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51E376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53413BF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F1020 - Alcohol dependence, uncomplicated</w:t>
            </w:r>
          </w:p>
        </w:tc>
        <w:tc>
          <w:tcPr>
            <w:tcW w:w="1120" w:type="pct"/>
            <w:noWrap/>
            <w:hideMark/>
          </w:tcPr>
          <w:p w14:paraId="08A67E1A"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65,966 (31.2%)</w:t>
            </w:r>
          </w:p>
        </w:tc>
      </w:tr>
      <w:tr w:rsidR="007B6DF1" w:rsidRPr="00E97AF3" w14:paraId="695FA51B"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DABDF3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659FE0A1"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F1019 - Alcohol abuse with unspecified alcohol-induced disorder</w:t>
            </w:r>
          </w:p>
        </w:tc>
        <w:tc>
          <w:tcPr>
            <w:tcW w:w="1120" w:type="pct"/>
            <w:noWrap/>
            <w:hideMark/>
          </w:tcPr>
          <w:p w14:paraId="4179668A"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34,261 (16.2%)</w:t>
            </w:r>
          </w:p>
        </w:tc>
      </w:tr>
      <w:tr w:rsidR="007B6DF1" w:rsidRPr="00E97AF3" w14:paraId="6B3EDE8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54DE902"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68F0B04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K7010 - Alcoholic hepatitis without ascites</w:t>
            </w:r>
          </w:p>
        </w:tc>
        <w:tc>
          <w:tcPr>
            <w:tcW w:w="1120" w:type="pct"/>
            <w:noWrap/>
            <w:hideMark/>
          </w:tcPr>
          <w:p w14:paraId="74A7FA6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8,310 (3.9%)</w:t>
            </w:r>
          </w:p>
        </w:tc>
      </w:tr>
      <w:tr w:rsidR="007B6DF1" w:rsidRPr="00E97AF3" w14:paraId="4F233B47"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5EB73B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14C27CB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K709 - Alcoholic liver disease, unspecified</w:t>
            </w:r>
          </w:p>
        </w:tc>
        <w:tc>
          <w:tcPr>
            <w:tcW w:w="1120" w:type="pct"/>
            <w:noWrap/>
            <w:hideMark/>
          </w:tcPr>
          <w:p w14:paraId="04370E10"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6,548 (3.1%)</w:t>
            </w:r>
          </w:p>
        </w:tc>
      </w:tr>
      <w:tr w:rsidR="007B6DF1" w:rsidRPr="00E97AF3" w14:paraId="06DB4B28"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5A5E6D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18967E7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K7030 - Alcoholic cirrhosis of liver without ascites</w:t>
            </w:r>
          </w:p>
        </w:tc>
        <w:tc>
          <w:tcPr>
            <w:tcW w:w="1120" w:type="pct"/>
            <w:noWrap/>
            <w:hideMark/>
          </w:tcPr>
          <w:p w14:paraId="607F187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4,824 (2.3%)</w:t>
            </w:r>
          </w:p>
        </w:tc>
      </w:tr>
      <w:tr w:rsidR="007B6DF1" w:rsidRPr="00E97AF3" w14:paraId="03DB919F"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5DEE58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7318DF2F"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G621 - Alcoholic polyneuropathy</w:t>
            </w:r>
          </w:p>
        </w:tc>
        <w:tc>
          <w:tcPr>
            <w:tcW w:w="1120" w:type="pct"/>
            <w:noWrap/>
            <w:hideMark/>
          </w:tcPr>
          <w:p w14:paraId="1C36F82D"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3,914 (1.9%)</w:t>
            </w:r>
          </w:p>
        </w:tc>
      </w:tr>
      <w:tr w:rsidR="007B6DF1" w:rsidRPr="00E97AF3" w14:paraId="383B3756"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96E27E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31FC8F2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F1021 - Alcohol dependence, in remission</w:t>
            </w:r>
          </w:p>
        </w:tc>
        <w:tc>
          <w:tcPr>
            <w:tcW w:w="1120" w:type="pct"/>
            <w:noWrap/>
            <w:hideMark/>
          </w:tcPr>
          <w:p w14:paraId="410D59CF"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3,371 (1.6%)</w:t>
            </w:r>
          </w:p>
        </w:tc>
      </w:tr>
      <w:tr w:rsidR="007B6DF1" w:rsidRPr="00E97AF3" w14:paraId="747ED518"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52C6AF9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660 - Alcohol-related disorders</w:t>
            </w:r>
          </w:p>
        </w:tc>
        <w:tc>
          <w:tcPr>
            <w:tcW w:w="2239" w:type="pct"/>
            <w:noWrap/>
            <w:hideMark/>
          </w:tcPr>
          <w:p w14:paraId="2B4BFDE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F10239 - Alcohol dependence with withdrawal, unspecified</w:t>
            </w:r>
          </w:p>
        </w:tc>
        <w:tc>
          <w:tcPr>
            <w:tcW w:w="1120" w:type="pct"/>
            <w:noWrap/>
            <w:hideMark/>
          </w:tcPr>
          <w:p w14:paraId="1D58D8B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2,127 (1%)</w:t>
            </w:r>
          </w:p>
        </w:tc>
      </w:tr>
      <w:tr w:rsidR="007B6DF1" w:rsidRPr="00E97AF3" w14:paraId="192D41C0"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40C1FA25"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661 - Substance-related disorders</w:t>
            </w:r>
          </w:p>
        </w:tc>
        <w:tc>
          <w:tcPr>
            <w:tcW w:w="2239" w:type="pct"/>
            <w:noWrap/>
            <w:hideMark/>
          </w:tcPr>
          <w:p w14:paraId="6CA6442A"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F17200 - Nicotine dependence, unspecified, uncomplicated</w:t>
            </w:r>
          </w:p>
        </w:tc>
        <w:tc>
          <w:tcPr>
            <w:tcW w:w="1120" w:type="pct"/>
            <w:noWrap/>
            <w:hideMark/>
          </w:tcPr>
          <w:p w14:paraId="4192009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851,228 (87.7%)</w:t>
            </w:r>
          </w:p>
        </w:tc>
      </w:tr>
      <w:tr w:rsidR="007B6DF1" w:rsidRPr="00E97AF3" w14:paraId="2C969774"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840329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661 - Substance-related disorders</w:t>
            </w:r>
          </w:p>
        </w:tc>
        <w:tc>
          <w:tcPr>
            <w:tcW w:w="2239" w:type="pct"/>
            <w:noWrap/>
            <w:hideMark/>
          </w:tcPr>
          <w:p w14:paraId="51E2EFBA"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F1420 - Cocaine dependence, uncomplicated</w:t>
            </w:r>
          </w:p>
        </w:tc>
        <w:tc>
          <w:tcPr>
            <w:tcW w:w="1120" w:type="pct"/>
            <w:noWrap/>
            <w:hideMark/>
          </w:tcPr>
          <w:p w14:paraId="0A13970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26,945 (2.8%)</w:t>
            </w:r>
          </w:p>
        </w:tc>
      </w:tr>
      <w:tr w:rsidR="007B6DF1" w:rsidRPr="00E97AF3" w14:paraId="4DA92AED"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83D0CC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661 - Substance-related disorders</w:t>
            </w:r>
          </w:p>
        </w:tc>
        <w:tc>
          <w:tcPr>
            <w:tcW w:w="2239" w:type="pct"/>
            <w:noWrap/>
            <w:hideMark/>
          </w:tcPr>
          <w:p w14:paraId="49207E72"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F1219 - Cannabis abuse with unspecified cannabis-induced disorder</w:t>
            </w:r>
          </w:p>
        </w:tc>
        <w:tc>
          <w:tcPr>
            <w:tcW w:w="1120" w:type="pct"/>
            <w:noWrap/>
            <w:hideMark/>
          </w:tcPr>
          <w:p w14:paraId="7E9FA5D0"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15,124 (1.6%)</w:t>
            </w:r>
          </w:p>
        </w:tc>
      </w:tr>
      <w:tr w:rsidR="007B6DF1" w:rsidRPr="00E97AF3" w14:paraId="513C6732"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DE0A46E"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661 - Substance-related disorders</w:t>
            </w:r>
          </w:p>
        </w:tc>
        <w:tc>
          <w:tcPr>
            <w:tcW w:w="2239" w:type="pct"/>
            <w:noWrap/>
            <w:hideMark/>
          </w:tcPr>
          <w:p w14:paraId="5E110419"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F1220 - Cannabis dependence, uncomplicated</w:t>
            </w:r>
          </w:p>
        </w:tc>
        <w:tc>
          <w:tcPr>
            <w:tcW w:w="1120" w:type="pct"/>
            <w:noWrap/>
            <w:hideMark/>
          </w:tcPr>
          <w:p w14:paraId="4DD721E7"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14,984 (1.5%)</w:t>
            </w:r>
          </w:p>
        </w:tc>
      </w:tr>
      <w:tr w:rsidR="007B6DF1" w:rsidRPr="00E97AF3" w14:paraId="3F31694B"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154FBF8F"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661 - Substance-related disorders</w:t>
            </w:r>
          </w:p>
        </w:tc>
        <w:tc>
          <w:tcPr>
            <w:tcW w:w="2239" w:type="pct"/>
            <w:noWrap/>
            <w:hideMark/>
          </w:tcPr>
          <w:p w14:paraId="2F7494F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F1920 - Other psychoactive substance dependence, uncomplicated</w:t>
            </w:r>
          </w:p>
        </w:tc>
        <w:tc>
          <w:tcPr>
            <w:tcW w:w="1120" w:type="pct"/>
            <w:noWrap/>
            <w:hideMark/>
          </w:tcPr>
          <w:p w14:paraId="26845EB1"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11,385 (1.2%)</w:t>
            </w:r>
          </w:p>
        </w:tc>
      </w:tr>
      <w:tr w:rsidR="007B6DF1" w:rsidRPr="00E97AF3" w14:paraId="6357691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5A1368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74B6333B"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F5109 - Other insomnia not due to a substance or known physiological condition</w:t>
            </w:r>
          </w:p>
        </w:tc>
        <w:tc>
          <w:tcPr>
            <w:tcW w:w="1120" w:type="pct"/>
            <w:noWrap/>
            <w:hideMark/>
          </w:tcPr>
          <w:p w14:paraId="0CD85C3E"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609,111 (65.2%)</w:t>
            </w:r>
          </w:p>
        </w:tc>
      </w:tr>
      <w:tr w:rsidR="007B6DF1" w:rsidRPr="00E97AF3" w14:paraId="56CDC045"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B67D53A"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lastRenderedPageBreak/>
              <w:t>670 - Miscellaneous mental health disorders</w:t>
            </w:r>
          </w:p>
        </w:tc>
        <w:tc>
          <w:tcPr>
            <w:tcW w:w="2239" w:type="pct"/>
            <w:noWrap/>
            <w:hideMark/>
          </w:tcPr>
          <w:p w14:paraId="496BD030"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F5221 - Male erectile disorder</w:t>
            </w:r>
          </w:p>
        </w:tc>
        <w:tc>
          <w:tcPr>
            <w:tcW w:w="1120" w:type="pct"/>
            <w:noWrap/>
            <w:hideMark/>
          </w:tcPr>
          <w:p w14:paraId="481E8B2B"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121,821 (13%)</w:t>
            </w:r>
          </w:p>
        </w:tc>
      </w:tr>
      <w:tr w:rsidR="007B6DF1" w:rsidRPr="00E97AF3" w14:paraId="5F19A8D9"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E55F421"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32836065"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F458 - Other somatoform disorders</w:t>
            </w:r>
          </w:p>
        </w:tc>
        <w:tc>
          <w:tcPr>
            <w:tcW w:w="1120" w:type="pct"/>
            <w:noWrap/>
            <w:hideMark/>
          </w:tcPr>
          <w:p w14:paraId="7515C453"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38,588 (4.1%)</w:t>
            </w:r>
          </w:p>
        </w:tc>
      </w:tr>
      <w:tr w:rsidR="007B6DF1" w:rsidRPr="00E97AF3" w14:paraId="6748A413"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766F810B"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2EB678A3"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F509 - Eating disorder, unspecified</w:t>
            </w:r>
          </w:p>
        </w:tc>
        <w:tc>
          <w:tcPr>
            <w:tcW w:w="1120" w:type="pct"/>
            <w:noWrap/>
            <w:hideMark/>
          </w:tcPr>
          <w:p w14:paraId="293EBF96"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24,398 (2.6%)</w:t>
            </w:r>
          </w:p>
        </w:tc>
      </w:tr>
      <w:tr w:rsidR="007B6DF1" w:rsidRPr="00E97AF3" w14:paraId="1A1CF843"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8CB4AC9"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5A00F1B6"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F529 - Unspecified sexual dysfunction not due to a substance or known physiological condition</w:t>
            </w:r>
          </w:p>
        </w:tc>
        <w:tc>
          <w:tcPr>
            <w:tcW w:w="1120" w:type="pct"/>
            <w:noWrap/>
            <w:hideMark/>
          </w:tcPr>
          <w:p w14:paraId="7145B426"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20,822 (2.2%)</w:t>
            </w:r>
          </w:p>
        </w:tc>
      </w:tr>
      <w:tr w:rsidR="007B6DF1" w:rsidRPr="00E97AF3" w14:paraId="5658B73E"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646CEFE4"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423BD798"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F524 - Premature ejaculation</w:t>
            </w:r>
          </w:p>
        </w:tc>
        <w:tc>
          <w:tcPr>
            <w:tcW w:w="1120" w:type="pct"/>
            <w:noWrap/>
            <w:hideMark/>
          </w:tcPr>
          <w:p w14:paraId="0CCAACED" w14:textId="77777777"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13,269 (1.4%)</w:t>
            </w:r>
          </w:p>
        </w:tc>
      </w:tr>
      <w:tr w:rsidR="007B6DF1" w:rsidRPr="00E97AF3" w14:paraId="17A847CB" w14:textId="77777777" w:rsidTr="003119CA">
        <w:trPr>
          <w:trHeight w:val="300"/>
        </w:trPr>
        <w:tc>
          <w:tcPr>
            <w:cnfStyle w:val="001000000000" w:firstRow="0" w:lastRow="0" w:firstColumn="1" w:lastColumn="0" w:oddVBand="0" w:evenVBand="0" w:oddHBand="0" w:evenHBand="0" w:firstRowFirstColumn="0" w:firstRowLastColumn="0" w:lastRowFirstColumn="0" w:lastRowLastColumn="0"/>
            <w:tcW w:w="1641" w:type="pct"/>
            <w:noWrap/>
            <w:hideMark/>
          </w:tcPr>
          <w:p w14:paraId="247AB9BD"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noWrap/>
            <w:hideMark/>
          </w:tcPr>
          <w:p w14:paraId="133456F0" w14:textId="77777777" w:rsidR="007B6DF1" w:rsidRPr="00E97AF3" w:rsidRDefault="007B6DF1" w:rsidP="004A526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F502 - Bulimia nervosa</w:t>
            </w:r>
          </w:p>
        </w:tc>
        <w:tc>
          <w:tcPr>
            <w:tcW w:w="1120" w:type="pct"/>
            <w:noWrap/>
            <w:hideMark/>
          </w:tcPr>
          <w:p w14:paraId="59F7EF68" w14:textId="77777777" w:rsidR="007B6DF1" w:rsidRPr="00E97AF3" w:rsidRDefault="007B6DF1" w:rsidP="004A526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11,561 (1.2%)</w:t>
            </w:r>
          </w:p>
        </w:tc>
      </w:tr>
      <w:tr w:rsidR="003119CA" w:rsidRPr="00E97AF3" w14:paraId="783AB7F7" w14:textId="77777777" w:rsidTr="003119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pct"/>
            <w:tcBorders>
              <w:bottom w:val="single" w:sz="4" w:space="0" w:color="auto"/>
            </w:tcBorders>
            <w:noWrap/>
            <w:hideMark/>
          </w:tcPr>
          <w:p w14:paraId="2DD6F683" w14:textId="77777777" w:rsidR="007B6DF1" w:rsidRPr="00E97AF3" w:rsidRDefault="007B6DF1" w:rsidP="004A5269">
            <w:pPr>
              <w:spacing w:line="240" w:lineRule="auto"/>
              <w:jc w:val="left"/>
              <w:rPr>
                <w:rFonts w:ascii="Calibri" w:hAnsi="Calibri"/>
                <w:b w:val="0"/>
                <w:color w:val="000000"/>
                <w:lang w:val="en-GB"/>
              </w:rPr>
            </w:pPr>
            <w:r w:rsidRPr="00E97AF3">
              <w:rPr>
                <w:rFonts w:ascii="Calibri" w:hAnsi="Calibri"/>
                <w:b w:val="0"/>
                <w:color w:val="000000"/>
                <w:lang w:val="en-GB"/>
              </w:rPr>
              <w:t>670 - Miscellaneous mental health disorders</w:t>
            </w:r>
          </w:p>
        </w:tc>
        <w:tc>
          <w:tcPr>
            <w:tcW w:w="2239" w:type="pct"/>
            <w:tcBorders>
              <w:bottom w:val="single" w:sz="4" w:space="0" w:color="auto"/>
            </w:tcBorders>
            <w:noWrap/>
            <w:hideMark/>
          </w:tcPr>
          <w:p w14:paraId="2ABBC92C" w14:textId="77777777" w:rsidR="007B6DF1" w:rsidRPr="00E97AF3" w:rsidRDefault="007B6DF1" w:rsidP="004A526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F4520 - Hypochondriacal disorder, unspecified</w:t>
            </w:r>
          </w:p>
        </w:tc>
        <w:tc>
          <w:tcPr>
            <w:tcW w:w="1120" w:type="pct"/>
            <w:tcBorders>
              <w:bottom w:val="single" w:sz="4" w:space="0" w:color="auto"/>
            </w:tcBorders>
            <w:noWrap/>
            <w:hideMark/>
          </w:tcPr>
          <w:p w14:paraId="01215EB3" w14:textId="38DBD9A9" w:rsidR="007B6DF1" w:rsidRPr="00E97AF3" w:rsidRDefault="007B6DF1" w:rsidP="004A526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rPr>
            </w:pPr>
            <w:r w:rsidRPr="00E97AF3">
              <w:rPr>
                <w:rFonts w:ascii="Calibri" w:eastAsia="Times New Roman" w:hAnsi="Calibri" w:cs="Calibri"/>
                <w:color w:val="000000"/>
                <w:lang w:val="en-GB"/>
              </w:rPr>
              <w:t xml:space="preserve"> 10,917 (1.2%)</w:t>
            </w:r>
          </w:p>
        </w:tc>
      </w:tr>
    </w:tbl>
    <w:p w14:paraId="2750B17A" w14:textId="77777777" w:rsidR="003119CA" w:rsidRPr="00E97AF3" w:rsidRDefault="003119CA" w:rsidP="003119CA">
      <w:pPr>
        <w:spacing w:line="240" w:lineRule="auto"/>
        <w:rPr>
          <w:b/>
          <w:lang w:val="en-GB"/>
        </w:rPr>
      </w:pPr>
    </w:p>
    <w:p w14:paraId="605DE766" w14:textId="332180A3" w:rsidR="00065389" w:rsidRPr="00E97AF3" w:rsidRDefault="00D33D51" w:rsidP="003119CA">
      <w:pPr>
        <w:spacing w:line="240" w:lineRule="auto"/>
        <w:rPr>
          <w:lang w:val="en-GB"/>
        </w:rPr>
      </w:pPr>
      <w:r w:rsidRPr="00E97AF3">
        <w:rPr>
          <w:b/>
          <w:lang w:val="en-GB"/>
        </w:rPr>
        <w:t>CCS:</w:t>
      </w:r>
      <w:r w:rsidRPr="00E97AF3">
        <w:rPr>
          <w:lang w:val="en-GB"/>
        </w:rPr>
        <w:t xml:space="preserve"> Clinical Classification Software for chronic diseases. </w:t>
      </w:r>
      <w:r w:rsidRPr="00E97AF3">
        <w:rPr>
          <w:b/>
          <w:lang w:val="en-GB"/>
        </w:rPr>
        <w:t>ICD-10-CM</w:t>
      </w:r>
      <w:r w:rsidRPr="00E97AF3">
        <w:rPr>
          <w:lang w:val="en-GB"/>
        </w:rPr>
        <w:t>: International Classification of Diseases, version 10, Clinical Modification.</w:t>
      </w:r>
    </w:p>
    <w:p w14:paraId="30DE6DB4" w14:textId="77777777" w:rsidR="00065389" w:rsidRPr="00E97AF3" w:rsidRDefault="00065389">
      <w:pPr>
        <w:spacing w:line="259" w:lineRule="auto"/>
        <w:jc w:val="left"/>
        <w:rPr>
          <w:lang w:val="en-GB"/>
        </w:rPr>
      </w:pPr>
      <w:r w:rsidRPr="00E97AF3">
        <w:rPr>
          <w:lang w:val="en-GB"/>
        </w:rPr>
        <w:br w:type="page"/>
      </w:r>
    </w:p>
    <w:p w14:paraId="6BCE3487" w14:textId="38A54416" w:rsidR="003F7755" w:rsidRPr="00E97AF3" w:rsidRDefault="003F7755" w:rsidP="003F7755">
      <w:pPr>
        <w:pStyle w:val="Ttol2"/>
        <w:rPr>
          <w:lang w:val="en-GB"/>
        </w:rPr>
      </w:pPr>
      <w:bookmarkStart w:id="7" w:name="_Toc210668920"/>
      <w:r w:rsidRPr="00E97AF3">
        <w:rPr>
          <w:lang w:val="en-GB"/>
        </w:rPr>
        <w:lastRenderedPageBreak/>
        <w:t>Table S2. Predictive performance of the models</w:t>
      </w:r>
      <w:bookmarkEnd w:id="7"/>
    </w:p>
    <w:p w14:paraId="60C20851" w14:textId="77777777" w:rsidR="003F7755" w:rsidRPr="00E97AF3" w:rsidRDefault="003F7755" w:rsidP="003F7755">
      <w:pPr>
        <w:rPr>
          <w:lang w:val="en-GB"/>
        </w:rPr>
      </w:pPr>
      <w:r w:rsidRPr="00E97AF3">
        <w:rPr>
          <w:rStyle w:val="Textennegreta"/>
          <w:b w:val="0"/>
          <w:lang w:val="en-GB"/>
        </w:rPr>
        <w:t>Base models</w:t>
      </w:r>
      <w:r w:rsidRPr="00E97AF3">
        <w:rPr>
          <w:lang w:val="en-GB"/>
        </w:rPr>
        <w:t xml:space="preserve">, including only age and sex; </w:t>
      </w:r>
      <w:r w:rsidRPr="00E97AF3">
        <w:rPr>
          <w:rStyle w:val="Textennegreta"/>
          <w:b w:val="0"/>
          <w:lang w:val="en-GB"/>
        </w:rPr>
        <w:t>Complexity models</w:t>
      </w:r>
      <w:r w:rsidRPr="00E97AF3">
        <w:rPr>
          <w:b/>
          <w:lang w:val="en-GB"/>
        </w:rPr>
        <w:t>,</w:t>
      </w:r>
      <w:r w:rsidRPr="00E97AF3">
        <w:rPr>
          <w:lang w:val="en-GB"/>
        </w:rPr>
        <w:t xml:space="preserve"> additionally incorporating AMG-based multimorbidity indicators and timing of diagnoses; and </w:t>
      </w:r>
      <w:r w:rsidRPr="00E97AF3">
        <w:rPr>
          <w:rStyle w:val="Textennegreta"/>
          <w:b w:val="0"/>
          <w:lang w:val="en-GB"/>
        </w:rPr>
        <w:t>Full-disease models</w:t>
      </w:r>
      <w:r w:rsidRPr="00E97AF3">
        <w:rPr>
          <w:lang w:val="en-GB"/>
        </w:rPr>
        <w:t>, which further include binary indicators for the presence of each chronic condition. Each specification was tested using logistic regression, random forest, neural networks, and extreme gradient boosting.</w:t>
      </w:r>
    </w:p>
    <w:tbl>
      <w:tblPr>
        <w:tblW w:w="9520" w:type="dxa"/>
        <w:tblLook w:val="04A0" w:firstRow="1" w:lastRow="0" w:firstColumn="1" w:lastColumn="0" w:noHBand="0" w:noVBand="1"/>
      </w:tblPr>
      <w:tblGrid>
        <w:gridCol w:w="1300"/>
        <w:gridCol w:w="2444"/>
        <w:gridCol w:w="1178"/>
        <w:gridCol w:w="1159"/>
        <w:gridCol w:w="1160"/>
        <w:gridCol w:w="1140"/>
        <w:gridCol w:w="1139"/>
      </w:tblGrid>
      <w:tr w:rsidR="003F7755" w:rsidRPr="00E97AF3" w14:paraId="3C6991E9" w14:textId="77777777" w:rsidTr="00D44EC9">
        <w:trPr>
          <w:trHeight w:val="300"/>
        </w:trPr>
        <w:tc>
          <w:tcPr>
            <w:tcW w:w="1300" w:type="dxa"/>
            <w:tcBorders>
              <w:top w:val="single" w:sz="8" w:space="0" w:color="999999"/>
              <w:left w:val="single" w:sz="8" w:space="0" w:color="999999"/>
              <w:bottom w:val="single" w:sz="12" w:space="0" w:color="666666"/>
              <w:right w:val="single" w:sz="8" w:space="0" w:color="999999"/>
            </w:tcBorders>
            <w:shd w:val="clear" w:color="auto" w:fill="auto"/>
            <w:noWrap/>
            <w:vAlign w:val="center"/>
            <w:hideMark/>
          </w:tcPr>
          <w:p w14:paraId="0EC5ED36"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Model type</w:t>
            </w:r>
          </w:p>
        </w:tc>
        <w:tc>
          <w:tcPr>
            <w:tcW w:w="2444" w:type="dxa"/>
            <w:tcBorders>
              <w:top w:val="single" w:sz="8" w:space="0" w:color="999999"/>
              <w:left w:val="nil"/>
              <w:bottom w:val="single" w:sz="12" w:space="0" w:color="666666"/>
              <w:right w:val="single" w:sz="8" w:space="0" w:color="999999"/>
            </w:tcBorders>
            <w:shd w:val="clear" w:color="auto" w:fill="auto"/>
            <w:noWrap/>
            <w:vAlign w:val="center"/>
            <w:hideMark/>
          </w:tcPr>
          <w:p w14:paraId="5A29E5AA"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Algorithm</w:t>
            </w:r>
          </w:p>
        </w:tc>
        <w:tc>
          <w:tcPr>
            <w:tcW w:w="1178" w:type="dxa"/>
            <w:tcBorders>
              <w:top w:val="single" w:sz="8" w:space="0" w:color="999999"/>
              <w:left w:val="nil"/>
              <w:bottom w:val="single" w:sz="12" w:space="0" w:color="666666"/>
              <w:right w:val="single" w:sz="8" w:space="0" w:color="999999"/>
            </w:tcBorders>
            <w:shd w:val="clear" w:color="auto" w:fill="auto"/>
            <w:vAlign w:val="center"/>
            <w:hideMark/>
          </w:tcPr>
          <w:p w14:paraId="145C9BAE"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AUC-ROC</w:t>
            </w:r>
          </w:p>
        </w:tc>
        <w:tc>
          <w:tcPr>
            <w:tcW w:w="1159" w:type="dxa"/>
            <w:tcBorders>
              <w:top w:val="single" w:sz="8" w:space="0" w:color="999999"/>
              <w:left w:val="nil"/>
              <w:bottom w:val="single" w:sz="12" w:space="0" w:color="666666"/>
              <w:right w:val="single" w:sz="8" w:space="0" w:color="999999"/>
            </w:tcBorders>
            <w:shd w:val="clear" w:color="auto" w:fill="auto"/>
            <w:vAlign w:val="center"/>
            <w:hideMark/>
          </w:tcPr>
          <w:p w14:paraId="3FCD0B6C"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AUC-PR</w:t>
            </w:r>
          </w:p>
        </w:tc>
        <w:tc>
          <w:tcPr>
            <w:tcW w:w="1160" w:type="dxa"/>
            <w:tcBorders>
              <w:top w:val="single" w:sz="8" w:space="0" w:color="999999"/>
              <w:left w:val="nil"/>
              <w:bottom w:val="single" w:sz="12" w:space="0" w:color="666666"/>
              <w:right w:val="single" w:sz="8" w:space="0" w:color="999999"/>
            </w:tcBorders>
            <w:shd w:val="clear" w:color="auto" w:fill="auto"/>
            <w:vAlign w:val="center"/>
            <w:hideMark/>
          </w:tcPr>
          <w:p w14:paraId="383C0454"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Sensitivity</w:t>
            </w:r>
          </w:p>
        </w:tc>
        <w:tc>
          <w:tcPr>
            <w:tcW w:w="1140" w:type="dxa"/>
            <w:tcBorders>
              <w:top w:val="single" w:sz="8" w:space="0" w:color="999999"/>
              <w:left w:val="nil"/>
              <w:bottom w:val="single" w:sz="12" w:space="0" w:color="666666"/>
              <w:right w:val="single" w:sz="8" w:space="0" w:color="999999"/>
            </w:tcBorders>
            <w:shd w:val="clear" w:color="auto" w:fill="auto"/>
            <w:vAlign w:val="center"/>
            <w:hideMark/>
          </w:tcPr>
          <w:p w14:paraId="717ED90A"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Specificity</w:t>
            </w:r>
          </w:p>
        </w:tc>
        <w:tc>
          <w:tcPr>
            <w:tcW w:w="1139" w:type="dxa"/>
            <w:tcBorders>
              <w:top w:val="single" w:sz="8" w:space="0" w:color="999999"/>
              <w:left w:val="nil"/>
              <w:bottom w:val="single" w:sz="12" w:space="0" w:color="666666"/>
              <w:right w:val="single" w:sz="8" w:space="0" w:color="999999"/>
            </w:tcBorders>
            <w:shd w:val="clear" w:color="auto" w:fill="auto"/>
            <w:vAlign w:val="center"/>
            <w:hideMark/>
          </w:tcPr>
          <w:p w14:paraId="2A593C43" w14:textId="77777777" w:rsidR="003F7755" w:rsidRPr="00E97AF3" w:rsidRDefault="003F7755" w:rsidP="00D44EC9">
            <w:pPr>
              <w:spacing w:after="0" w:line="240" w:lineRule="auto"/>
              <w:jc w:val="center"/>
              <w:rPr>
                <w:rFonts w:ascii="Calibri" w:eastAsia="Times New Roman" w:hAnsi="Calibri" w:cs="Calibri"/>
                <w:b/>
                <w:bCs/>
                <w:color w:val="000000"/>
                <w:lang w:val="en-GB"/>
              </w:rPr>
            </w:pPr>
            <w:r w:rsidRPr="00E97AF3">
              <w:rPr>
                <w:rFonts w:ascii="Calibri" w:eastAsia="Times New Roman" w:hAnsi="Calibri" w:cs="Calibri"/>
                <w:b/>
                <w:bCs/>
                <w:color w:val="000000"/>
                <w:lang w:val="en-GB"/>
              </w:rPr>
              <w:t>Accuracy</w:t>
            </w:r>
          </w:p>
        </w:tc>
      </w:tr>
      <w:tr w:rsidR="003F7755" w:rsidRPr="00E97AF3" w14:paraId="55198ED0" w14:textId="77777777" w:rsidTr="00D44EC9">
        <w:trPr>
          <w:trHeight w:val="31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390F5AA2"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Base</w:t>
            </w:r>
          </w:p>
        </w:tc>
        <w:tc>
          <w:tcPr>
            <w:tcW w:w="2444" w:type="dxa"/>
            <w:tcBorders>
              <w:top w:val="nil"/>
              <w:left w:val="nil"/>
              <w:bottom w:val="single" w:sz="8" w:space="0" w:color="999999"/>
              <w:right w:val="single" w:sz="8" w:space="0" w:color="999999"/>
            </w:tcBorders>
            <w:shd w:val="clear" w:color="auto" w:fill="auto"/>
            <w:noWrap/>
            <w:vAlign w:val="center"/>
            <w:hideMark/>
          </w:tcPr>
          <w:p w14:paraId="1D14BB2A"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Logistic Regression</w:t>
            </w:r>
          </w:p>
        </w:tc>
        <w:tc>
          <w:tcPr>
            <w:tcW w:w="1178" w:type="dxa"/>
            <w:tcBorders>
              <w:top w:val="nil"/>
              <w:left w:val="nil"/>
              <w:bottom w:val="single" w:sz="8" w:space="0" w:color="999999"/>
              <w:right w:val="single" w:sz="8" w:space="0" w:color="999999"/>
            </w:tcBorders>
            <w:shd w:val="clear" w:color="auto" w:fill="auto"/>
            <w:vAlign w:val="center"/>
            <w:hideMark/>
          </w:tcPr>
          <w:p w14:paraId="3F5D0A95" w14:textId="7717FD2E"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8480</w:t>
            </w:r>
          </w:p>
        </w:tc>
        <w:tc>
          <w:tcPr>
            <w:tcW w:w="1159" w:type="dxa"/>
            <w:tcBorders>
              <w:top w:val="nil"/>
              <w:left w:val="nil"/>
              <w:bottom w:val="single" w:sz="8" w:space="0" w:color="999999"/>
              <w:right w:val="single" w:sz="8" w:space="0" w:color="999999"/>
            </w:tcBorders>
            <w:shd w:val="clear" w:color="auto" w:fill="auto"/>
            <w:vAlign w:val="center"/>
            <w:hideMark/>
          </w:tcPr>
          <w:p w14:paraId="6F6BC52D" w14:textId="5F7040B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5964</w:t>
            </w:r>
          </w:p>
        </w:tc>
        <w:tc>
          <w:tcPr>
            <w:tcW w:w="1160" w:type="dxa"/>
            <w:tcBorders>
              <w:top w:val="nil"/>
              <w:left w:val="nil"/>
              <w:bottom w:val="single" w:sz="8" w:space="0" w:color="999999"/>
              <w:right w:val="single" w:sz="8" w:space="0" w:color="999999"/>
            </w:tcBorders>
            <w:shd w:val="clear" w:color="auto" w:fill="auto"/>
            <w:vAlign w:val="center"/>
            <w:hideMark/>
          </w:tcPr>
          <w:p w14:paraId="14784164" w14:textId="0E08B923"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5785</w:t>
            </w:r>
          </w:p>
        </w:tc>
        <w:tc>
          <w:tcPr>
            <w:tcW w:w="1140" w:type="dxa"/>
            <w:tcBorders>
              <w:top w:val="nil"/>
              <w:left w:val="nil"/>
              <w:bottom w:val="single" w:sz="8" w:space="0" w:color="999999"/>
              <w:right w:val="single" w:sz="8" w:space="0" w:color="999999"/>
            </w:tcBorders>
            <w:shd w:val="clear" w:color="auto" w:fill="auto"/>
            <w:vAlign w:val="center"/>
            <w:hideMark/>
          </w:tcPr>
          <w:p w14:paraId="64715E7C" w14:textId="17944D3C"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9415</w:t>
            </w:r>
          </w:p>
        </w:tc>
        <w:tc>
          <w:tcPr>
            <w:tcW w:w="1139" w:type="dxa"/>
            <w:tcBorders>
              <w:top w:val="nil"/>
              <w:left w:val="nil"/>
              <w:bottom w:val="single" w:sz="8" w:space="0" w:color="999999"/>
              <w:right w:val="single" w:sz="8" w:space="0" w:color="999999"/>
            </w:tcBorders>
            <w:shd w:val="clear" w:color="auto" w:fill="auto"/>
            <w:vAlign w:val="center"/>
            <w:hideMark/>
          </w:tcPr>
          <w:p w14:paraId="6C42ADFC" w14:textId="1D6592A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6512</w:t>
            </w:r>
          </w:p>
        </w:tc>
      </w:tr>
      <w:tr w:rsidR="003F7755" w:rsidRPr="00E97AF3" w14:paraId="65B90FB3"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50889B8D"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Base</w:t>
            </w:r>
          </w:p>
        </w:tc>
        <w:tc>
          <w:tcPr>
            <w:tcW w:w="2444" w:type="dxa"/>
            <w:tcBorders>
              <w:top w:val="nil"/>
              <w:left w:val="nil"/>
              <w:bottom w:val="single" w:sz="8" w:space="0" w:color="999999"/>
              <w:right w:val="single" w:sz="8" w:space="0" w:color="999999"/>
            </w:tcBorders>
            <w:shd w:val="clear" w:color="auto" w:fill="auto"/>
            <w:noWrap/>
            <w:vAlign w:val="center"/>
            <w:hideMark/>
          </w:tcPr>
          <w:p w14:paraId="23C44FD5"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Random Forest</w:t>
            </w:r>
          </w:p>
        </w:tc>
        <w:tc>
          <w:tcPr>
            <w:tcW w:w="1178" w:type="dxa"/>
            <w:tcBorders>
              <w:top w:val="nil"/>
              <w:left w:val="nil"/>
              <w:bottom w:val="single" w:sz="8" w:space="0" w:color="999999"/>
              <w:right w:val="single" w:sz="8" w:space="0" w:color="999999"/>
            </w:tcBorders>
            <w:shd w:val="clear" w:color="auto" w:fill="auto"/>
            <w:vAlign w:val="center"/>
            <w:hideMark/>
          </w:tcPr>
          <w:p w14:paraId="3D376F87" w14:textId="18447C8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8138</w:t>
            </w:r>
          </w:p>
        </w:tc>
        <w:tc>
          <w:tcPr>
            <w:tcW w:w="1159" w:type="dxa"/>
            <w:tcBorders>
              <w:top w:val="nil"/>
              <w:left w:val="nil"/>
              <w:bottom w:val="single" w:sz="8" w:space="0" w:color="999999"/>
              <w:right w:val="single" w:sz="8" w:space="0" w:color="999999"/>
            </w:tcBorders>
            <w:shd w:val="clear" w:color="auto" w:fill="auto"/>
            <w:vAlign w:val="center"/>
            <w:hideMark/>
          </w:tcPr>
          <w:p w14:paraId="12BE5D05" w14:textId="0A74DCF0"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4459</w:t>
            </w:r>
          </w:p>
        </w:tc>
        <w:tc>
          <w:tcPr>
            <w:tcW w:w="1160" w:type="dxa"/>
            <w:tcBorders>
              <w:top w:val="nil"/>
              <w:left w:val="nil"/>
              <w:bottom w:val="single" w:sz="8" w:space="0" w:color="999999"/>
              <w:right w:val="single" w:sz="8" w:space="0" w:color="999999"/>
            </w:tcBorders>
            <w:shd w:val="clear" w:color="auto" w:fill="auto"/>
            <w:vAlign w:val="center"/>
            <w:hideMark/>
          </w:tcPr>
          <w:p w14:paraId="2C034D87" w14:textId="52ECA41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7399</w:t>
            </w:r>
          </w:p>
        </w:tc>
        <w:tc>
          <w:tcPr>
            <w:tcW w:w="1140" w:type="dxa"/>
            <w:tcBorders>
              <w:top w:val="nil"/>
              <w:left w:val="nil"/>
              <w:bottom w:val="single" w:sz="8" w:space="0" w:color="999999"/>
              <w:right w:val="single" w:sz="8" w:space="0" w:color="999999"/>
            </w:tcBorders>
            <w:shd w:val="clear" w:color="auto" w:fill="auto"/>
            <w:vAlign w:val="center"/>
            <w:hideMark/>
          </w:tcPr>
          <w:p w14:paraId="15C1FD2D" w14:textId="6C167326"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8604</w:t>
            </w:r>
          </w:p>
        </w:tc>
        <w:tc>
          <w:tcPr>
            <w:tcW w:w="1139" w:type="dxa"/>
            <w:tcBorders>
              <w:top w:val="nil"/>
              <w:left w:val="nil"/>
              <w:bottom w:val="single" w:sz="8" w:space="0" w:color="999999"/>
              <w:right w:val="single" w:sz="8" w:space="0" w:color="999999"/>
            </w:tcBorders>
            <w:shd w:val="clear" w:color="auto" w:fill="auto"/>
            <w:vAlign w:val="center"/>
            <w:hideMark/>
          </w:tcPr>
          <w:p w14:paraId="4E1A659D" w14:textId="722A71BC"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7640</w:t>
            </w:r>
          </w:p>
        </w:tc>
      </w:tr>
      <w:tr w:rsidR="003F7755" w:rsidRPr="00E97AF3" w14:paraId="22DDFA2A"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079C33CD"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Base</w:t>
            </w:r>
          </w:p>
        </w:tc>
        <w:tc>
          <w:tcPr>
            <w:tcW w:w="2444" w:type="dxa"/>
            <w:tcBorders>
              <w:top w:val="nil"/>
              <w:left w:val="nil"/>
              <w:bottom w:val="single" w:sz="8" w:space="0" w:color="999999"/>
              <w:right w:val="single" w:sz="8" w:space="0" w:color="999999"/>
            </w:tcBorders>
            <w:shd w:val="clear" w:color="auto" w:fill="auto"/>
            <w:noWrap/>
            <w:vAlign w:val="center"/>
            <w:hideMark/>
          </w:tcPr>
          <w:p w14:paraId="0E7BF6EC"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Neural Networks</w:t>
            </w:r>
          </w:p>
        </w:tc>
        <w:tc>
          <w:tcPr>
            <w:tcW w:w="1178" w:type="dxa"/>
            <w:tcBorders>
              <w:top w:val="nil"/>
              <w:left w:val="nil"/>
              <w:bottom w:val="single" w:sz="8" w:space="0" w:color="999999"/>
              <w:right w:val="single" w:sz="8" w:space="0" w:color="999999"/>
            </w:tcBorders>
            <w:shd w:val="clear" w:color="auto" w:fill="auto"/>
            <w:vAlign w:val="center"/>
            <w:hideMark/>
          </w:tcPr>
          <w:p w14:paraId="44BC7F18" w14:textId="59604315"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8799</w:t>
            </w:r>
          </w:p>
        </w:tc>
        <w:tc>
          <w:tcPr>
            <w:tcW w:w="1159" w:type="dxa"/>
            <w:tcBorders>
              <w:top w:val="nil"/>
              <w:left w:val="nil"/>
              <w:bottom w:val="single" w:sz="8" w:space="0" w:color="999999"/>
              <w:right w:val="single" w:sz="8" w:space="0" w:color="999999"/>
            </w:tcBorders>
            <w:shd w:val="clear" w:color="auto" w:fill="auto"/>
            <w:vAlign w:val="center"/>
            <w:hideMark/>
          </w:tcPr>
          <w:p w14:paraId="0E64A0E0" w14:textId="0B89231F"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6400</w:t>
            </w:r>
          </w:p>
        </w:tc>
        <w:tc>
          <w:tcPr>
            <w:tcW w:w="1160" w:type="dxa"/>
            <w:tcBorders>
              <w:top w:val="nil"/>
              <w:left w:val="nil"/>
              <w:bottom w:val="single" w:sz="8" w:space="0" w:color="999999"/>
              <w:right w:val="single" w:sz="8" w:space="0" w:color="999999"/>
            </w:tcBorders>
            <w:shd w:val="clear" w:color="auto" w:fill="auto"/>
            <w:vAlign w:val="center"/>
            <w:hideMark/>
          </w:tcPr>
          <w:p w14:paraId="457C6D18" w14:textId="6F4E68B7"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7782</w:t>
            </w:r>
          </w:p>
        </w:tc>
        <w:tc>
          <w:tcPr>
            <w:tcW w:w="1140" w:type="dxa"/>
            <w:tcBorders>
              <w:top w:val="nil"/>
              <w:left w:val="nil"/>
              <w:bottom w:val="single" w:sz="8" w:space="0" w:color="999999"/>
              <w:right w:val="single" w:sz="8" w:space="0" w:color="999999"/>
            </w:tcBorders>
            <w:shd w:val="clear" w:color="auto" w:fill="auto"/>
            <w:vAlign w:val="center"/>
            <w:hideMark/>
          </w:tcPr>
          <w:p w14:paraId="517202A4" w14:textId="5758995A"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8260</w:t>
            </w:r>
          </w:p>
        </w:tc>
        <w:tc>
          <w:tcPr>
            <w:tcW w:w="1139" w:type="dxa"/>
            <w:tcBorders>
              <w:top w:val="nil"/>
              <w:left w:val="nil"/>
              <w:bottom w:val="single" w:sz="8" w:space="0" w:color="999999"/>
              <w:right w:val="single" w:sz="8" w:space="0" w:color="999999"/>
            </w:tcBorders>
            <w:shd w:val="clear" w:color="auto" w:fill="auto"/>
            <w:vAlign w:val="center"/>
            <w:hideMark/>
          </w:tcPr>
          <w:p w14:paraId="1DDC2E03" w14:textId="0490AF31"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7878</w:t>
            </w:r>
          </w:p>
        </w:tc>
      </w:tr>
      <w:tr w:rsidR="003F7755" w:rsidRPr="00E97AF3" w14:paraId="626C65C2"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38D2E544"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Base</w:t>
            </w:r>
          </w:p>
        </w:tc>
        <w:tc>
          <w:tcPr>
            <w:tcW w:w="2444" w:type="dxa"/>
            <w:tcBorders>
              <w:top w:val="nil"/>
              <w:left w:val="nil"/>
              <w:bottom w:val="single" w:sz="8" w:space="0" w:color="999999"/>
              <w:right w:val="single" w:sz="8" w:space="0" w:color="999999"/>
            </w:tcBorders>
            <w:shd w:val="clear" w:color="auto" w:fill="auto"/>
            <w:noWrap/>
            <w:vAlign w:val="center"/>
            <w:hideMark/>
          </w:tcPr>
          <w:p w14:paraId="0DB22A89"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Extreme Gradient Boosting</w:t>
            </w:r>
          </w:p>
        </w:tc>
        <w:tc>
          <w:tcPr>
            <w:tcW w:w="1178" w:type="dxa"/>
            <w:tcBorders>
              <w:top w:val="nil"/>
              <w:left w:val="nil"/>
              <w:bottom w:val="single" w:sz="8" w:space="0" w:color="999999"/>
              <w:right w:val="single" w:sz="8" w:space="0" w:color="999999"/>
            </w:tcBorders>
            <w:shd w:val="clear" w:color="auto" w:fill="auto"/>
            <w:vAlign w:val="center"/>
            <w:hideMark/>
          </w:tcPr>
          <w:p w14:paraId="07169287" w14:textId="6135ADD4"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8800</w:t>
            </w:r>
          </w:p>
        </w:tc>
        <w:tc>
          <w:tcPr>
            <w:tcW w:w="1159" w:type="dxa"/>
            <w:tcBorders>
              <w:top w:val="nil"/>
              <w:left w:val="nil"/>
              <w:bottom w:val="single" w:sz="8" w:space="0" w:color="999999"/>
              <w:right w:val="single" w:sz="8" w:space="0" w:color="999999"/>
            </w:tcBorders>
            <w:shd w:val="clear" w:color="auto" w:fill="auto"/>
            <w:vAlign w:val="center"/>
            <w:hideMark/>
          </w:tcPr>
          <w:p w14:paraId="080006D5" w14:textId="22194E3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6432</w:t>
            </w:r>
          </w:p>
        </w:tc>
        <w:tc>
          <w:tcPr>
            <w:tcW w:w="1160" w:type="dxa"/>
            <w:tcBorders>
              <w:top w:val="nil"/>
              <w:left w:val="nil"/>
              <w:bottom w:val="single" w:sz="8" w:space="0" w:color="999999"/>
              <w:right w:val="single" w:sz="8" w:space="0" w:color="999999"/>
            </w:tcBorders>
            <w:shd w:val="clear" w:color="auto" w:fill="auto"/>
            <w:vAlign w:val="center"/>
            <w:hideMark/>
          </w:tcPr>
          <w:p w14:paraId="0412DF4A" w14:textId="1B0C8406"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7782</w:t>
            </w:r>
          </w:p>
        </w:tc>
        <w:tc>
          <w:tcPr>
            <w:tcW w:w="1140" w:type="dxa"/>
            <w:tcBorders>
              <w:top w:val="nil"/>
              <w:left w:val="nil"/>
              <w:bottom w:val="single" w:sz="8" w:space="0" w:color="999999"/>
              <w:right w:val="single" w:sz="8" w:space="0" w:color="999999"/>
            </w:tcBorders>
            <w:shd w:val="clear" w:color="auto" w:fill="auto"/>
            <w:vAlign w:val="center"/>
            <w:hideMark/>
          </w:tcPr>
          <w:p w14:paraId="630CDF6A" w14:textId="6B842726"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8260</w:t>
            </w:r>
          </w:p>
        </w:tc>
        <w:tc>
          <w:tcPr>
            <w:tcW w:w="1139" w:type="dxa"/>
            <w:tcBorders>
              <w:top w:val="nil"/>
              <w:left w:val="nil"/>
              <w:bottom w:val="single" w:sz="8" w:space="0" w:color="999999"/>
              <w:right w:val="single" w:sz="8" w:space="0" w:color="999999"/>
            </w:tcBorders>
            <w:shd w:val="clear" w:color="auto" w:fill="auto"/>
            <w:vAlign w:val="center"/>
            <w:hideMark/>
          </w:tcPr>
          <w:p w14:paraId="7FE3D4EC" w14:textId="477059E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7878</w:t>
            </w:r>
          </w:p>
        </w:tc>
      </w:tr>
      <w:tr w:rsidR="003F7755" w:rsidRPr="00E97AF3" w14:paraId="6B52E3DB"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73889F69"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Complexity</w:t>
            </w:r>
          </w:p>
        </w:tc>
        <w:tc>
          <w:tcPr>
            <w:tcW w:w="2444" w:type="dxa"/>
            <w:tcBorders>
              <w:top w:val="nil"/>
              <w:left w:val="nil"/>
              <w:bottom w:val="single" w:sz="8" w:space="0" w:color="999999"/>
              <w:right w:val="single" w:sz="8" w:space="0" w:color="999999"/>
            </w:tcBorders>
            <w:shd w:val="clear" w:color="auto" w:fill="auto"/>
            <w:noWrap/>
            <w:vAlign w:val="center"/>
            <w:hideMark/>
          </w:tcPr>
          <w:p w14:paraId="5B587A7A"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Logistic Regression</w:t>
            </w:r>
          </w:p>
        </w:tc>
        <w:tc>
          <w:tcPr>
            <w:tcW w:w="1178" w:type="dxa"/>
            <w:tcBorders>
              <w:top w:val="nil"/>
              <w:left w:val="nil"/>
              <w:bottom w:val="single" w:sz="8" w:space="0" w:color="999999"/>
              <w:right w:val="single" w:sz="8" w:space="0" w:color="999999"/>
            </w:tcBorders>
            <w:shd w:val="clear" w:color="auto" w:fill="auto"/>
            <w:vAlign w:val="center"/>
            <w:hideMark/>
          </w:tcPr>
          <w:p w14:paraId="6C5F738F" w14:textId="02DB5774"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9387</w:t>
            </w:r>
          </w:p>
        </w:tc>
        <w:tc>
          <w:tcPr>
            <w:tcW w:w="1159" w:type="dxa"/>
            <w:tcBorders>
              <w:top w:val="nil"/>
              <w:left w:val="nil"/>
              <w:bottom w:val="single" w:sz="8" w:space="0" w:color="999999"/>
              <w:right w:val="single" w:sz="8" w:space="0" w:color="999999"/>
            </w:tcBorders>
            <w:shd w:val="clear" w:color="auto" w:fill="auto"/>
            <w:vAlign w:val="center"/>
            <w:hideMark/>
          </w:tcPr>
          <w:p w14:paraId="24E11B9A" w14:textId="052EF1B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8372</w:t>
            </w:r>
          </w:p>
        </w:tc>
        <w:tc>
          <w:tcPr>
            <w:tcW w:w="1160" w:type="dxa"/>
            <w:tcBorders>
              <w:top w:val="nil"/>
              <w:left w:val="nil"/>
              <w:bottom w:val="single" w:sz="8" w:space="0" w:color="999999"/>
              <w:right w:val="single" w:sz="8" w:space="0" w:color="999999"/>
            </w:tcBorders>
            <w:shd w:val="clear" w:color="auto" w:fill="auto"/>
            <w:vAlign w:val="center"/>
            <w:hideMark/>
          </w:tcPr>
          <w:p w14:paraId="6AECB716" w14:textId="7D11B50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8651</w:t>
            </w:r>
          </w:p>
        </w:tc>
        <w:tc>
          <w:tcPr>
            <w:tcW w:w="1140" w:type="dxa"/>
            <w:tcBorders>
              <w:top w:val="nil"/>
              <w:left w:val="nil"/>
              <w:bottom w:val="single" w:sz="8" w:space="0" w:color="999999"/>
              <w:right w:val="single" w:sz="8" w:space="0" w:color="999999"/>
            </w:tcBorders>
            <w:shd w:val="clear" w:color="auto" w:fill="auto"/>
            <w:vAlign w:val="center"/>
            <w:hideMark/>
          </w:tcPr>
          <w:p w14:paraId="1638C686" w14:textId="37CCC11B"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8558</w:t>
            </w:r>
          </w:p>
        </w:tc>
        <w:tc>
          <w:tcPr>
            <w:tcW w:w="1139" w:type="dxa"/>
            <w:tcBorders>
              <w:top w:val="nil"/>
              <w:left w:val="nil"/>
              <w:bottom w:val="single" w:sz="8" w:space="0" w:color="999999"/>
              <w:right w:val="single" w:sz="8" w:space="0" w:color="999999"/>
            </w:tcBorders>
            <w:shd w:val="clear" w:color="auto" w:fill="auto"/>
            <w:vAlign w:val="center"/>
            <w:hideMark/>
          </w:tcPr>
          <w:p w14:paraId="1B24BC27" w14:textId="6BD5087B"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8632</w:t>
            </w:r>
          </w:p>
        </w:tc>
      </w:tr>
      <w:tr w:rsidR="003F7755" w:rsidRPr="00E97AF3" w14:paraId="213C802E"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65FC3188"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Complexity</w:t>
            </w:r>
          </w:p>
        </w:tc>
        <w:tc>
          <w:tcPr>
            <w:tcW w:w="2444" w:type="dxa"/>
            <w:tcBorders>
              <w:top w:val="nil"/>
              <w:left w:val="nil"/>
              <w:bottom w:val="single" w:sz="8" w:space="0" w:color="999999"/>
              <w:right w:val="single" w:sz="8" w:space="0" w:color="999999"/>
            </w:tcBorders>
            <w:shd w:val="clear" w:color="auto" w:fill="auto"/>
            <w:noWrap/>
            <w:vAlign w:val="center"/>
            <w:hideMark/>
          </w:tcPr>
          <w:p w14:paraId="17051AAE"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Random Forest</w:t>
            </w:r>
          </w:p>
        </w:tc>
        <w:tc>
          <w:tcPr>
            <w:tcW w:w="1178" w:type="dxa"/>
            <w:tcBorders>
              <w:top w:val="nil"/>
              <w:left w:val="nil"/>
              <w:bottom w:val="single" w:sz="8" w:space="0" w:color="999999"/>
              <w:right w:val="single" w:sz="8" w:space="0" w:color="999999"/>
            </w:tcBorders>
            <w:shd w:val="clear" w:color="auto" w:fill="auto"/>
            <w:vAlign w:val="center"/>
            <w:hideMark/>
          </w:tcPr>
          <w:p w14:paraId="39DD4ABF" w14:textId="099A6E5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9282</w:t>
            </w:r>
          </w:p>
        </w:tc>
        <w:tc>
          <w:tcPr>
            <w:tcW w:w="1159" w:type="dxa"/>
            <w:tcBorders>
              <w:top w:val="nil"/>
              <w:left w:val="nil"/>
              <w:bottom w:val="single" w:sz="8" w:space="0" w:color="999999"/>
              <w:right w:val="single" w:sz="8" w:space="0" w:color="999999"/>
            </w:tcBorders>
            <w:shd w:val="clear" w:color="auto" w:fill="auto"/>
            <w:vAlign w:val="center"/>
            <w:hideMark/>
          </w:tcPr>
          <w:p w14:paraId="79894A70" w14:textId="49125F2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8213</w:t>
            </w:r>
          </w:p>
        </w:tc>
        <w:tc>
          <w:tcPr>
            <w:tcW w:w="1160" w:type="dxa"/>
            <w:tcBorders>
              <w:top w:val="nil"/>
              <w:left w:val="nil"/>
              <w:bottom w:val="single" w:sz="8" w:space="0" w:color="999999"/>
              <w:right w:val="single" w:sz="8" w:space="0" w:color="999999"/>
            </w:tcBorders>
            <w:shd w:val="clear" w:color="auto" w:fill="auto"/>
            <w:vAlign w:val="center"/>
            <w:hideMark/>
          </w:tcPr>
          <w:p w14:paraId="22F9AEB7" w14:textId="1075DBF3"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8471</w:t>
            </w:r>
          </w:p>
        </w:tc>
        <w:tc>
          <w:tcPr>
            <w:tcW w:w="1140" w:type="dxa"/>
            <w:tcBorders>
              <w:top w:val="nil"/>
              <w:left w:val="nil"/>
              <w:bottom w:val="single" w:sz="8" w:space="0" w:color="999999"/>
              <w:right w:val="single" w:sz="8" w:space="0" w:color="999999"/>
            </w:tcBorders>
            <w:shd w:val="clear" w:color="auto" w:fill="auto"/>
            <w:vAlign w:val="center"/>
            <w:hideMark/>
          </w:tcPr>
          <w:p w14:paraId="5FB0580D" w14:textId="1CB7C09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8685</w:t>
            </w:r>
          </w:p>
        </w:tc>
        <w:tc>
          <w:tcPr>
            <w:tcW w:w="1139" w:type="dxa"/>
            <w:tcBorders>
              <w:top w:val="nil"/>
              <w:left w:val="nil"/>
              <w:bottom w:val="single" w:sz="8" w:space="0" w:color="999999"/>
              <w:right w:val="single" w:sz="8" w:space="0" w:color="999999"/>
            </w:tcBorders>
            <w:shd w:val="clear" w:color="auto" w:fill="auto"/>
            <w:vAlign w:val="center"/>
            <w:hideMark/>
          </w:tcPr>
          <w:p w14:paraId="0B2EE60F" w14:textId="0DEA7AEA"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8514</w:t>
            </w:r>
          </w:p>
        </w:tc>
      </w:tr>
      <w:tr w:rsidR="003F7755" w:rsidRPr="00E97AF3" w14:paraId="76F027B2"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290E1711"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Complexity</w:t>
            </w:r>
          </w:p>
        </w:tc>
        <w:tc>
          <w:tcPr>
            <w:tcW w:w="2444" w:type="dxa"/>
            <w:tcBorders>
              <w:top w:val="nil"/>
              <w:left w:val="nil"/>
              <w:bottom w:val="single" w:sz="8" w:space="0" w:color="999999"/>
              <w:right w:val="single" w:sz="8" w:space="0" w:color="999999"/>
            </w:tcBorders>
            <w:shd w:val="clear" w:color="auto" w:fill="auto"/>
            <w:noWrap/>
            <w:vAlign w:val="center"/>
            <w:hideMark/>
          </w:tcPr>
          <w:p w14:paraId="1C979D0D"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Neural Networks</w:t>
            </w:r>
          </w:p>
        </w:tc>
        <w:tc>
          <w:tcPr>
            <w:tcW w:w="1178" w:type="dxa"/>
            <w:tcBorders>
              <w:top w:val="nil"/>
              <w:left w:val="nil"/>
              <w:bottom w:val="single" w:sz="8" w:space="0" w:color="999999"/>
              <w:right w:val="single" w:sz="8" w:space="0" w:color="999999"/>
            </w:tcBorders>
            <w:shd w:val="clear" w:color="auto" w:fill="auto"/>
            <w:vAlign w:val="center"/>
            <w:hideMark/>
          </w:tcPr>
          <w:p w14:paraId="7F70C633" w14:textId="20339670"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9388</w:t>
            </w:r>
          </w:p>
        </w:tc>
        <w:tc>
          <w:tcPr>
            <w:tcW w:w="1159" w:type="dxa"/>
            <w:tcBorders>
              <w:top w:val="nil"/>
              <w:left w:val="nil"/>
              <w:bottom w:val="single" w:sz="8" w:space="0" w:color="999999"/>
              <w:right w:val="single" w:sz="8" w:space="0" w:color="999999"/>
            </w:tcBorders>
            <w:shd w:val="clear" w:color="auto" w:fill="auto"/>
            <w:vAlign w:val="center"/>
            <w:hideMark/>
          </w:tcPr>
          <w:p w14:paraId="24708180" w14:textId="2180801E"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8378</w:t>
            </w:r>
          </w:p>
        </w:tc>
        <w:tc>
          <w:tcPr>
            <w:tcW w:w="1160" w:type="dxa"/>
            <w:tcBorders>
              <w:top w:val="nil"/>
              <w:left w:val="nil"/>
              <w:bottom w:val="single" w:sz="8" w:space="0" w:color="999999"/>
              <w:right w:val="single" w:sz="8" w:space="0" w:color="999999"/>
            </w:tcBorders>
            <w:shd w:val="clear" w:color="auto" w:fill="auto"/>
            <w:vAlign w:val="center"/>
            <w:hideMark/>
          </w:tcPr>
          <w:p w14:paraId="0B24BF6E" w14:textId="2AC057D3"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8588</w:t>
            </w:r>
          </w:p>
        </w:tc>
        <w:tc>
          <w:tcPr>
            <w:tcW w:w="1140" w:type="dxa"/>
            <w:tcBorders>
              <w:top w:val="nil"/>
              <w:left w:val="nil"/>
              <w:bottom w:val="single" w:sz="8" w:space="0" w:color="999999"/>
              <w:right w:val="single" w:sz="8" w:space="0" w:color="999999"/>
            </w:tcBorders>
            <w:shd w:val="clear" w:color="auto" w:fill="auto"/>
            <w:vAlign w:val="center"/>
            <w:hideMark/>
          </w:tcPr>
          <w:p w14:paraId="1BD08DB8" w14:textId="0AE70206"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8626</w:t>
            </w:r>
          </w:p>
        </w:tc>
        <w:tc>
          <w:tcPr>
            <w:tcW w:w="1139" w:type="dxa"/>
            <w:tcBorders>
              <w:top w:val="nil"/>
              <w:left w:val="nil"/>
              <w:bottom w:val="single" w:sz="8" w:space="0" w:color="999999"/>
              <w:right w:val="single" w:sz="8" w:space="0" w:color="999999"/>
            </w:tcBorders>
            <w:shd w:val="clear" w:color="auto" w:fill="auto"/>
            <w:vAlign w:val="center"/>
            <w:hideMark/>
          </w:tcPr>
          <w:p w14:paraId="2AD98C82" w14:textId="0CD82F05"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8595</w:t>
            </w:r>
          </w:p>
        </w:tc>
      </w:tr>
      <w:tr w:rsidR="003F7755" w:rsidRPr="00E97AF3" w14:paraId="6087C685"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762FDB03"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Complexity</w:t>
            </w:r>
          </w:p>
        </w:tc>
        <w:tc>
          <w:tcPr>
            <w:tcW w:w="2444" w:type="dxa"/>
            <w:tcBorders>
              <w:top w:val="nil"/>
              <w:left w:val="nil"/>
              <w:bottom w:val="single" w:sz="8" w:space="0" w:color="999999"/>
              <w:right w:val="single" w:sz="8" w:space="0" w:color="999999"/>
            </w:tcBorders>
            <w:shd w:val="clear" w:color="auto" w:fill="auto"/>
            <w:noWrap/>
            <w:vAlign w:val="center"/>
            <w:hideMark/>
          </w:tcPr>
          <w:p w14:paraId="24F1EBF7"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Extreme Gradient Boosting</w:t>
            </w:r>
          </w:p>
        </w:tc>
        <w:tc>
          <w:tcPr>
            <w:tcW w:w="1178" w:type="dxa"/>
            <w:tcBorders>
              <w:top w:val="nil"/>
              <w:left w:val="nil"/>
              <w:bottom w:val="single" w:sz="8" w:space="0" w:color="999999"/>
              <w:right w:val="single" w:sz="8" w:space="0" w:color="999999"/>
            </w:tcBorders>
            <w:shd w:val="clear" w:color="auto" w:fill="auto"/>
            <w:vAlign w:val="center"/>
            <w:hideMark/>
          </w:tcPr>
          <w:p w14:paraId="6FF62F88" w14:textId="2DE48F4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9395</w:t>
            </w:r>
          </w:p>
        </w:tc>
        <w:tc>
          <w:tcPr>
            <w:tcW w:w="1159" w:type="dxa"/>
            <w:tcBorders>
              <w:top w:val="nil"/>
              <w:left w:val="nil"/>
              <w:bottom w:val="single" w:sz="8" w:space="0" w:color="999999"/>
              <w:right w:val="single" w:sz="8" w:space="0" w:color="999999"/>
            </w:tcBorders>
            <w:shd w:val="clear" w:color="auto" w:fill="auto"/>
            <w:vAlign w:val="center"/>
            <w:hideMark/>
          </w:tcPr>
          <w:p w14:paraId="528A5536" w14:textId="6D66F645"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8391</w:t>
            </w:r>
          </w:p>
        </w:tc>
        <w:tc>
          <w:tcPr>
            <w:tcW w:w="1160" w:type="dxa"/>
            <w:tcBorders>
              <w:top w:val="nil"/>
              <w:left w:val="nil"/>
              <w:bottom w:val="single" w:sz="8" w:space="0" w:color="999999"/>
              <w:right w:val="single" w:sz="8" w:space="0" w:color="999999"/>
            </w:tcBorders>
            <w:shd w:val="clear" w:color="auto" w:fill="auto"/>
            <w:vAlign w:val="center"/>
            <w:hideMark/>
          </w:tcPr>
          <w:p w14:paraId="1FF3EC89" w14:textId="5B083FCC"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859</w:t>
            </w:r>
          </w:p>
        </w:tc>
        <w:tc>
          <w:tcPr>
            <w:tcW w:w="1140" w:type="dxa"/>
            <w:tcBorders>
              <w:top w:val="nil"/>
              <w:left w:val="nil"/>
              <w:bottom w:val="single" w:sz="8" w:space="0" w:color="999999"/>
              <w:right w:val="single" w:sz="8" w:space="0" w:color="999999"/>
            </w:tcBorders>
            <w:shd w:val="clear" w:color="auto" w:fill="auto"/>
            <w:vAlign w:val="center"/>
            <w:hideMark/>
          </w:tcPr>
          <w:p w14:paraId="6BC5F72B" w14:textId="7F50D55D"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8644</w:t>
            </w:r>
          </w:p>
        </w:tc>
        <w:tc>
          <w:tcPr>
            <w:tcW w:w="1139" w:type="dxa"/>
            <w:tcBorders>
              <w:top w:val="nil"/>
              <w:left w:val="nil"/>
              <w:bottom w:val="single" w:sz="8" w:space="0" w:color="999999"/>
              <w:right w:val="single" w:sz="8" w:space="0" w:color="999999"/>
            </w:tcBorders>
            <w:shd w:val="clear" w:color="auto" w:fill="auto"/>
            <w:vAlign w:val="center"/>
            <w:hideMark/>
          </w:tcPr>
          <w:p w14:paraId="24A81DB1" w14:textId="039ADB50"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8601</w:t>
            </w:r>
          </w:p>
        </w:tc>
      </w:tr>
      <w:tr w:rsidR="003F7755" w:rsidRPr="00E97AF3" w14:paraId="421AED57"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53D7D77F"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Full-disease</w:t>
            </w:r>
          </w:p>
        </w:tc>
        <w:tc>
          <w:tcPr>
            <w:tcW w:w="2444" w:type="dxa"/>
            <w:tcBorders>
              <w:top w:val="nil"/>
              <w:left w:val="nil"/>
              <w:bottom w:val="single" w:sz="8" w:space="0" w:color="999999"/>
              <w:right w:val="single" w:sz="8" w:space="0" w:color="999999"/>
            </w:tcBorders>
            <w:shd w:val="clear" w:color="auto" w:fill="auto"/>
            <w:noWrap/>
            <w:vAlign w:val="center"/>
            <w:hideMark/>
          </w:tcPr>
          <w:p w14:paraId="1A7314A8"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Logistic Regression</w:t>
            </w:r>
          </w:p>
        </w:tc>
        <w:tc>
          <w:tcPr>
            <w:tcW w:w="1178" w:type="dxa"/>
            <w:tcBorders>
              <w:top w:val="nil"/>
              <w:left w:val="nil"/>
              <w:bottom w:val="single" w:sz="8" w:space="0" w:color="999999"/>
              <w:right w:val="single" w:sz="8" w:space="0" w:color="999999"/>
            </w:tcBorders>
            <w:shd w:val="clear" w:color="auto" w:fill="auto"/>
            <w:vAlign w:val="center"/>
            <w:hideMark/>
          </w:tcPr>
          <w:p w14:paraId="4BEC2BA0" w14:textId="28D21613"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9365</w:t>
            </w:r>
          </w:p>
        </w:tc>
        <w:tc>
          <w:tcPr>
            <w:tcW w:w="1159" w:type="dxa"/>
            <w:tcBorders>
              <w:top w:val="nil"/>
              <w:left w:val="nil"/>
              <w:bottom w:val="single" w:sz="8" w:space="0" w:color="999999"/>
              <w:right w:val="single" w:sz="8" w:space="0" w:color="999999"/>
            </w:tcBorders>
            <w:shd w:val="clear" w:color="auto" w:fill="auto"/>
            <w:vAlign w:val="center"/>
            <w:hideMark/>
          </w:tcPr>
          <w:p w14:paraId="3E52749D" w14:textId="55719B15"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8335</w:t>
            </w:r>
          </w:p>
        </w:tc>
        <w:tc>
          <w:tcPr>
            <w:tcW w:w="1160" w:type="dxa"/>
            <w:tcBorders>
              <w:top w:val="nil"/>
              <w:left w:val="nil"/>
              <w:bottom w:val="single" w:sz="8" w:space="0" w:color="999999"/>
              <w:right w:val="single" w:sz="8" w:space="0" w:color="999999"/>
            </w:tcBorders>
            <w:shd w:val="clear" w:color="auto" w:fill="auto"/>
            <w:vAlign w:val="center"/>
            <w:hideMark/>
          </w:tcPr>
          <w:p w14:paraId="7C507C8E" w14:textId="6C332EB3"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8759</w:t>
            </w:r>
          </w:p>
        </w:tc>
        <w:tc>
          <w:tcPr>
            <w:tcW w:w="1140" w:type="dxa"/>
            <w:tcBorders>
              <w:top w:val="nil"/>
              <w:left w:val="nil"/>
              <w:bottom w:val="single" w:sz="8" w:space="0" w:color="999999"/>
              <w:right w:val="single" w:sz="8" w:space="0" w:color="999999"/>
            </w:tcBorders>
            <w:shd w:val="clear" w:color="auto" w:fill="auto"/>
            <w:vAlign w:val="center"/>
            <w:hideMark/>
          </w:tcPr>
          <w:p w14:paraId="36C74567" w14:textId="707D6B4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8387</w:t>
            </w:r>
          </w:p>
        </w:tc>
        <w:tc>
          <w:tcPr>
            <w:tcW w:w="1139" w:type="dxa"/>
            <w:tcBorders>
              <w:top w:val="nil"/>
              <w:left w:val="nil"/>
              <w:bottom w:val="single" w:sz="8" w:space="0" w:color="999999"/>
              <w:right w:val="single" w:sz="8" w:space="0" w:color="999999"/>
            </w:tcBorders>
            <w:shd w:val="clear" w:color="auto" w:fill="auto"/>
            <w:vAlign w:val="center"/>
            <w:hideMark/>
          </w:tcPr>
          <w:p w14:paraId="15BE56F7" w14:textId="179AC5A1"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8684</w:t>
            </w:r>
          </w:p>
        </w:tc>
      </w:tr>
      <w:tr w:rsidR="003F7755" w:rsidRPr="00E97AF3" w14:paraId="61157C47"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1E0FF182"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Full-disease</w:t>
            </w:r>
          </w:p>
        </w:tc>
        <w:tc>
          <w:tcPr>
            <w:tcW w:w="2444" w:type="dxa"/>
            <w:tcBorders>
              <w:top w:val="nil"/>
              <w:left w:val="nil"/>
              <w:bottom w:val="single" w:sz="8" w:space="0" w:color="999999"/>
              <w:right w:val="single" w:sz="8" w:space="0" w:color="999999"/>
            </w:tcBorders>
            <w:shd w:val="clear" w:color="auto" w:fill="auto"/>
            <w:noWrap/>
            <w:vAlign w:val="center"/>
            <w:hideMark/>
          </w:tcPr>
          <w:p w14:paraId="64B0C5F7"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Random Forest</w:t>
            </w:r>
          </w:p>
        </w:tc>
        <w:tc>
          <w:tcPr>
            <w:tcW w:w="1178" w:type="dxa"/>
            <w:tcBorders>
              <w:top w:val="nil"/>
              <w:left w:val="nil"/>
              <w:bottom w:val="single" w:sz="8" w:space="0" w:color="999999"/>
              <w:right w:val="single" w:sz="8" w:space="0" w:color="999999"/>
            </w:tcBorders>
            <w:shd w:val="clear" w:color="auto" w:fill="auto"/>
            <w:vAlign w:val="center"/>
            <w:hideMark/>
          </w:tcPr>
          <w:p w14:paraId="6CA78858" w14:textId="35479000"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9292</w:t>
            </w:r>
          </w:p>
        </w:tc>
        <w:tc>
          <w:tcPr>
            <w:tcW w:w="1159" w:type="dxa"/>
            <w:tcBorders>
              <w:top w:val="nil"/>
              <w:left w:val="nil"/>
              <w:bottom w:val="single" w:sz="8" w:space="0" w:color="999999"/>
              <w:right w:val="single" w:sz="8" w:space="0" w:color="999999"/>
            </w:tcBorders>
            <w:shd w:val="clear" w:color="auto" w:fill="auto"/>
            <w:vAlign w:val="center"/>
            <w:hideMark/>
          </w:tcPr>
          <w:p w14:paraId="72267C38" w14:textId="6E7D3215"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8191</w:t>
            </w:r>
          </w:p>
        </w:tc>
        <w:tc>
          <w:tcPr>
            <w:tcW w:w="1160" w:type="dxa"/>
            <w:tcBorders>
              <w:top w:val="nil"/>
              <w:left w:val="nil"/>
              <w:bottom w:val="single" w:sz="8" w:space="0" w:color="999999"/>
              <w:right w:val="single" w:sz="8" w:space="0" w:color="999999"/>
            </w:tcBorders>
            <w:shd w:val="clear" w:color="auto" w:fill="auto"/>
            <w:vAlign w:val="center"/>
            <w:hideMark/>
          </w:tcPr>
          <w:p w14:paraId="4978720B" w14:textId="4DCD7D7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8439</w:t>
            </w:r>
          </w:p>
        </w:tc>
        <w:tc>
          <w:tcPr>
            <w:tcW w:w="1140" w:type="dxa"/>
            <w:tcBorders>
              <w:top w:val="nil"/>
              <w:left w:val="nil"/>
              <w:bottom w:val="single" w:sz="8" w:space="0" w:color="999999"/>
              <w:right w:val="single" w:sz="8" w:space="0" w:color="999999"/>
            </w:tcBorders>
            <w:shd w:val="clear" w:color="auto" w:fill="auto"/>
            <w:vAlign w:val="center"/>
            <w:hideMark/>
          </w:tcPr>
          <w:p w14:paraId="2CBBFA05" w14:textId="734D3B96"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8716</w:t>
            </w:r>
          </w:p>
        </w:tc>
        <w:tc>
          <w:tcPr>
            <w:tcW w:w="1139" w:type="dxa"/>
            <w:tcBorders>
              <w:top w:val="nil"/>
              <w:left w:val="nil"/>
              <w:bottom w:val="single" w:sz="8" w:space="0" w:color="999999"/>
              <w:right w:val="single" w:sz="8" w:space="0" w:color="999999"/>
            </w:tcBorders>
            <w:shd w:val="clear" w:color="auto" w:fill="auto"/>
            <w:vAlign w:val="center"/>
            <w:hideMark/>
          </w:tcPr>
          <w:p w14:paraId="42736C7B" w14:textId="4B818D0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8494</w:t>
            </w:r>
          </w:p>
        </w:tc>
      </w:tr>
      <w:tr w:rsidR="003F7755" w:rsidRPr="00E97AF3" w14:paraId="790F6EEF"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104DA895"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Full-disease</w:t>
            </w:r>
          </w:p>
        </w:tc>
        <w:tc>
          <w:tcPr>
            <w:tcW w:w="2444" w:type="dxa"/>
            <w:tcBorders>
              <w:top w:val="nil"/>
              <w:left w:val="nil"/>
              <w:bottom w:val="single" w:sz="8" w:space="0" w:color="999999"/>
              <w:right w:val="single" w:sz="8" w:space="0" w:color="999999"/>
            </w:tcBorders>
            <w:shd w:val="clear" w:color="auto" w:fill="auto"/>
            <w:noWrap/>
            <w:vAlign w:val="center"/>
            <w:hideMark/>
          </w:tcPr>
          <w:p w14:paraId="0E49081D"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Neural Networks</w:t>
            </w:r>
          </w:p>
        </w:tc>
        <w:tc>
          <w:tcPr>
            <w:tcW w:w="1178" w:type="dxa"/>
            <w:tcBorders>
              <w:top w:val="nil"/>
              <w:left w:val="nil"/>
              <w:bottom w:val="single" w:sz="8" w:space="0" w:color="999999"/>
              <w:right w:val="single" w:sz="8" w:space="0" w:color="999999"/>
            </w:tcBorders>
            <w:shd w:val="clear" w:color="auto" w:fill="auto"/>
            <w:vAlign w:val="center"/>
            <w:hideMark/>
          </w:tcPr>
          <w:p w14:paraId="22C90BEA" w14:textId="2BE13CBE"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9294</w:t>
            </w:r>
          </w:p>
        </w:tc>
        <w:tc>
          <w:tcPr>
            <w:tcW w:w="1159" w:type="dxa"/>
            <w:tcBorders>
              <w:top w:val="nil"/>
              <w:left w:val="nil"/>
              <w:bottom w:val="single" w:sz="8" w:space="0" w:color="999999"/>
              <w:right w:val="single" w:sz="8" w:space="0" w:color="999999"/>
            </w:tcBorders>
            <w:shd w:val="clear" w:color="auto" w:fill="auto"/>
            <w:vAlign w:val="center"/>
            <w:hideMark/>
          </w:tcPr>
          <w:p w14:paraId="15DADF82" w14:textId="191CBD04"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7945</w:t>
            </w:r>
          </w:p>
        </w:tc>
        <w:tc>
          <w:tcPr>
            <w:tcW w:w="1160" w:type="dxa"/>
            <w:tcBorders>
              <w:top w:val="nil"/>
              <w:left w:val="nil"/>
              <w:bottom w:val="single" w:sz="8" w:space="0" w:color="999999"/>
              <w:right w:val="single" w:sz="8" w:space="0" w:color="999999"/>
            </w:tcBorders>
            <w:shd w:val="clear" w:color="auto" w:fill="auto"/>
            <w:vAlign w:val="center"/>
            <w:hideMark/>
          </w:tcPr>
          <w:p w14:paraId="08BD4D5B" w14:textId="5CDEE0AE"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8952</w:t>
            </w:r>
          </w:p>
        </w:tc>
        <w:tc>
          <w:tcPr>
            <w:tcW w:w="1140" w:type="dxa"/>
            <w:tcBorders>
              <w:top w:val="nil"/>
              <w:left w:val="nil"/>
              <w:bottom w:val="single" w:sz="8" w:space="0" w:color="999999"/>
              <w:right w:val="single" w:sz="8" w:space="0" w:color="999999"/>
            </w:tcBorders>
            <w:shd w:val="clear" w:color="auto" w:fill="auto"/>
            <w:vAlign w:val="center"/>
            <w:hideMark/>
          </w:tcPr>
          <w:p w14:paraId="614D4857" w14:textId="57CFA599"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7923</w:t>
            </w:r>
          </w:p>
        </w:tc>
        <w:tc>
          <w:tcPr>
            <w:tcW w:w="1139" w:type="dxa"/>
            <w:tcBorders>
              <w:top w:val="nil"/>
              <w:left w:val="nil"/>
              <w:bottom w:val="single" w:sz="8" w:space="0" w:color="999999"/>
              <w:right w:val="single" w:sz="8" w:space="0" w:color="999999"/>
            </w:tcBorders>
            <w:shd w:val="clear" w:color="auto" w:fill="auto"/>
            <w:vAlign w:val="center"/>
            <w:hideMark/>
          </w:tcPr>
          <w:p w14:paraId="6CDD18DB" w14:textId="21CD49E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8746</w:t>
            </w:r>
          </w:p>
        </w:tc>
      </w:tr>
      <w:tr w:rsidR="003F7755" w:rsidRPr="00E97AF3" w14:paraId="63130184" w14:textId="77777777" w:rsidTr="00D44EC9">
        <w:trPr>
          <w:trHeight w:val="300"/>
        </w:trPr>
        <w:tc>
          <w:tcPr>
            <w:tcW w:w="1300" w:type="dxa"/>
            <w:tcBorders>
              <w:top w:val="nil"/>
              <w:left w:val="single" w:sz="8" w:space="0" w:color="999999"/>
              <w:bottom w:val="single" w:sz="8" w:space="0" w:color="999999"/>
              <w:right w:val="single" w:sz="8" w:space="0" w:color="999999"/>
            </w:tcBorders>
            <w:shd w:val="clear" w:color="auto" w:fill="auto"/>
            <w:noWrap/>
            <w:vAlign w:val="center"/>
            <w:hideMark/>
          </w:tcPr>
          <w:p w14:paraId="601FBDE2"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Full-disease</w:t>
            </w:r>
          </w:p>
        </w:tc>
        <w:tc>
          <w:tcPr>
            <w:tcW w:w="2444" w:type="dxa"/>
            <w:tcBorders>
              <w:top w:val="nil"/>
              <w:left w:val="nil"/>
              <w:bottom w:val="single" w:sz="8" w:space="0" w:color="999999"/>
              <w:right w:val="single" w:sz="8" w:space="0" w:color="999999"/>
            </w:tcBorders>
            <w:shd w:val="clear" w:color="auto" w:fill="auto"/>
            <w:noWrap/>
            <w:vAlign w:val="center"/>
            <w:hideMark/>
          </w:tcPr>
          <w:p w14:paraId="3CC47911" w14:textId="77777777" w:rsidR="003F7755" w:rsidRPr="00E97AF3" w:rsidRDefault="003F7755" w:rsidP="00D44EC9">
            <w:pPr>
              <w:spacing w:after="0" w:line="240" w:lineRule="auto"/>
              <w:jc w:val="left"/>
              <w:rPr>
                <w:rFonts w:ascii="Calibri" w:eastAsia="Times New Roman" w:hAnsi="Calibri" w:cs="Calibri"/>
                <w:color w:val="000000"/>
                <w:lang w:val="en-GB"/>
              </w:rPr>
            </w:pPr>
            <w:r w:rsidRPr="00E97AF3">
              <w:rPr>
                <w:rFonts w:ascii="Calibri" w:eastAsia="Times New Roman" w:hAnsi="Calibri" w:cs="Calibri"/>
                <w:color w:val="000000"/>
                <w:lang w:val="en-GB"/>
              </w:rPr>
              <w:t>Extreme Gradient Boosting</w:t>
            </w:r>
          </w:p>
        </w:tc>
        <w:tc>
          <w:tcPr>
            <w:tcW w:w="1178" w:type="dxa"/>
            <w:tcBorders>
              <w:top w:val="nil"/>
              <w:left w:val="nil"/>
              <w:bottom w:val="single" w:sz="8" w:space="0" w:color="999999"/>
              <w:right w:val="single" w:sz="8" w:space="0" w:color="999999"/>
            </w:tcBorders>
            <w:shd w:val="clear" w:color="auto" w:fill="auto"/>
            <w:vAlign w:val="center"/>
            <w:hideMark/>
          </w:tcPr>
          <w:p w14:paraId="58656594" w14:textId="1A2D8D3C"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9397</w:t>
            </w:r>
          </w:p>
        </w:tc>
        <w:tc>
          <w:tcPr>
            <w:tcW w:w="1159" w:type="dxa"/>
            <w:tcBorders>
              <w:top w:val="nil"/>
              <w:left w:val="nil"/>
              <w:bottom w:val="single" w:sz="8" w:space="0" w:color="999999"/>
              <w:right w:val="single" w:sz="8" w:space="0" w:color="999999"/>
            </w:tcBorders>
            <w:shd w:val="clear" w:color="auto" w:fill="auto"/>
            <w:vAlign w:val="center"/>
            <w:hideMark/>
          </w:tcPr>
          <w:p w14:paraId="44F6C7E4" w14:textId="0C045224"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8396</w:t>
            </w:r>
          </w:p>
        </w:tc>
        <w:tc>
          <w:tcPr>
            <w:tcW w:w="1160" w:type="dxa"/>
            <w:tcBorders>
              <w:top w:val="nil"/>
              <w:left w:val="nil"/>
              <w:bottom w:val="single" w:sz="8" w:space="0" w:color="999999"/>
              <w:right w:val="single" w:sz="8" w:space="0" w:color="999999"/>
            </w:tcBorders>
            <w:shd w:val="clear" w:color="auto" w:fill="auto"/>
            <w:vAlign w:val="center"/>
            <w:hideMark/>
          </w:tcPr>
          <w:p w14:paraId="4A5F4999" w14:textId="6D52FD5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8582</w:t>
            </w:r>
          </w:p>
        </w:tc>
        <w:tc>
          <w:tcPr>
            <w:tcW w:w="1140" w:type="dxa"/>
            <w:tcBorders>
              <w:top w:val="nil"/>
              <w:left w:val="nil"/>
              <w:bottom w:val="single" w:sz="8" w:space="0" w:color="999999"/>
              <w:right w:val="single" w:sz="8" w:space="0" w:color="999999"/>
            </w:tcBorders>
            <w:shd w:val="clear" w:color="auto" w:fill="auto"/>
            <w:vAlign w:val="center"/>
            <w:hideMark/>
          </w:tcPr>
          <w:p w14:paraId="44974F45" w14:textId="310528A2"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8661</w:t>
            </w:r>
          </w:p>
        </w:tc>
        <w:tc>
          <w:tcPr>
            <w:tcW w:w="1139" w:type="dxa"/>
            <w:tcBorders>
              <w:top w:val="nil"/>
              <w:left w:val="nil"/>
              <w:bottom w:val="single" w:sz="8" w:space="0" w:color="999999"/>
              <w:right w:val="single" w:sz="8" w:space="0" w:color="999999"/>
            </w:tcBorders>
            <w:shd w:val="clear" w:color="auto" w:fill="auto"/>
            <w:vAlign w:val="center"/>
            <w:hideMark/>
          </w:tcPr>
          <w:p w14:paraId="7BC8D7FD" w14:textId="1DD301A8" w:rsidR="003F7755" w:rsidRPr="00E97AF3" w:rsidRDefault="003F7755" w:rsidP="00D44EC9">
            <w:pPr>
              <w:spacing w:after="0" w:line="240" w:lineRule="auto"/>
              <w:jc w:val="center"/>
              <w:rPr>
                <w:rFonts w:ascii="Calibri" w:eastAsia="Times New Roman" w:hAnsi="Calibri" w:cs="Calibri"/>
                <w:color w:val="000000"/>
                <w:lang w:val="en-GB"/>
              </w:rPr>
            </w:pPr>
            <w:r w:rsidRPr="00E97AF3">
              <w:rPr>
                <w:rFonts w:ascii="Calibri" w:eastAsia="Times New Roman" w:hAnsi="Calibri" w:cs="Calibri"/>
                <w:color w:val="000000"/>
                <w:lang w:val="en-GB"/>
              </w:rPr>
              <w:t>0</w:t>
            </w:r>
            <w:r w:rsidR="00AD0458">
              <w:rPr>
                <w:rFonts w:ascii="Calibri" w:eastAsia="Times New Roman" w:hAnsi="Calibri" w:cs="Calibri"/>
                <w:color w:val="000000"/>
                <w:lang w:val="en-GB"/>
              </w:rPr>
              <w:t>.</w:t>
            </w:r>
            <w:r w:rsidRPr="00E97AF3">
              <w:rPr>
                <w:rFonts w:ascii="Calibri" w:eastAsia="Times New Roman" w:hAnsi="Calibri" w:cs="Calibri"/>
                <w:color w:val="000000"/>
                <w:lang w:val="en-GB"/>
              </w:rPr>
              <w:t>8597</w:t>
            </w:r>
          </w:p>
        </w:tc>
      </w:tr>
    </w:tbl>
    <w:p w14:paraId="64AB9FEA" w14:textId="77777777" w:rsidR="003F7755" w:rsidRPr="00E97AF3" w:rsidRDefault="003F7755" w:rsidP="003F7755">
      <w:pPr>
        <w:rPr>
          <w:lang w:val="en-GB"/>
        </w:rPr>
      </w:pPr>
    </w:p>
    <w:p w14:paraId="6D45E844" w14:textId="77777777" w:rsidR="00DA122A" w:rsidRDefault="00DA122A">
      <w:pPr>
        <w:spacing w:line="259" w:lineRule="auto"/>
        <w:jc w:val="left"/>
        <w:rPr>
          <w:rFonts w:eastAsiaTheme="majorEastAsia" w:cstheme="majorBidi"/>
          <w:b/>
          <w:sz w:val="24"/>
          <w:szCs w:val="26"/>
          <w:lang w:val="en-GB"/>
        </w:rPr>
      </w:pPr>
      <w:r>
        <w:rPr>
          <w:lang w:val="en-GB"/>
        </w:rPr>
        <w:br w:type="page"/>
      </w:r>
      <w:bookmarkStart w:id="8" w:name="_GoBack"/>
      <w:bookmarkEnd w:id="8"/>
    </w:p>
    <w:p w14:paraId="69F65B3D" w14:textId="1DD0C5ED" w:rsidR="00D33D51" w:rsidRPr="00E97AF3" w:rsidRDefault="003F7755" w:rsidP="00065389">
      <w:pPr>
        <w:pStyle w:val="Ttol2"/>
        <w:rPr>
          <w:lang w:val="en-GB"/>
        </w:rPr>
      </w:pPr>
      <w:bookmarkStart w:id="9" w:name="_Toc210668921"/>
      <w:r w:rsidRPr="00E97AF3">
        <w:rPr>
          <w:lang w:val="en-GB"/>
        </w:rPr>
        <w:lastRenderedPageBreak/>
        <w:t>Table S3</w:t>
      </w:r>
      <w:r w:rsidR="00065389" w:rsidRPr="00E97AF3">
        <w:rPr>
          <w:lang w:val="en-GB"/>
        </w:rPr>
        <w:t xml:space="preserve">. Frequency of the </w:t>
      </w:r>
      <w:r w:rsidR="003E70B9" w:rsidRPr="00E97AF3">
        <w:rPr>
          <w:lang w:val="en-GB"/>
        </w:rPr>
        <w:t>most</w:t>
      </w:r>
      <w:r w:rsidR="00065389" w:rsidRPr="00E97AF3">
        <w:rPr>
          <w:lang w:val="en-GB"/>
        </w:rPr>
        <w:t xml:space="preserve"> frequent diagnosis pairs at the end of the study period.</w:t>
      </w:r>
      <w:bookmarkEnd w:id="9"/>
    </w:p>
    <w:tbl>
      <w:tblPr>
        <w:tblStyle w:val="Taulaambquadrcula1clara"/>
        <w:tblW w:w="9500" w:type="dxa"/>
        <w:tblLook w:val="04A0" w:firstRow="1" w:lastRow="0" w:firstColumn="1" w:lastColumn="0" w:noHBand="0" w:noVBand="1"/>
      </w:tblPr>
      <w:tblGrid>
        <w:gridCol w:w="2972"/>
        <w:gridCol w:w="2797"/>
        <w:gridCol w:w="1507"/>
        <w:gridCol w:w="1273"/>
        <w:gridCol w:w="951"/>
      </w:tblGrid>
      <w:tr w:rsidR="007C66A8" w:rsidRPr="00E97AF3" w14:paraId="5B0F839F" w14:textId="77777777" w:rsidTr="00A243D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E53A29F" w14:textId="77777777" w:rsidR="007C66A8" w:rsidRPr="00E97AF3" w:rsidRDefault="007C66A8" w:rsidP="00A243DD">
            <w:pPr>
              <w:spacing w:line="240" w:lineRule="auto"/>
              <w:jc w:val="center"/>
              <w:rPr>
                <w:rFonts w:eastAsia="Times New Roman" w:cs="Times New Roman"/>
                <w:color w:val="000000"/>
                <w:lang w:val="en-GB"/>
              </w:rPr>
            </w:pPr>
            <w:r w:rsidRPr="00E97AF3">
              <w:rPr>
                <w:rFonts w:eastAsia="Times New Roman" w:cs="Times New Roman"/>
                <w:color w:val="000000"/>
                <w:lang w:val="en-GB"/>
              </w:rPr>
              <w:t>Disease 1</w:t>
            </w:r>
          </w:p>
        </w:tc>
        <w:tc>
          <w:tcPr>
            <w:tcW w:w="2835" w:type="dxa"/>
            <w:vAlign w:val="center"/>
          </w:tcPr>
          <w:p w14:paraId="6992B12F"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Disease 2</w:t>
            </w:r>
          </w:p>
        </w:tc>
        <w:tc>
          <w:tcPr>
            <w:tcW w:w="1515" w:type="dxa"/>
            <w:vAlign w:val="center"/>
          </w:tcPr>
          <w:p w14:paraId="3BA448FE"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Frequency</w:t>
            </w:r>
          </w:p>
        </w:tc>
        <w:tc>
          <w:tcPr>
            <w:tcW w:w="1221" w:type="dxa"/>
            <w:vAlign w:val="center"/>
          </w:tcPr>
          <w:p w14:paraId="289107D9"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Prevalence</w:t>
            </w:r>
          </w:p>
        </w:tc>
        <w:tc>
          <w:tcPr>
            <w:tcW w:w="957" w:type="dxa"/>
            <w:vAlign w:val="center"/>
          </w:tcPr>
          <w:p w14:paraId="5EE6E5EC"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Risk Ratio</w:t>
            </w:r>
          </w:p>
        </w:tc>
      </w:tr>
      <w:tr w:rsidR="007C66A8" w:rsidRPr="00E97AF3" w14:paraId="248646C4"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7D395262"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835" w:type="dxa"/>
            <w:vAlign w:val="bottom"/>
          </w:tcPr>
          <w:p w14:paraId="1B1A81D3"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515" w:type="dxa"/>
            <w:vAlign w:val="bottom"/>
          </w:tcPr>
          <w:p w14:paraId="62F337D1"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686,161</w:t>
            </w:r>
          </w:p>
        </w:tc>
        <w:tc>
          <w:tcPr>
            <w:tcW w:w="1221" w:type="dxa"/>
            <w:vAlign w:val="bottom"/>
          </w:tcPr>
          <w:p w14:paraId="27B147A9" w14:textId="0AC1BC6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w:t>
            </w:r>
            <w:r w:rsidR="00AD0458">
              <w:rPr>
                <w:rFonts w:ascii="Calibri" w:hAnsi="Calibri" w:cs="Calibri"/>
                <w:color w:val="000000"/>
                <w:lang w:val="en-GB"/>
              </w:rPr>
              <w:t>.</w:t>
            </w:r>
            <w:r w:rsidRPr="00E97AF3">
              <w:rPr>
                <w:rFonts w:ascii="Calibri" w:hAnsi="Calibri" w:cs="Calibri"/>
                <w:color w:val="000000"/>
                <w:lang w:val="en-GB"/>
              </w:rPr>
              <w:t>4%</w:t>
            </w:r>
          </w:p>
        </w:tc>
        <w:tc>
          <w:tcPr>
            <w:tcW w:w="957" w:type="dxa"/>
            <w:vAlign w:val="bottom"/>
          </w:tcPr>
          <w:p w14:paraId="5716E61A" w14:textId="00DAB717" w:rsidR="007C66A8" w:rsidRPr="00E97AF3" w:rsidRDefault="00DA122A"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Pr>
                <w:rFonts w:ascii="Calibri" w:hAnsi="Calibri" w:cs="Calibri"/>
                <w:color w:val="000000"/>
                <w:lang w:val="en-GB"/>
              </w:rPr>
              <w:t>2</w:t>
            </w:r>
            <w:r w:rsidR="00AD0458">
              <w:rPr>
                <w:rFonts w:ascii="Calibri" w:hAnsi="Calibri" w:cs="Calibri"/>
                <w:color w:val="000000"/>
                <w:lang w:val="en-GB"/>
              </w:rPr>
              <w:t>.</w:t>
            </w:r>
            <w:r w:rsidR="007C66A8" w:rsidRPr="00E97AF3">
              <w:rPr>
                <w:rFonts w:ascii="Calibri" w:hAnsi="Calibri" w:cs="Calibri"/>
                <w:color w:val="000000"/>
                <w:lang w:val="en-GB"/>
              </w:rPr>
              <w:t>08</w:t>
            </w:r>
          </w:p>
        </w:tc>
      </w:tr>
      <w:tr w:rsidR="007C66A8" w:rsidRPr="00E97AF3" w14:paraId="5A9B96EF"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E55A671"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835" w:type="dxa"/>
            <w:vAlign w:val="bottom"/>
          </w:tcPr>
          <w:p w14:paraId="46DF23B4"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Anxiety disorders</w:t>
            </w:r>
          </w:p>
        </w:tc>
        <w:tc>
          <w:tcPr>
            <w:tcW w:w="1515" w:type="dxa"/>
            <w:vAlign w:val="bottom"/>
          </w:tcPr>
          <w:p w14:paraId="79698462"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430,892</w:t>
            </w:r>
          </w:p>
        </w:tc>
        <w:tc>
          <w:tcPr>
            <w:tcW w:w="1221" w:type="dxa"/>
            <w:vAlign w:val="bottom"/>
          </w:tcPr>
          <w:p w14:paraId="60089531" w14:textId="00C4DAE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7</w:t>
            </w:r>
            <w:r w:rsidR="00AD0458">
              <w:rPr>
                <w:rFonts w:ascii="Calibri" w:hAnsi="Calibri" w:cs="Calibri"/>
                <w:color w:val="000000"/>
                <w:lang w:val="en-GB"/>
              </w:rPr>
              <w:t>.</w:t>
            </w:r>
            <w:r w:rsidRPr="00E97AF3">
              <w:rPr>
                <w:rFonts w:ascii="Calibri" w:hAnsi="Calibri" w:cs="Calibri"/>
                <w:color w:val="000000"/>
                <w:lang w:val="en-GB"/>
              </w:rPr>
              <w:t>8%</w:t>
            </w:r>
          </w:p>
        </w:tc>
        <w:tc>
          <w:tcPr>
            <w:tcW w:w="957" w:type="dxa"/>
            <w:vAlign w:val="bottom"/>
          </w:tcPr>
          <w:p w14:paraId="445060BA" w14:textId="3FA73523"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27</w:t>
            </w:r>
          </w:p>
        </w:tc>
      </w:tr>
      <w:tr w:rsidR="007C66A8" w:rsidRPr="00E97AF3" w14:paraId="738A8E66"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1DFA4716"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Essential hypertension</w:t>
            </w:r>
          </w:p>
        </w:tc>
        <w:tc>
          <w:tcPr>
            <w:tcW w:w="2835" w:type="dxa"/>
            <w:vAlign w:val="bottom"/>
          </w:tcPr>
          <w:p w14:paraId="2585DEED"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Osteoarthritis</w:t>
            </w:r>
          </w:p>
        </w:tc>
        <w:tc>
          <w:tcPr>
            <w:tcW w:w="1515" w:type="dxa"/>
            <w:vAlign w:val="bottom"/>
          </w:tcPr>
          <w:p w14:paraId="1BC5EBF6"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392,135</w:t>
            </w:r>
          </w:p>
        </w:tc>
        <w:tc>
          <w:tcPr>
            <w:tcW w:w="1221" w:type="dxa"/>
            <w:vAlign w:val="bottom"/>
          </w:tcPr>
          <w:p w14:paraId="12FA093F" w14:textId="15F8120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7</w:t>
            </w:r>
            <w:r w:rsidR="00AD0458">
              <w:rPr>
                <w:rFonts w:ascii="Calibri" w:hAnsi="Calibri" w:cs="Calibri"/>
                <w:color w:val="000000"/>
                <w:lang w:val="en-GB"/>
              </w:rPr>
              <w:t>.</w:t>
            </w:r>
            <w:r w:rsidRPr="00E97AF3">
              <w:rPr>
                <w:rFonts w:ascii="Calibri" w:hAnsi="Calibri" w:cs="Calibri"/>
                <w:color w:val="000000"/>
                <w:lang w:val="en-GB"/>
              </w:rPr>
              <w:t>1%</w:t>
            </w:r>
          </w:p>
        </w:tc>
        <w:tc>
          <w:tcPr>
            <w:tcW w:w="957" w:type="dxa"/>
            <w:vAlign w:val="bottom"/>
          </w:tcPr>
          <w:p w14:paraId="1D41774D" w14:textId="43C35966"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44</w:t>
            </w:r>
          </w:p>
        </w:tc>
      </w:tr>
      <w:tr w:rsidR="007C66A8" w:rsidRPr="00E97AF3" w14:paraId="1356001B"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2585DF8F"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Essential hypertension</w:t>
            </w:r>
          </w:p>
        </w:tc>
        <w:tc>
          <w:tcPr>
            <w:tcW w:w="2835" w:type="dxa"/>
            <w:vAlign w:val="bottom"/>
          </w:tcPr>
          <w:p w14:paraId="1BDE3835"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Anxiety disorders</w:t>
            </w:r>
          </w:p>
        </w:tc>
        <w:tc>
          <w:tcPr>
            <w:tcW w:w="1515" w:type="dxa"/>
            <w:vAlign w:val="bottom"/>
          </w:tcPr>
          <w:p w14:paraId="371F1921"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369,310</w:t>
            </w:r>
          </w:p>
        </w:tc>
        <w:tc>
          <w:tcPr>
            <w:tcW w:w="1221" w:type="dxa"/>
            <w:vAlign w:val="bottom"/>
          </w:tcPr>
          <w:p w14:paraId="3F13D297" w14:textId="7372B5EA"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6</w:t>
            </w:r>
            <w:r w:rsidR="00AD0458">
              <w:rPr>
                <w:rFonts w:ascii="Calibri" w:hAnsi="Calibri" w:cs="Calibri"/>
                <w:color w:val="000000"/>
                <w:lang w:val="en-GB"/>
              </w:rPr>
              <w:t>.</w:t>
            </w:r>
            <w:r w:rsidRPr="00E97AF3">
              <w:rPr>
                <w:rFonts w:ascii="Calibri" w:hAnsi="Calibri" w:cs="Calibri"/>
                <w:color w:val="000000"/>
                <w:lang w:val="en-GB"/>
              </w:rPr>
              <w:t>7%</w:t>
            </w:r>
          </w:p>
        </w:tc>
        <w:tc>
          <w:tcPr>
            <w:tcW w:w="957" w:type="dxa"/>
            <w:vAlign w:val="bottom"/>
          </w:tcPr>
          <w:p w14:paraId="7682CF42" w14:textId="7D94356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17</w:t>
            </w:r>
          </w:p>
        </w:tc>
      </w:tr>
      <w:tr w:rsidR="007C66A8" w:rsidRPr="00E97AF3" w14:paraId="6865BF12"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654EB94A"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835" w:type="dxa"/>
            <w:vAlign w:val="bottom"/>
          </w:tcPr>
          <w:p w14:paraId="18272F8A"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Osteoarthritis</w:t>
            </w:r>
          </w:p>
        </w:tc>
        <w:tc>
          <w:tcPr>
            <w:tcW w:w="1515" w:type="dxa"/>
            <w:vAlign w:val="bottom"/>
          </w:tcPr>
          <w:p w14:paraId="32578AF0"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357,420</w:t>
            </w:r>
          </w:p>
        </w:tc>
        <w:tc>
          <w:tcPr>
            <w:tcW w:w="1221" w:type="dxa"/>
            <w:vAlign w:val="bottom"/>
          </w:tcPr>
          <w:p w14:paraId="6379EFCE" w14:textId="640BED73"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6</w:t>
            </w:r>
            <w:r w:rsidR="00AD0458">
              <w:rPr>
                <w:rFonts w:ascii="Calibri" w:hAnsi="Calibri" w:cs="Calibri"/>
                <w:color w:val="000000"/>
                <w:lang w:val="en-GB"/>
              </w:rPr>
              <w:t>.</w:t>
            </w:r>
            <w:r w:rsidRPr="00E97AF3">
              <w:rPr>
                <w:rFonts w:ascii="Calibri" w:hAnsi="Calibri" w:cs="Calibri"/>
                <w:color w:val="000000"/>
                <w:lang w:val="en-GB"/>
              </w:rPr>
              <w:t>5%</w:t>
            </w:r>
          </w:p>
        </w:tc>
        <w:tc>
          <w:tcPr>
            <w:tcW w:w="957" w:type="dxa"/>
            <w:vAlign w:val="bottom"/>
          </w:tcPr>
          <w:p w14:paraId="57F18AC6" w14:textId="1D40B5A6"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07</w:t>
            </w:r>
          </w:p>
        </w:tc>
      </w:tr>
      <w:tr w:rsidR="007C66A8" w:rsidRPr="00E97AF3" w14:paraId="219EEA86"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225FFA05"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Diabetes mellitus without complication</w:t>
            </w:r>
          </w:p>
        </w:tc>
        <w:tc>
          <w:tcPr>
            <w:tcW w:w="2835" w:type="dxa"/>
            <w:vAlign w:val="bottom"/>
          </w:tcPr>
          <w:p w14:paraId="57075B8B"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515" w:type="dxa"/>
            <w:vAlign w:val="bottom"/>
          </w:tcPr>
          <w:p w14:paraId="504FD982"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344,076</w:t>
            </w:r>
          </w:p>
        </w:tc>
        <w:tc>
          <w:tcPr>
            <w:tcW w:w="1221" w:type="dxa"/>
            <w:vAlign w:val="bottom"/>
          </w:tcPr>
          <w:p w14:paraId="22582D4A" w14:textId="5368B5F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6</w:t>
            </w:r>
            <w:r w:rsidR="00AD0458">
              <w:rPr>
                <w:rFonts w:ascii="Calibri" w:hAnsi="Calibri" w:cs="Calibri"/>
                <w:color w:val="000000"/>
                <w:lang w:val="en-GB"/>
              </w:rPr>
              <w:t>.</w:t>
            </w:r>
            <w:r w:rsidRPr="00E97AF3">
              <w:rPr>
                <w:rFonts w:ascii="Calibri" w:hAnsi="Calibri" w:cs="Calibri"/>
                <w:color w:val="000000"/>
                <w:lang w:val="en-GB"/>
              </w:rPr>
              <w:t>2%</w:t>
            </w:r>
          </w:p>
        </w:tc>
        <w:tc>
          <w:tcPr>
            <w:tcW w:w="957" w:type="dxa"/>
            <w:vAlign w:val="bottom"/>
          </w:tcPr>
          <w:p w14:paraId="2BCE3A4A" w14:textId="2F45A78B"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85</w:t>
            </w:r>
          </w:p>
        </w:tc>
      </w:tr>
      <w:tr w:rsidR="007C66A8" w:rsidRPr="00E97AF3" w14:paraId="317F2A6C"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6897CEA6"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Anxiety disorders</w:t>
            </w:r>
          </w:p>
        </w:tc>
        <w:tc>
          <w:tcPr>
            <w:tcW w:w="2835" w:type="dxa"/>
            <w:vAlign w:val="bottom"/>
          </w:tcPr>
          <w:p w14:paraId="22DFAA7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Substance-related disorders</w:t>
            </w:r>
          </w:p>
        </w:tc>
        <w:tc>
          <w:tcPr>
            <w:tcW w:w="1515" w:type="dxa"/>
            <w:vAlign w:val="bottom"/>
          </w:tcPr>
          <w:p w14:paraId="799A9FB7"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330,108</w:t>
            </w:r>
          </w:p>
        </w:tc>
        <w:tc>
          <w:tcPr>
            <w:tcW w:w="1221" w:type="dxa"/>
            <w:vAlign w:val="bottom"/>
          </w:tcPr>
          <w:p w14:paraId="3BEE3A8C" w14:textId="196FC68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6</w:t>
            </w:r>
            <w:r w:rsidR="00AD0458">
              <w:rPr>
                <w:rFonts w:ascii="Calibri" w:hAnsi="Calibri" w:cs="Calibri"/>
                <w:color w:val="000000"/>
                <w:lang w:val="en-GB"/>
              </w:rPr>
              <w:t>.</w:t>
            </w:r>
            <w:r w:rsidRPr="00E97AF3">
              <w:rPr>
                <w:rFonts w:ascii="Calibri" w:hAnsi="Calibri" w:cs="Calibri"/>
                <w:color w:val="000000"/>
                <w:lang w:val="en-GB"/>
              </w:rPr>
              <w:t>0%</w:t>
            </w:r>
          </w:p>
        </w:tc>
        <w:tc>
          <w:tcPr>
            <w:tcW w:w="957" w:type="dxa"/>
            <w:vAlign w:val="bottom"/>
          </w:tcPr>
          <w:p w14:paraId="3D48EB7F" w14:textId="3AB94F8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46</w:t>
            </w:r>
          </w:p>
        </w:tc>
      </w:tr>
      <w:tr w:rsidR="007C66A8" w:rsidRPr="00E97AF3" w14:paraId="2887923F"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768B4F6B"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Diabetes mellitus without complication</w:t>
            </w:r>
          </w:p>
        </w:tc>
        <w:tc>
          <w:tcPr>
            <w:tcW w:w="2835" w:type="dxa"/>
            <w:vAlign w:val="bottom"/>
          </w:tcPr>
          <w:p w14:paraId="5972A21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Other nutritional; endocrine; and metabolic disorders</w:t>
            </w:r>
          </w:p>
        </w:tc>
        <w:tc>
          <w:tcPr>
            <w:tcW w:w="1515" w:type="dxa"/>
            <w:vAlign w:val="bottom"/>
          </w:tcPr>
          <w:p w14:paraId="1DC08374"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309,825</w:t>
            </w:r>
          </w:p>
        </w:tc>
        <w:tc>
          <w:tcPr>
            <w:tcW w:w="1221" w:type="dxa"/>
            <w:vAlign w:val="bottom"/>
          </w:tcPr>
          <w:p w14:paraId="7D7FB6BA" w14:textId="5EEB5CE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5</w:t>
            </w:r>
            <w:r w:rsidR="00AD0458">
              <w:rPr>
                <w:rFonts w:ascii="Calibri" w:hAnsi="Calibri" w:cs="Calibri"/>
                <w:color w:val="000000"/>
                <w:lang w:val="en-GB"/>
              </w:rPr>
              <w:t>.</w:t>
            </w:r>
            <w:r w:rsidRPr="00E97AF3">
              <w:rPr>
                <w:rFonts w:ascii="Calibri" w:hAnsi="Calibri" w:cs="Calibri"/>
                <w:color w:val="000000"/>
                <w:lang w:val="en-GB"/>
              </w:rPr>
              <w:t>6%</w:t>
            </w:r>
          </w:p>
        </w:tc>
        <w:tc>
          <w:tcPr>
            <w:tcW w:w="957" w:type="dxa"/>
            <w:vAlign w:val="bottom"/>
          </w:tcPr>
          <w:p w14:paraId="2792099D" w14:textId="1E6BFB9C"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38</w:t>
            </w:r>
          </w:p>
        </w:tc>
      </w:tr>
      <w:tr w:rsidR="007C66A8" w:rsidRPr="00E97AF3" w14:paraId="114DA29A"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740235ED"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835" w:type="dxa"/>
            <w:vAlign w:val="bottom"/>
          </w:tcPr>
          <w:p w14:paraId="13DBCA66"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Substance-related disorders</w:t>
            </w:r>
          </w:p>
        </w:tc>
        <w:tc>
          <w:tcPr>
            <w:tcW w:w="1515" w:type="dxa"/>
            <w:vAlign w:val="bottom"/>
          </w:tcPr>
          <w:p w14:paraId="71F063EC"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286,014</w:t>
            </w:r>
          </w:p>
        </w:tc>
        <w:tc>
          <w:tcPr>
            <w:tcW w:w="1221" w:type="dxa"/>
            <w:vAlign w:val="bottom"/>
          </w:tcPr>
          <w:p w14:paraId="2E364FC5" w14:textId="3613EE3F"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5</w:t>
            </w:r>
            <w:r w:rsidR="00AD0458">
              <w:rPr>
                <w:rFonts w:ascii="Calibri" w:hAnsi="Calibri" w:cs="Calibri"/>
                <w:color w:val="000000"/>
                <w:lang w:val="en-GB"/>
              </w:rPr>
              <w:t>.</w:t>
            </w:r>
            <w:r w:rsidRPr="00E97AF3">
              <w:rPr>
                <w:rFonts w:ascii="Calibri" w:hAnsi="Calibri" w:cs="Calibri"/>
                <w:color w:val="000000"/>
                <w:lang w:val="en-GB"/>
              </w:rPr>
              <w:t>2%</w:t>
            </w:r>
          </w:p>
        </w:tc>
        <w:tc>
          <w:tcPr>
            <w:tcW w:w="957" w:type="dxa"/>
            <w:vAlign w:val="bottom"/>
          </w:tcPr>
          <w:p w14:paraId="749EF5EE" w14:textId="010960B1"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21</w:t>
            </w:r>
          </w:p>
        </w:tc>
      </w:tr>
      <w:tr w:rsidR="007C66A8" w:rsidRPr="00E97AF3" w14:paraId="03329EFA"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6A639A3A"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Anxiety disorders</w:t>
            </w:r>
          </w:p>
        </w:tc>
        <w:tc>
          <w:tcPr>
            <w:tcW w:w="2835" w:type="dxa"/>
            <w:vAlign w:val="bottom"/>
          </w:tcPr>
          <w:p w14:paraId="0A208A53"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Mood disorders</w:t>
            </w:r>
          </w:p>
        </w:tc>
        <w:tc>
          <w:tcPr>
            <w:tcW w:w="1515" w:type="dxa"/>
            <w:vAlign w:val="bottom"/>
          </w:tcPr>
          <w:p w14:paraId="1D67512B"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280,705</w:t>
            </w:r>
          </w:p>
        </w:tc>
        <w:tc>
          <w:tcPr>
            <w:tcW w:w="1221" w:type="dxa"/>
            <w:vAlign w:val="bottom"/>
          </w:tcPr>
          <w:p w14:paraId="1FA1AF3F" w14:textId="287B6931"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5</w:t>
            </w:r>
            <w:r w:rsidR="00AD0458">
              <w:rPr>
                <w:rFonts w:ascii="Calibri" w:hAnsi="Calibri" w:cs="Calibri"/>
                <w:color w:val="000000"/>
                <w:lang w:val="en-GB"/>
              </w:rPr>
              <w:t>.</w:t>
            </w:r>
            <w:r w:rsidRPr="00E97AF3">
              <w:rPr>
                <w:rFonts w:ascii="Calibri" w:hAnsi="Calibri" w:cs="Calibri"/>
                <w:color w:val="000000"/>
                <w:lang w:val="en-GB"/>
              </w:rPr>
              <w:t>1%</w:t>
            </w:r>
          </w:p>
        </w:tc>
        <w:tc>
          <w:tcPr>
            <w:tcW w:w="957" w:type="dxa"/>
            <w:vAlign w:val="bottom"/>
          </w:tcPr>
          <w:p w14:paraId="18CCC873" w14:textId="28773970"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00</w:t>
            </w:r>
          </w:p>
        </w:tc>
      </w:tr>
      <w:tr w:rsidR="007C66A8" w:rsidRPr="00E97AF3" w14:paraId="714DFB9F"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8097CF7"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Anxiety disorders</w:t>
            </w:r>
          </w:p>
        </w:tc>
        <w:tc>
          <w:tcPr>
            <w:tcW w:w="2835" w:type="dxa"/>
            <w:vAlign w:val="bottom"/>
          </w:tcPr>
          <w:p w14:paraId="2F0BE6A7"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Miscellaneous mental health disorders</w:t>
            </w:r>
          </w:p>
        </w:tc>
        <w:tc>
          <w:tcPr>
            <w:tcW w:w="1515" w:type="dxa"/>
            <w:vAlign w:val="bottom"/>
          </w:tcPr>
          <w:p w14:paraId="769C53C1"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246,878</w:t>
            </w:r>
          </w:p>
        </w:tc>
        <w:tc>
          <w:tcPr>
            <w:tcW w:w="1221" w:type="dxa"/>
            <w:vAlign w:val="bottom"/>
          </w:tcPr>
          <w:p w14:paraId="66461111" w14:textId="2C9EC7D8"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5%</w:t>
            </w:r>
          </w:p>
        </w:tc>
        <w:tc>
          <w:tcPr>
            <w:tcW w:w="957" w:type="dxa"/>
            <w:vAlign w:val="bottom"/>
          </w:tcPr>
          <w:p w14:paraId="2909A00E" w14:textId="6BF82489"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78</w:t>
            </w:r>
          </w:p>
        </w:tc>
      </w:tr>
      <w:tr w:rsidR="007C66A8" w:rsidRPr="00E97AF3" w14:paraId="5D5FD8B9"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57BAE7FD"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Thyroid disorders</w:t>
            </w:r>
          </w:p>
        </w:tc>
        <w:tc>
          <w:tcPr>
            <w:tcW w:w="2835" w:type="dxa"/>
            <w:vAlign w:val="bottom"/>
          </w:tcPr>
          <w:p w14:paraId="3862BE09"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Other nutritional; endocrine; and metabolic disorders</w:t>
            </w:r>
          </w:p>
        </w:tc>
        <w:tc>
          <w:tcPr>
            <w:tcW w:w="1515" w:type="dxa"/>
            <w:vAlign w:val="bottom"/>
          </w:tcPr>
          <w:p w14:paraId="3F21330A"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238,095</w:t>
            </w:r>
          </w:p>
        </w:tc>
        <w:tc>
          <w:tcPr>
            <w:tcW w:w="1221" w:type="dxa"/>
            <w:vAlign w:val="bottom"/>
          </w:tcPr>
          <w:p w14:paraId="77AFE351" w14:textId="3FB0CC62"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3%</w:t>
            </w:r>
          </w:p>
        </w:tc>
        <w:tc>
          <w:tcPr>
            <w:tcW w:w="957" w:type="dxa"/>
            <w:vAlign w:val="bottom"/>
          </w:tcPr>
          <w:p w14:paraId="31B08EB7" w14:textId="43AD769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60</w:t>
            </w:r>
          </w:p>
        </w:tc>
      </w:tr>
      <w:tr w:rsidR="007C66A8" w:rsidRPr="00E97AF3" w14:paraId="67E824D6"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10A0DAB"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Essential hypertension</w:t>
            </w:r>
          </w:p>
        </w:tc>
        <w:tc>
          <w:tcPr>
            <w:tcW w:w="2835" w:type="dxa"/>
            <w:vAlign w:val="bottom"/>
          </w:tcPr>
          <w:p w14:paraId="39BB3881"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Substance-related disorders</w:t>
            </w:r>
          </w:p>
        </w:tc>
        <w:tc>
          <w:tcPr>
            <w:tcW w:w="1515" w:type="dxa"/>
            <w:vAlign w:val="bottom"/>
          </w:tcPr>
          <w:p w14:paraId="5E738F78"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238,041</w:t>
            </w:r>
          </w:p>
        </w:tc>
        <w:tc>
          <w:tcPr>
            <w:tcW w:w="1221" w:type="dxa"/>
            <w:vAlign w:val="bottom"/>
          </w:tcPr>
          <w:p w14:paraId="1253C9EF" w14:textId="6AB254E3"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3%</w:t>
            </w:r>
          </w:p>
        </w:tc>
        <w:tc>
          <w:tcPr>
            <w:tcW w:w="957" w:type="dxa"/>
            <w:vAlign w:val="bottom"/>
          </w:tcPr>
          <w:p w14:paraId="33769969" w14:textId="0E0EEE7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08</w:t>
            </w:r>
          </w:p>
        </w:tc>
      </w:tr>
      <w:tr w:rsidR="007C66A8" w:rsidRPr="00E97AF3" w14:paraId="094221D8"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FDA21D3"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835" w:type="dxa"/>
            <w:vAlign w:val="bottom"/>
          </w:tcPr>
          <w:p w14:paraId="7E506DB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Mood disorders</w:t>
            </w:r>
          </w:p>
        </w:tc>
        <w:tc>
          <w:tcPr>
            <w:tcW w:w="1515" w:type="dxa"/>
            <w:vAlign w:val="bottom"/>
          </w:tcPr>
          <w:p w14:paraId="6E8D41E5"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237,057</w:t>
            </w:r>
          </w:p>
        </w:tc>
        <w:tc>
          <w:tcPr>
            <w:tcW w:w="1221" w:type="dxa"/>
            <w:vAlign w:val="bottom"/>
          </w:tcPr>
          <w:p w14:paraId="3C25CE53" w14:textId="425F5E7F"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3%</w:t>
            </w:r>
          </w:p>
        </w:tc>
        <w:tc>
          <w:tcPr>
            <w:tcW w:w="957" w:type="dxa"/>
            <w:vAlign w:val="bottom"/>
          </w:tcPr>
          <w:p w14:paraId="116921CB" w14:textId="5A4B3E48"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62</w:t>
            </w:r>
          </w:p>
        </w:tc>
      </w:tr>
      <w:tr w:rsidR="007C66A8" w:rsidRPr="00E97AF3" w14:paraId="6EE76565"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972" w:type="dxa"/>
            <w:noWrap/>
            <w:vAlign w:val="bottom"/>
          </w:tcPr>
          <w:p w14:paraId="49191EAE"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Essential hypertension</w:t>
            </w:r>
          </w:p>
        </w:tc>
        <w:tc>
          <w:tcPr>
            <w:tcW w:w="2835" w:type="dxa"/>
            <w:vAlign w:val="bottom"/>
          </w:tcPr>
          <w:p w14:paraId="63BAD06D"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Miscellaneous mental health disorders</w:t>
            </w:r>
          </w:p>
        </w:tc>
        <w:tc>
          <w:tcPr>
            <w:tcW w:w="1515" w:type="dxa"/>
            <w:vAlign w:val="bottom"/>
          </w:tcPr>
          <w:p w14:paraId="10DACFED"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235,151</w:t>
            </w:r>
          </w:p>
        </w:tc>
        <w:tc>
          <w:tcPr>
            <w:tcW w:w="1221" w:type="dxa"/>
            <w:vAlign w:val="bottom"/>
          </w:tcPr>
          <w:p w14:paraId="356760E9" w14:textId="2AF714B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2%</w:t>
            </w:r>
          </w:p>
        </w:tc>
        <w:tc>
          <w:tcPr>
            <w:tcW w:w="957" w:type="dxa"/>
            <w:vAlign w:val="bottom"/>
          </w:tcPr>
          <w:p w14:paraId="59FD8BC2" w14:textId="24F2CC1C"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w:t>
            </w:r>
            <w:r w:rsidR="00AD0458">
              <w:rPr>
                <w:rFonts w:ascii="Calibri" w:hAnsi="Calibri" w:cs="Calibri"/>
                <w:color w:val="000000"/>
                <w:lang w:val="en-GB"/>
              </w:rPr>
              <w:t>.</w:t>
            </w:r>
            <w:r w:rsidRPr="00E97AF3">
              <w:rPr>
                <w:rFonts w:ascii="Calibri" w:hAnsi="Calibri" w:cs="Calibri"/>
                <w:color w:val="000000"/>
                <w:lang w:val="en-GB"/>
              </w:rPr>
              <w:t>74</w:t>
            </w:r>
          </w:p>
        </w:tc>
      </w:tr>
    </w:tbl>
    <w:p w14:paraId="22A3BB42" w14:textId="77777777" w:rsidR="007C66A8" w:rsidRPr="00E97AF3" w:rsidRDefault="007C66A8" w:rsidP="007C66A8">
      <w:pPr>
        <w:rPr>
          <w:lang w:val="en-GB"/>
        </w:rPr>
      </w:pPr>
    </w:p>
    <w:p w14:paraId="7BB065FF" w14:textId="77777777" w:rsidR="00065389" w:rsidRPr="00E97AF3" w:rsidRDefault="00065389">
      <w:pPr>
        <w:spacing w:line="259" w:lineRule="auto"/>
        <w:jc w:val="left"/>
        <w:rPr>
          <w:lang w:val="en-GB"/>
        </w:rPr>
      </w:pPr>
      <w:r w:rsidRPr="00E97AF3">
        <w:rPr>
          <w:lang w:val="en-GB"/>
        </w:rPr>
        <w:br w:type="page"/>
      </w:r>
    </w:p>
    <w:p w14:paraId="77C51355" w14:textId="6578E341" w:rsidR="00065389" w:rsidRPr="00E97AF3" w:rsidRDefault="003F7755" w:rsidP="00065389">
      <w:pPr>
        <w:pStyle w:val="Ttol2"/>
        <w:rPr>
          <w:lang w:val="en-GB"/>
        </w:rPr>
      </w:pPr>
      <w:bookmarkStart w:id="10" w:name="_Toc210668922"/>
      <w:r w:rsidRPr="00E97AF3">
        <w:rPr>
          <w:lang w:val="en-GB"/>
        </w:rPr>
        <w:lastRenderedPageBreak/>
        <w:t>Table S4</w:t>
      </w:r>
      <w:r w:rsidR="00065389" w:rsidRPr="00E97AF3">
        <w:rPr>
          <w:lang w:val="en-GB"/>
        </w:rPr>
        <w:t xml:space="preserve">. Frequency of the </w:t>
      </w:r>
      <w:r w:rsidR="003E70B9" w:rsidRPr="00E97AF3">
        <w:rPr>
          <w:lang w:val="en-GB"/>
        </w:rPr>
        <w:t>most</w:t>
      </w:r>
      <w:r w:rsidR="00065389" w:rsidRPr="00E97AF3">
        <w:rPr>
          <w:lang w:val="en-GB"/>
        </w:rPr>
        <w:t xml:space="preserve"> frequent diagnosis triads at the end of the study period</w:t>
      </w:r>
      <w:bookmarkEnd w:id="10"/>
    </w:p>
    <w:tbl>
      <w:tblPr>
        <w:tblStyle w:val="Taulaambquadrcula1clara"/>
        <w:tblW w:w="9776" w:type="dxa"/>
        <w:tblLook w:val="04A0" w:firstRow="1" w:lastRow="0" w:firstColumn="1" w:lastColumn="0" w:noHBand="0" w:noVBand="1"/>
      </w:tblPr>
      <w:tblGrid>
        <w:gridCol w:w="2405"/>
        <w:gridCol w:w="1972"/>
        <w:gridCol w:w="1871"/>
        <w:gridCol w:w="1228"/>
        <w:gridCol w:w="1273"/>
        <w:gridCol w:w="1027"/>
      </w:tblGrid>
      <w:tr w:rsidR="007C66A8" w:rsidRPr="00E97AF3" w14:paraId="2128F1B4" w14:textId="77777777" w:rsidTr="00A243D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38BD17A6" w14:textId="77777777" w:rsidR="007C66A8" w:rsidRPr="00E97AF3" w:rsidRDefault="007C66A8" w:rsidP="00A243DD">
            <w:pPr>
              <w:spacing w:line="240" w:lineRule="auto"/>
              <w:jc w:val="center"/>
              <w:rPr>
                <w:rFonts w:eastAsia="Times New Roman" w:cs="Times New Roman"/>
                <w:color w:val="000000"/>
                <w:lang w:val="en-GB"/>
              </w:rPr>
            </w:pPr>
            <w:r w:rsidRPr="00E97AF3">
              <w:rPr>
                <w:rFonts w:eastAsia="Times New Roman" w:cs="Times New Roman"/>
                <w:color w:val="000000"/>
                <w:lang w:val="en-GB"/>
              </w:rPr>
              <w:t>Disease 1</w:t>
            </w:r>
          </w:p>
        </w:tc>
        <w:tc>
          <w:tcPr>
            <w:tcW w:w="2015" w:type="dxa"/>
            <w:vAlign w:val="center"/>
          </w:tcPr>
          <w:p w14:paraId="49410B2E"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Disease 2</w:t>
            </w:r>
          </w:p>
        </w:tc>
        <w:tc>
          <w:tcPr>
            <w:tcW w:w="1904" w:type="dxa"/>
            <w:vAlign w:val="center"/>
          </w:tcPr>
          <w:p w14:paraId="5F56AF50"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Disease 3</w:t>
            </w:r>
          </w:p>
        </w:tc>
        <w:tc>
          <w:tcPr>
            <w:tcW w:w="1168" w:type="dxa"/>
            <w:vAlign w:val="center"/>
          </w:tcPr>
          <w:p w14:paraId="1B907478"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Frequency</w:t>
            </w:r>
          </w:p>
        </w:tc>
        <w:tc>
          <w:tcPr>
            <w:tcW w:w="1241" w:type="dxa"/>
            <w:vAlign w:val="center"/>
          </w:tcPr>
          <w:p w14:paraId="0FD0E25C" w14:textId="77777777"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Prevalence</w:t>
            </w:r>
          </w:p>
        </w:tc>
        <w:tc>
          <w:tcPr>
            <w:tcW w:w="1043" w:type="dxa"/>
            <w:vAlign w:val="center"/>
          </w:tcPr>
          <w:p w14:paraId="5B8890D4" w14:textId="5B7F7E2F" w:rsidR="007C66A8" w:rsidRPr="00E97AF3" w:rsidRDefault="007C66A8" w:rsidP="00A243D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en-GB"/>
              </w:rPr>
            </w:pPr>
            <w:r w:rsidRPr="00E97AF3">
              <w:rPr>
                <w:rFonts w:eastAsia="Times New Roman" w:cs="Times New Roman"/>
                <w:color w:val="000000"/>
                <w:lang w:val="en-GB"/>
              </w:rPr>
              <w:t>Risk Ratio</w:t>
            </w:r>
            <w:r w:rsidRPr="00E97AF3">
              <w:rPr>
                <w:rFonts w:eastAsia="Times New Roman" w:cs="Times New Roman"/>
                <w:b w:val="0"/>
                <w:color w:val="000000"/>
                <w:lang w:val="en-GB"/>
              </w:rPr>
              <w:t>*</w:t>
            </w:r>
          </w:p>
        </w:tc>
      </w:tr>
      <w:tr w:rsidR="007C66A8" w:rsidRPr="00E97AF3" w14:paraId="5F736598"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3ACD5451"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72287DAA"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1669E596"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Osteoarthritis</w:t>
            </w:r>
          </w:p>
        </w:tc>
        <w:tc>
          <w:tcPr>
            <w:tcW w:w="1168" w:type="dxa"/>
            <w:vAlign w:val="center"/>
          </w:tcPr>
          <w:p w14:paraId="779964A9"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240,643</w:t>
            </w:r>
          </w:p>
        </w:tc>
        <w:tc>
          <w:tcPr>
            <w:tcW w:w="1241" w:type="dxa"/>
            <w:vAlign w:val="center"/>
          </w:tcPr>
          <w:p w14:paraId="52B797F0" w14:textId="6A9EC24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3%</w:t>
            </w:r>
          </w:p>
        </w:tc>
        <w:tc>
          <w:tcPr>
            <w:tcW w:w="1043" w:type="dxa"/>
            <w:vAlign w:val="center"/>
          </w:tcPr>
          <w:p w14:paraId="684CA56E" w14:textId="3E40A7B7"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5</w:t>
            </w:r>
            <w:r w:rsidR="00AD0458">
              <w:rPr>
                <w:rFonts w:ascii="Calibri" w:hAnsi="Calibri" w:cs="Calibri"/>
                <w:color w:val="000000"/>
                <w:lang w:val="en-GB"/>
              </w:rPr>
              <w:t>.</w:t>
            </w:r>
            <w:r w:rsidRPr="00E97AF3">
              <w:rPr>
                <w:rFonts w:ascii="Calibri" w:hAnsi="Calibri" w:cs="Calibri"/>
                <w:color w:val="000000"/>
                <w:lang w:val="en-GB"/>
              </w:rPr>
              <w:t>91</w:t>
            </w:r>
          </w:p>
        </w:tc>
      </w:tr>
      <w:tr w:rsidR="007C66A8" w:rsidRPr="00E97AF3" w14:paraId="7EE8DE9D"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690D62FD"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Diabetes mellitus without complication</w:t>
            </w:r>
          </w:p>
        </w:tc>
        <w:tc>
          <w:tcPr>
            <w:tcW w:w="2015" w:type="dxa"/>
            <w:vAlign w:val="center"/>
          </w:tcPr>
          <w:p w14:paraId="419B7DE5"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Other nutritional; endocrine; and metabolic disorders</w:t>
            </w:r>
          </w:p>
        </w:tc>
        <w:tc>
          <w:tcPr>
            <w:tcW w:w="1904" w:type="dxa"/>
            <w:vAlign w:val="center"/>
          </w:tcPr>
          <w:p w14:paraId="053988F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Essential hypertension</w:t>
            </w:r>
          </w:p>
        </w:tc>
        <w:tc>
          <w:tcPr>
            <w:tcW w:w="1168" w:type="dxa"/>
            <w:vAlign w:val="center"/>
          </w:tcPr>
          <w:p w14:paraId="0B475BB9"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225,953</w:t>
            </w:r>
          </w:p>
        </w:tc>
        <w:tc>
          <w:tcPr>
            <w:tcW w:w="1241" w:type="dxa"/>
            <w:vAlign w:val="center"/>
          </w:tcPr>
          <w:p w14:paraId="4B967756" w14:textId="26160084"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1%</w:t>
            </w:r>
          </w:p>
        </w:tc>
        <w:tc>
          <w:tcPr>
            <w:tcW w:w="1043" w:type="dxa"/>
            <w:vAlign w:val="center"/>
          </w:tcPr>
          <w:p w14:paraId="666D01BF" w14:textId="7303BC7C"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7</w:t>
            </w:r>
            <w:r w:rsidR="00AD0458">
              <w:rPr>
                <w:rFonts w:ascii="Calibri" w:hAnsi="Calibri" w:cs="Calibri"/>
                <w:color w:val="000000"/>
                <w:lang w:val="en-GB"/>
              </w:rPr>
              <w:t>.</w:t>
            </w:r>
            <w:r w:rsidRPr="00E97AF3">
              <w:rPr>
                <w:rFonts w:ascii="Calibri" w:hAnsi="Calibri" w:cs="Calibri"/>
                <w:color w:val="000000"/>
                <w:lang w:val="en-GB"/>
              </w:rPr>
              <w:t>39</w:t>
            </w:r>
          </w:p>
        </w:tc>
      </w:tr>
      <w:tr w:rsidR="007C66A8" w:rsidRPr="00E97AF3" w14:paraId="5A145442"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46B13242"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16E1E65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734D912E"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Anxiety disorders</w:t>
            </w:r>
          </w:p>
        </w:tc>
        <w:tc>
          <w:tcPr>
            <w:tcW w:w="1168" w:type="dxa"/>
            <w:vAlign w:val="center"/>
          </w:tcPr>
          <w:p w14:paraId="01C7972A"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204,517</w:t>
            </w:r>
          </w:p>
        </w:tc>
        <w:tc>
          <w:tcPr>
            <w:tcW w:w="1241" w:type="dxa"/>
            <w:vAlign w:val="center"/>
          </w:tcPr>
          <w:p w14:paraId="60FEC6B3" w14:textId="77B8F96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7%</w:t>
            </w:r>
          </w:p>
        </w:tc>
        <w:tc>
          <w:tcPr>
            <w:tcW w:w="1043" w:type="dxa"/>
            <w:vAlign w:val="center"/>
          </w:tcPr>
          <w:p w14:paraId="2919B3D2" w14:textId="7467ED4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55</w:t>
            </w:r>
          </w:p>
        </w:tc>
      </w:tr>
      <w:tr w:rsidR="007C66A8" w:rsidRPr="00E97AF3" w14:paraId="4FA4A3FB"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58F14111"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3A5A01E4"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2A076411"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Spondylosis; intervertebral disc disorders; other back problems</w:t>
            </w:r>
          </w:p>
        </w:tc>
        <w:tc>
          <w:tcPr>
            <w:tcW w:w="1168" w:type="dxa"/>
            <w:vAlign w:val="center"/>
          </w:tcPr>
          <w:p w14:paraId="7896AAA7"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134,277</w:t>
            </w:r>
          </w:p>
        </w:tc>
        <w:tc>
          <w:tcPr>
            <w:tcW w:w="1241" w:type="dxa"/>
            <w:vAlign w:val="center"/>
          </w:tcPr>
          <w:p w14:paraId="471DB7A3" w14:textId="5919DAC0"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4%</w:t>
            </w:r>
          </w:p>
        </w:tc>
        <w:tc>
          <w:tcPr>
            <w:tcW w:w="1043" w:type="dxa"/>
            <w:vAlign w:val="center"/>
          </w:tcPr>
          <w:p w14:paraId="5A1AC281" w14:textId="597BEF9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4</w:t>
            </w:r>
            <w:r w:rsidR="00AD0458">
              <w:rPr>
                <w:rFonts w:ascii="Calibri" w:hAnsi="Calibri" w:cs="Calibri"/>
                <w:color w:val="000000"/>
                <w:lang w:val="en-GB"/>
              </w:rPr>
              <w:t>.</w:t>
            </w:r>
            <w:r w:rsidRPr="00E97AF3">
              <w:rPr>
                <w:rFonts w:ascii="Calibri" w:hAnsi="Calibri" w:cs="Calibri"/>
                <w:color w:val="000000"/>
                <w:lang w:val="en-GB"/>
              </w:rPr>
              <w:t>14</w:t>
            </w:r>
          </w:p>
        </w:tc>
      </w:tr>
      <w:tr w:rsidR="007C66A8" w:rsidRPr="00E97AF3" w14:paraId="74E7B0C0"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7A33BB35"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2DA1D717"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34C56A7E"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Miscellaneous mental health disorders</w:t>
            </w:r>
          </w:p>
        </w:tc>
        <w:tc>
          <w:tcPr>
            <w:tcW w:w="1168" w:type="dxa"/>
            <w:vAlign w:val="center"/>
          </w:tcPr>
          <w:p w14:paraId="14933526"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133,760</w:t>
            </w:r>
          </w:p>
        </w:tc>
        <w:tc>
          <w:tcPr>
            <w:tcW w:w="1241" w:type="dxa"/>
            <w:vAlign w:val="center"/>
          </w:tcPr>
          <w:p w14:paraId="6E6AB051" w14:textId="7A9BD47D"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4%</w:t>
            </w:r>
          </w:p>
        </w:tc>
        <w:tc>
          <w:tcPr>
            <w:tcW w:w="1043" w:type="dxa"/>
            <w:vAlign w:val="center"/>
          </w:tcPr>
          <w:p w14:paraId="0DFB1880" w14:textId="23821E5F"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92</w:t>
            </w:r>
          </w:p>
        </w:tc>
      </w:tr>
      <w:tr w:rsidR="007C66A8" w:rsidRPr="00E97AF3" w14:paraId="2A7EAAB8"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7774B62D"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537DC313"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1AB18AF1"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Mood disorders</w:t>
            </w:r>
          </w:p>
        </w:tc>
        <w:tc>
          <w:tcPr>
            <w:tcW w:w="1168" w:type="dxa"/>
            <w:vAlign w:val="center"/>
          </w:tcPr>
          <w:p w14:paraId="282C0DA1"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130,592</w:t>
            </w:r>
          </w:p>
        </w:tc>
        <w:tc>
          <w:tcPr>
            <w:tcW w:w="1241" w:type="dxa"/>
            <w:vAlign w:val="center"/>
          </w:tcPr>
          <w:p w14:paraId="3D13974E" w14:textId="478B73A9"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4%</w:t>
            </w:r>
          </w:p>
        </w:tc>
        <w:tc>
          <w:tcPr>
            <w:tcW w:w="1043" w:type="dxa"/>
            <w:vAlign w:val="center"/>
          </w:tcPr>
          <w:p w14:paraId="33A05F8E" w14:textId="0D96AF89"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78</w:t>
            </w:r>
          </w:p>
        </w:tc>
      </w:tr>
      <w:tr w:rsidR="007C66A8" w:rsidRPr="00E97AF3" w14:paraId="37BBCAA1"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58683068"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3015DE46"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Cataract</w:t>
            </w:r>
          </w:p>
        </w:tc>
        <w:tc>
          <w:tcPr>
            <w:tcW w:w="1904" w:type="dxa"/>
            <w:vAlign w:val="center"/>
          </w:tcPr>
          <w:p w14:paraId="51FCEAC3"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Essential hypertension</w:t>
            </w:r>
          </w:p>
        </w:tc>
        <w:tc>
          <w:tcPr>
            <w:tcW w:w="1168" w:type="dxa"/>
            <w:vAlign w:val="center"/>
          </w:tcPr>
          <w:p w14:paraId="6EC711AE"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129,728</w:t>
            </w:r>
          </w:p>
        </w:tc>
        <w:tc>
          <w:tcPr>
            <w:tcW w:w="1241" w:type="dxa"/>
            <w:vAlign w:val="center"/>
          </w:tcPr>
          <w:p w14:paraId="65FE2E0E" w14:textId="6224E4C5"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3%</w:t>
            </w:r>
          </w:p>
        </w:tc>
        <w:tc>
          <w:tcPr>
            <w:tcW w:w="1043" w:type="dxa"/>
            <w:vAlign w:val="center"/>
          </w:tcPr>
          <w:p w14:paraId="6339B403" w14:textId="2E1369DB"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6</w:t>
            </w:r>
            <w:r w:rsidR="00AD0458">
              <w:rPr>
                <w:rFonts w:ascii="Calibri" w:hAnsi="Calibri" w:cs="Calibri"/>
                <w:color w:val="000000"/>
                <w:lang w:val="en-GB"/>
              </w:rPr>
              <w:t>.</w:t>
            </w:r>
            <w:r w:rsidRPr="00E97AF3">
              <w:rPr>
                <w:rFonts w:ascii="Calibri" w:hAnsi="Calibri" w:cs="Calibri"/>
                <w:color w:val="000000"/>
                <w:lang w:val="en-GB"/>
              </w:rPr>
              <w:t>02</w:t>
            </w:r>
          </w:p>
        </w:tc>
      </w:tr>
      <w:tr w:rsidR="007C66A8" w:rsidRPr="00E97AF3" w14:paraId="5B7F8747"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3A595FC6"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11BC0E3E"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767B15CB"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Substance-related disorders</w:t>
            </w:r>
          </w:p>
        </w:tc>
        <w:tc>
          <w:tcPr>
            <w:tcW w:w="1168" w:type="dxa"/>
            <w:vAlign w:val="center"/>
          </w:tcPr>
          <w:p w14:paraId="6B001291"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129,102</w:t>
            </w:r>
          </w:p>
        </w:tc>
        <w:tc>
          <w:tcPr>
            <w:tcW w:w="1241" w:type="dxa"/>
            <w:vAlign w:val="center"/>
          </w:tcPr>
          <w:p w14:paraId="7CD52E65" w14:textId="18792604"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3%</w:t>
            </w:r>
          </w:p>
        </w:tc>
        <w:tc>
          <w:tcPr>
            <w:tcW w:w="1043" w:type="dxa"/>
            <w:vAlign w:val="center"/>
          </w:tcPr>
          <w:p w14:paraId="1961E449" w14:textId="6E3CE2CE"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32</w:t>
            </w:r>
          </w:p>
        </w:tc>
      </w:tr>
      <w:tr w:rsidR="007C66A8" w:rsidRPr="00E97AF3" w14:paraId="586A82A3"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4675A8ED"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Essential hypertension</w:t>
            </w:r>
          </w:p>
        </w:tc>
        <w:tc>
          <w:tcPr>
            <w:tcW w:w="2015" w:type="dxa"/>
            <w:vAlign w:val="center"/>
          </w:tcPr>
          <w:p w14:paraId="2ADE68C9"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Osteoarthritis</w:t>
            </w:r>
          </w:p>
        </w:tc>
        <w:tc>
          <w:tcPr>
            <w:tcW w:w="1904" w:type="dxa"/>
            <w:vAlign w:val="center"/>
          </w:tcPr>
          <w:p w14:paraId="3166B4F2"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Anxiety disorders</w:t>
            </w:r>
          </w:p>
        </w:tc>
        <w:tc>
          <w:tcPr>
            <w:tcW w:w="1168" w:type="dxa"/>
            <w:vAlign w:val="center"/>
          </w:tcPr>
          <w:p w14:paraId="4C387E28"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127,455</w:t>
            </w:r>
          </w:p>
        </w:tc>
        <w:tc>
          <w:tcPr>
            <w:tcW w:w="1241" w:type="dxa"/>
            <w:vAlign w:val="center"/>
          </w:tcPr>
          <w:p w14:paraId="2E4CA0FF" w14:textId="1BC58620"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3%</w:t>
            </w:r>
          </w:p>
        </w:tc>
        <w:tc>
          <w:tcPr>
            <w:tcW w:w="1043" w:type="dxa"/>
            <w:vAlign w:val="center"/>
          </w:tcPr>
          <w:p w14:paraId="4CC90FA8" w14:textId="2507F318"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27</w:t>
            </w:r>
          </w:p>
        </w:tc>
      </w:tr>
      <w:tr w:rsidR="007C66A8" w:rsidRPr="00E97AF3" w14:paraId="6AF205D9"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0922828E"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Thyroid disorders</w:t>
            </w:r>
          </w:p>
        </w:tc>
        <w:tc>
          <w:tcPr>
            <w:tcW w:w="2015" w:type="dxa"/>
            <w:vAlign w:val="center"/>
          </w:tcPr>
          <w:p w14:paraId="0BF7452D"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Other nutritional; endocrine; and metabolic disorders</w:t>
            </w:r>
          </w:p>
        </w:tc>
        <w:tc>
          <w:tcPr>
            <w:tcW w:w="1904" w:type="dxa"/>
            <w:vAlign w:val="center"/>
          </w:tcPr>
          <w:p w14:paraId="28257CAE"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Essential hypertension</w:t>
            </w:r>
          </w:p>
        </w:tc>
        <w:tc>
          <w:tcPr>
            <w:tcW w:w="1168" w:type="dxa"/>
            <w:vAlign w:val="center"/>
          </w:tcPr>
          <w:p w14:paraId="412CF4EE"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122,957</w:t>
            </w:r>
          </w:p>
        </w:tc>
        <w:tc>
          <w:tcPr>
            <w:tcW w:w="1241" w:type="dxa"/>
            <w:vAlign w:val="center"/>
          </w:tcPr>
          <w:p w14:paraId="74BD2081" w14:textId="1C903872"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2%</w:t>
            </w:r>
          </w:p>
        </w:tc>
        <w:tc>
          <w:tcPr>
            <w:tcW w:w="1043" w:type="dxa"/>
            <w:vAlign w:val="center"/>
          </w:tcPr>
          <w:p w14:paraId="1694F119" w14:textId="138BCB3B"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50</w:t>
            </w:r>
          </w:p>
        </w:tc>
      </w:tr>
      <w:tr w:rsidR="007C66A8" w:rsidRPr="00E97AF3" w14:paraId="2E18887E"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61D757C2"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1D4E861F"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Osteoarthritis</w:t>
            </w:r>
          </w:p>
        </w:tc>
        <w:tc>
          <w:tcPr>
            <w:tcW w:w="1904" w:type="dxa"/>
            <w:vAlign w:val="center"/>
          </w:tcPr>
          <w:p w14:paraId="687C022A"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Anxiety disorders</w:t>
            </w:r>
          </w:p>
        </w:tc>
        <w:tc>
          <w:tcPr>
            <w:tcW w:w="1168" w:type="dxa"/>
            <w:vAlign w:val="center"/>
          </w:tcPr>
          <w:p w14:paraId="786BFA38"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121,482</w:t>
            </w:r>
          </w:p>
        </w:tc>
        <w:tc>
          <w:tcPr>
            <w:tcW w:w="1241" w:type="dxa"/>
            <w:vAlign w:val="center"/>
          </w:tcPr>
          <w:p w14:paraId="616B24F0" w14:textId="27795D4F"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2%</w:t>
            </w:r>
          </w:p>
        </w:tc>
        <w:tc>
          <w:tcPr>
            <w:tcW w:w="1043" w:type="dxa"/>
            <w:vAlign w:val="center"/>
          </w:tcPr>
          <w:p w14:paraId="6674E8EC" w14:textId="16384B4F"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89</w:t>
            </w:r>
          </w:p>
        </w:tc>
      </w:tr>
      <w:tr w:rsidR="007C66A8" w:rsidRPr="00E97AF3" w14:paraId="5BAD1D68"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7E390CAE"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Diabetes mellitus without complication</w:t>
            </w:r>
          </w:p>
        </w:tc>
        <w:tc>
          <w:tcPr>
            <w:tcW w:w="2015" w:type="dxa"/>
            <w:vAlign w:val="center"/>
          </w:tcPr>
          <w:p w14:paraId="6DA87747"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72F4D999"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Osteoarthritis</w:t>
            </w:r>
          </w:p>
        </w:tc>
        <w:tc>
          <w:tcPr>
            <w:tcW w:w="1168" w:type="dxa"/>
            <w:vAlign w:val="center"/>
          </w:tcPr>
          <w:p w14:paraId="364CB7B2"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117,456</w:t>
            </w:r>
          </w:p>
        </w:tc>
        <w:tc>
          <w:tcPr>
            <w:tcW w:w="1241" w:type="dxa"/>
            <w:vAlign w:val="center"/>
          </w:tcPr>
          <w:p w14:paraId="382FFDE8" w14:textId="11F3E804"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1%</w:t>
            </w:r>
          </w:p>
        </w:tc>
        <w:tc>
          <w:tcPr>
            <w:tcW w:w="1043" w:type="dxa"/>
            <w:vAlign w:val="center"/>
          </w:tcPr>
          <w:p w14:paraId="242C89BF" w14:textId="2E91580B"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7</w:t>
            </w:r>
            <w:r w:rsidR="00AD0458">
              <w:rPr>
                <w:rFonts w:ascii="Calibri" w:hAnsi="Calibri" w:cs="Calibri"/>
                <w:color w:val="000000"/>
                <w:lang w:val="en-GB"/>
              </w:rPr>
              <w:t>.</w:t>
            </w:r>
            <w:r w:rsidRPr="00E97AF3">
              <w:rPr>
                <w:rFonts w:ascii="Calibri" w:hAnsi="Calibri" w:cs="Calibri"/>
                <w:color w:val="000000"/>
                <w:lang w:val="en-GB"/>
              </w:rPr>
              <w:t>88</w:t>
            </w:r>
          </w:p>
        </w:tc>
      </w:tr>
      <w:tr w:rsidR="007C66A8" w:rsidRPr="00E97AF3" w14:paraId="4F8851D8"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1B4E0164"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1A980E4E"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566989EC"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Genitourinary symptoms and ill-defined conditions</w:t>
            </w:r>
          </w:p>
        </w:tc>
        <w:tc>
          <w:tcPr>
            <w:tcW w:w="1168" w:type="dxa"/>
            <w:vAlign w:val="center"/>
          </w:tcPr>
          <w:p w14:paraId="29DCF66E"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114,850</w:t>
            </w:r>
          </w:p>
        </w:tc>
        <w:tc>
          <w:tcPr>
            <w:tcW w:w="1241" w:type="dxa"/>
            <w:vAlign w:val="center"/>
          </w:tcPr>
          <w:p w14:paraId="1CE6AFAE" w14:textId="1A95331C"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1%</w:t>
            </w:r>
          </w:p>
        </w:tc>
        <w:tc>
          <w:tcPr>
            <w:tcW w:w="1043" w:type="dxa"/>
            <w:vAlign w:val="center"/>
          </w:tcPr>
          <w:p w14:paraId="58EE7842" w14:textId="0615A257"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5</w:t>
            </w:r>
            <w:r w:rsidR="00AD0458">
              <w:rPr>
                <w:rFonts w:ascii="Calibri" w:hAnsi="Calibri" w:cs="Calibri"/>
                <w:color w:val="000000"/>
                <w:lang w:val="en-GB"/>
              </w:rPr>
              <w:t>.</w:t>
            </w:r>
            <w:r w:rsidRPr="00E97AF3">
              <w:rPr>
                <w:rFonts w:ascii="Calibri" w:hAnsi="Calibri" w:cs="Calibri"/>
                <w:color w:val="000000"/>
                <w:lang w:val="en-GB"/>
              </w:rPr>
              <w:t>79</w:t>
            </w:r>
          </w:p>
        </w:tc>
      </w:tr>
      <w:tr w:rsidR="007C66A8" w:rsidRPr="00E97AF3" w14:paraId="49DBE9A0"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3BB8AB74"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Other nutritional; endocrine; and metabolic disorders</w:t>
            </w:r>
          </w:p>
        </w:tc>
        <w:tc>
          <w:tcPr>
            <w:tcW w:w="2015" w:type="dxa"/>
            <w:vAlign w:val="center"/>
          </w:tcPr>
          <w:p w14:paraId="36964EC4"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Anxiety disorders</w:t>
            </w:r>
          </w:p>
        </w:tc>
        <w:tc>
          <w:tcPr>
            <w:tcW w:w="1904" w:type="dxa"/>
            <w:vAlign w:val="center"/>
          </w:tcPr>
          <w:p w14:paraId="3F5895F0"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Mood disorders</w:t>
            </w:r>
          </w:p>
        </w:tc>
        <w:tc>
          <w:tcPr>
            <w:tcW w:w="1168" w:type="dxa"/>
            <w:vAlign w:val="center"/>
          </w:tcPr>
          <w:p w14:paraId="447CDEC5"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113,210</w:t>
            </w:r>
          </w:p>
        </w:tc>
        <w:tc>
          <w:tcPr>
            <w:tcW w:w="1241" w:type="dxa"/>
            <w:vAlign w:val="center"/>
          </w:tcPr>
          <w:p w14:paraId="057B0975" w14:textId="64E53D17"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0%</w:t>
            </w:r>
          </w:p>
        </w:tc>
        <w:tc>
          <w:tcPr>
            <w:tcW w:w="1043" w:type="dxa"/>
            <w:vAlign w:val="center"/>
          </w:tcPr>
          <w:p w14:paraId="5C267178" w14:textId="566FF843"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3</w:t>
            </w:r>
            <w:r w:rsidR="00AD0458">
              <w:rPr>
                <w:rFonts w:ascii="Calibri" w:hAnsi="Calibri" w:cs="Calibri"/>
                <w:color w:val="000000"/>
                <w:lang w:val="en-GB"/>
              </w:rPr>
              <w:t>.</w:t>
            </w:r>
            <w:r w:rsidRPr="00E97AF3">
              <w:rPr>
                <w:rFonts w:ascii="Calibri" w:hAnsi="Calibri" w:cs="Calibri"/>
                <w:color w:val="000000"/>
                <w:lang w:val="en-GB"/>
              </w:rPr>
              <w:t>18</w:t>
            </w:r>
          </w:p>
        </w:tc>
      </w:tr>
      <w:tr w:rsidR="007C66A8" w:rsidRPr="00E97AF3" w14:paraId="683ADA34" w14:textId="77777777" w:rsidTr="00A243DD">
        <w:trPr>
          <w:trHeight w:val="271"/>
        </w:trPr>
        <w:tc>
          <w:tcPr>
            <w:cnfStyle w:val="001000000000" w:firstRow="0" w:lastRow="0" w:firstColumn="1" w:lastColumn="0" w:oddVBand="0" w:evenVBand="0" w:oddHBand="0" w:evenHBand="0" w:firstRowFirstColumn="0" w:firstRowLastColumn="0" w:lastRowFirstColumn="0" w:lastRowLastColumn="0"/>
            <w:tcW w:w="2405" w:type="dxa"/>
            <w:noWrap/>
            <w:vAlign w:val="center"/>
          </w:tcPr>
          <w:p w14:paraId="149E8195" w14:textId="77777777" w:rsidR="007C66A8" w:rsidRPr="00E97AF3" w:rsidRDefault="007C66A8" w:rsidP="00A243DD">
            <w:pPr>
              <w:spacing w:line="240" w:lineRule="auto"/>
              <w:jc w:val="left"/>
              <w:rPr>
                <w:rFonts w:cstheme="minorHAnsi"/>
                <w:b w:val="0"/>
                <w:color w:val="000000"/>
                <w:lang w:val="en-GB"/>
              </w:rPr>
            </w:pPr>
            <w:r w:rsidRPr="00E97AF3">
              <w:rPr>
                <w:rFonts w:ascii="Calibri" w:hAnsi="Calibri" w:cs="Calibri"/>
                <w:b w:val="0"/>
                <w:color w:val="000000"/>
                <w:lang w:val="en-GB"/>
              </w:rPr>
              <w:t>Cataract</w:t>
            </w:r>
          </w:p>
        </w:tc>
        <w:tc>
          <w:tcPr>
            <w:tcW w:w="2015" w:type="dxa"/>
            <w:vAlign w:val="center"/>
          </w:tcPr>
          <w:p w14:paraId="1FDDFE88"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Essential hypertension</w:t>
            </w:r>
          </w:p>
        </w:tc>
        <w:tc>
          <w:tcPr>
            <w:tcW w:w="1904" w:type="dxa"/>
            <w:vAlign w:val="center"/>
          </w:tcPr>
          <w:p w14:paraId="227A733C" w14:textId="77777777" w:rsidR="007C66A8" w:rsidRPr="00E97AF3" w:rsidRDefault="007C66A8" w:rsidP="00A243DD">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Osteoarthritis</w:t>
            </w:r>
          </w:p>
        </w:tc>
        <w:tc>
          <w:tcPr>
            <w:tcW w:w="1168" w:type="dxa"/>
            <w:vAlign w:val="center"/>
          </w:tcPr>
          <w:p w14:paraId="4EA397BE" w14:textId="77777777" w:rsidR="007C66A8" w:rsidRPr="00E97AF3" w:rsidRDefault="007C66A8" w:rsidP="00A243D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112,393</w:t>
            </w:r>
          </w:p>
        </w:tc>
        <w:tc>
          <w:tcPr>
            <w:tcW w:w="1241" w:type="dxa"/>
            <w:vAlign w:val="center"/>
          </w:tcPr>
          <w:p w14:paraId="750130C8" w14:textId="6B911C1A"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GB"/>
              </w:rPr>
            </w:pPr>
            <w:r w:rsidRPr="00E97AF3">
              <w:rPr>
                <w:rFonts w:ascii="Calibri" w:hAnsi="Calibri" w:cs="Calibri"/>
                <w:color w:val="000000"/>
                <w:lang w:val="en-GB"/>
              </w:rPr>
              <w:t>2</w:t>
            </w:r>
            <w:r w:rsidR="00AD0458">
              <w:rPr>
                <w:rFonts w:ascii="Calibri" w:hAnsi="Calibri" w:cs="Calibri"/>
                <w:color w:val="000000"/>
                <w:lang w:val="en-GB"/>
              </w:rPr>
              <w:t>.</w:t>
            </w:r>
            <w:r w:rsidRPr="00E97AF3">
              <w:rPr>
                <w:rFonts w:ascii="Calibri" w:hAnsi="Calibri" w:cs="Calibri"/>
                <w:color w:val="000000"/>
                <w:lang w:val="en-GB"/>
              </w:rPr>
              <w:t>0%</w:t>
            </w:r>
          </w:p>
        </w:tc>
        <w:tc>
          <w:tcPr>
            <w:tcW w:w="1043" w:type="dxa"/>
            <w:vAlign w:val="center"/>
          </w:tcPr>
          <w:p w14:paraId="49B963EA" w14:textId="683BD497" w:rsidR="007C66A8" w:rsidRPr="00E97AF3" w:rsidRDefault="007C66A8" w:rsidP="00A243DD">
            <w:pPr>
              <w:spacing w:line="24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E97AF3">
              <w:rPr>
                <w:rFonts w:ascii="Calibri" w:hAnsi="Calibri" w:cs="Calibri"/>
                <w:color w:val="000000"/>
                <w:lang w:val="en-GB"/>
              </w:rPr>
              <w:t>10</w:t>
            </w:r>
            <w:r w:rsidR="00AD0458">
              <w:rPr>
                <w:rFonts w:ascii="Calibri" w:hAnsi="Calibri" w:cs="Calibri"/>
                <w:color w:val="000000"/>
                <w:lang w:val="en-GB"/>
              </w:rPr>
              <w:t>.</w:t>
            </w:r>
            <w:r w:rsidRPr="00E97AF3">
              <w:rPr>
                <w:rFonts w:ascii="Calibri" w:hAnsi="Calibri" w:cs="Calibri"/>
                <w:color w:val="000000"/>
                <w:lang w:val="en-GB"/>
              </w:rPr>
              <w:t>69</w:t>
            </w:r>
          </w:p>
        </w:tc>
      </w:tr>
    </w:tbl>
    <w:p w14:paraId="08325726" w14:textId="785BC7F1" w:rsidR="00207C70" w:rsidRPr="00E97AF3" w:rsidRDefault="007C66A8" w:rsidP="001C6802">
      <w:pPr>
        <w:spacing w:after="0" w:line="240" w:lineRule="auto"/>
        <w:rPr>
          <w:lang w:val="en-GB"/>
        </w:rPr>
      </w:pPr>
      <w:r w:rsidRPr="00E97AF3">
        <w:rPr>
          <w:lang w:val="en-GB"/>
        </w:rPr>
        <w:t>* The risk ratio (RR) for the combination of three condi</w:t>
      </w:r>
      <w:r w:rsidR="006B7469" w:rsidRPr="00E97AF3">
        <w:rPr>
          <w:lang w:val="en-GB"/>
        </w:rPr>
        <w:t>tions was estimated as follows:</w:t>
      </w:r>
      <w:r w:rsidR="006B7469" w:rsidRPr="00E97AF3">
        <w:rPr>
          <w:lang w:val="en-GB"/>
        </w:rPr>
        <w:br/>
      </w:r>
      <w:r w:rsidRPr="00E97AF3">
        <w:rPr>
          <w:rStyle w:val="mord"/>
          <w:lang w:val="en-GB"/>
        </w:rPr>
        <w:t>RR</w:t>
      </w:r>
      <w:r w:rsidR="005A1300" w:rsidRPr="00E97AF3">
        <w:rPr>
          <w:rStyle w:val="mord"/>
          <w:lang w:val="en-GB"/>
        </w:rPr>
        <w:t xml:space="preserve"> </w:t>
      </w:r>
      <w:r w:rsidRPr="00E97AF3">
        <w:rPr>
          <w:rStyle w:val="mrel"/>
          <w:lang w:val="en-GB"/>
        </w:rPr>
        <w:t>=</w:t>
      </w:r>
      <w:r w:rsidRPr="00E97AF3">
        <w:rPr>
          <w:rStyle w:val="vlist-s"/>
          <w:lang w:val="en-GB"/>
        </w:rPr>
        <w:t xml:space="preserve"> ​</w:t>
      </w:r>
      <w:r w:rsidR="005A1300" w:rsidRPr="00E97AF3">
        <w:rPr>
          <w:rStyle w:val="vlist-s"/>
          <w:lang w:val="en-GB"/>
        </w:rPr>
        <w:t>[</w:t>
      </w:r>
      <w:r w:rsidRPr="00E97AF3">
        <w:rPr>
          <w:rStyle w:val="vlist-s"/>
          <w:lang w:val="en-GB"/>
        </w:rPr>
        <w:t>No</w:t>
      </w:r>
      <w:r w:rsidR="00AD0458">
        <w:rPr>
          <w:rStyle w:val="vlist-s"/>
          <w:lang w:val="en-GB"/>
        </w:rPr>
        <w:t>.</w:t>
      </w:r>
      <w:r w:rsidR="005A1300" w:rsidRPr="00E97AF3">
        <w:rPr>
          <w:rStyle w:val="vlist-s"/>
          <w:lang w:val="en-GB"/>
        </w:rPr>
        <w:t xml:space="preserve"> of individuals with the triad] </w:t>
      </w:r>
      <w:r w:rsidRPr="00E97AF3">
        <w:rPr>
          <w:rStyle w:val="mbin"/>
          <w:lang w:val="en-GB"/>
        </w:rPr>
        <w:t xml:space="preserve">× </w:t>
      </w:r>
      <w:r w:rsidR="005A1300" w:rsidRPr="00E97AF3">
        <w:rPr>
          <w:rStyle w:val="mbin"/>
          <w:lang w:val="en-GB"/>
        </w:rPr>
        <w:t>[total population]</w:t>
      </w:r>
      <w:r w:rsidRPr="00E97AF3">
        <w:rPr>
          <w:rStyle w:val="mord"/>
          <w:lang w:val="en-GB"/>
        </w:rPr>
        <w:t>^2</w:t>
      </w:r>
      <w:r w:rsidRPr="00E97AF3">
        <w:rPr>
          <w:rStyle w:val="vlist-s"/>
          <w:lang w:val="en-GB"/>
        </w:rPr>
        <w:t>​​</w:t>
      </w:r>
      <w:r w:rsidRPr="00E97AF3">
        <w:rPr>
          <w:rStyle w:val="mpunct"/>
          <w:lang w:val="en-GB"/>
        </w:rPr>
        <w:t xml:space="preserve"> / (</w:t>
      </w:r>
      <w:r w:rsidRPr="00E97AF3">
        <w:rPr>
          <w:rStyle w:val="mord"/>
          <w:lang w:val="en-GB"/>
        </w:rPr>
        <w:t>N1</w:t>
      </w:r>
      <w:r w:rsidRPr="00E97AF3">
        <w:rPr>
          <w:rStyle w:val="vlist-s"/>
          <w:lang w:val="en-GB"/>
        </w:rPr>
        <w:t>​</w:t>
      </w:r>
      <w:r w:rsidRPr="00E97AF3">
        <w:rPr>
          <w:rStyle w:val="mbin"/>
          <w:lang w:val="en-GB"/>
        </w:rPr>
        <w:t>×</w:t>
      </w:r>
      <w:r w:rsidRPr="00E97AF3">
        <w:rPr>
          <w:rStyle w:val="mord"/>
          <w:lang w:val="en-GB"/>
        </w:rPr>
        <w:t>N2</w:t>
      </w:r>
      <w:r w:rsidRPr="00E97AF3">
        <w:rPr>
          <w:rStyle w:val="vlist-s"/>
          <w:lang w:val="en-GB"/>
        </w:rPr>
        <w:t>​</w:t>
      </w:r>
      <w:r w:rsidRPr="00E97AF3">
        <w:rPr>
          <w:rStyle w:val="mbin"/>
          <w:lang w:val="en-GB"/>
        </w:rPr>
        <w:t>×</w:t>
      </w:r>
      <w:r w:rsidRPr="00E97AF3">
        <w:rPr>
          <w:rStyle w:val="mord"/>
          <w:lang w:val="en-GB"/>
        </w:rPr>
        <w:t>N3</w:t>
      </w:r>
      <w:r w:rsidRPr="00E97AF3">
        <w:rPr>
          <w:rStyle w:val="mpunct"/>
          <w:lang w:val="en-GB"/>
        </w:rPr>
        <w:t>)</w:t>
      </w:r>
      <w:r w:rsidR="005A1300" w:rsidRPr="00E97AF3">
        <w:rPr>
          <w:rStyle w:val="mpunct"/>
          <w:lang w:val="en-GB"/>
        </w:rPr>
        <w:t xml:space="preserve"> , where N1, N2, and N3 correspond to the no</w:t>
      </w:r>
      <w:r w:rsidR="00AD0458">
        <w:rPr>
          <w:rStyle w:val="mpunct"/>
          <w:lang w:val="en-GB"/>
        </w:rPr>
        <w:t>.</w:t>
      </w:r>
      <w:r w:rsidR="005A1300" w:rsidRPr="00E97AF3">
        <w:rPr>
          <w:rStyle w:val="mpunct"/>
          <w:lang w:val="en-GB"/>
        </w:rPr>
        <w:t xml:space="preserve"> of individuals with each of the conditions within the triad</w:t>
      </w:r>
      <w:r w:rsidR="00AD0458">
        <w:rPr>
          <w:rStyle w:val="mpunct"/>
          <w:lang w:val="en-GB"/>
        </w:rPr>
        <w:t>.</w:t>
      </w:r>
      <w:r w:rsidR="00207C70" w:rsidRPr="00E97AF3">
        <w:rPr>
          <w:lang w:val="en-GB"/>
        </w:rPr>
        <w:br w:type="page"/>
      </w:r>
    </w:p>
    <w:p w14:paraId="0E45F100" w14:textId="77777777" w:rsidR="00207C70" w:rsidRPr="00E97AF3" w:rsidRDefault="00207C70" w:rsidP="00207C70">
      <w:pPr>
        <w:pStyle w:val="Ttol1"/>
        <w:rPr>
          <w:lang w:val="en-GB"/>
        </w:rPr>
      </w:pPr>
      <w:bookmarkStart w:id="11" w:name="_Toc210668923"/>
      <w:r w:rsidRPr="00E97AF3">
        <w:rPr>
          <w:lang w:val="en-GB"/>
        </w:rPr>
        <w:lastRenderedPageBreak/>
        <w:t>Supplementary figures</w:t>
      </w:r>
      <w:bookmarkEnd w:id="11"/>
    </w:p>
    <w:p w14:paraId="0B9B3717" w14:textId="7F2D1E2B" w:rsidR="00542A8C" w:rsidRPr="00E97AF3" w:rsidRDefault="00542A8C" w:rsidP="00542A8C">
      <w:pPr>
        <w:pStyle w:val="Ttol2"/>
        <w:rPr>
          <w:lang w:val="en-GB"/>
        </w:rPr>
      </w:pPr>
      <w:bookmarkStart w:id="12" w:name="_Toc210668924"/>
      <w:r w:rsidRPr="00E97AF3">
        <w:rPr>
          <w:lang w:val="en-GB"/>
        </w:rPr>
        <w:t>Figure S1</w:t>
      </w:r>
      <w:r w:rsidR="00AD0458">
        <w:rPr>
          <w:lang w:val="en-GB"/>
        </w:rPr>
        <w:t>.</w:t>
      </w:r>
      <w:r w:rsidRPr="00E97AF3">
        <w:rPr>
          <w:lang w:val="en-GB"/>
        </w:rPr>
        <w:t xml:space="preserve"> Overview of the study design</w:t>
      </w:r>
      <w:bookmarkEnd w:id="12"/>
    </w:p>
    <w:p w14:paraId="769B8BB5" w14:textId="6975D196" w:rsidR="00207C70" w:rsidRPr="00E97AF3" w:rsidRDefault="00542A8C" w:rsidP="00542A8C">
      <w:pPr>
        <w:rPr>
          <w:lang w:val="en-GB"/>
        </w:rPr>
      </w:pPr>
      <w:r w:rsidRPr="00E97AF3">
        <w:rPr>
          <w:noProof/>
          <w:lang w:val="ca-ES" w:eastAsia="ca-ES"/>
        </w:rPr>
        <w:drawing>
          <wp:inline distT="0" distB="0" distL="0" distR="0" wp14:anchorId="1409D128" wp14:editId="57A9A30D">
            <wp:extent cx="5400040" cy="3779491"/>
            <wp:effectExtent l="0" t="0" r="0" b="0"/>
            <wp:docPr id="3" name="Imatge 3" descr="C:\Projectes\008_MMP_Evolution\StudyDesign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jectes\008_MMP_Evolution\StudyDesign_v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779491"/>
                    </a:xfrm>
                    <a:prstGeom prst="rect">
                      <a:avLst/>
                    </a:prstGeom>
                    <a:noFill/>
                    <a:ln>
                      <a:noFill/>
                    </a:ln>
                  </pic:spPr>
                </pic:pic>
              </a:graphicData>
            </a:graphic>
          </wp:inline>
        </w:drawing>
      </w:r>
    </w:p>
    <w:p w14:paraId="209D5325" w14:textId="77777777" w:rsidR="00542A8C" w:rsidRPr="00E97AF3" w:rsidRDefault="00542A8C">
      <w:pPr>
        <w:spacing w:line="259" w:lineRule="auto"/>
        <w:jc w:val="left"/>
        <w:rPr>
          <w:lang w:val="en-GB"/>
        </w:rPr>
      </w:pPr>
      <w:r w:rsidRPr="00E97AF3">
        <w:rPr>
          <w:lang w:val="en-GB"/>
        </w:rPr>
        <w:br w:type="page"/>
      </w:r>
    </w:p>
    <w:p w14:paraId="1B390B61" w14:textId="69FA3A23" w:rsidR="003F7755" w:rsidRPr="00E97AF3" w:rsidRDefault="00542A8C" w:rsidP="00542A8C">
      <w:pPr>
        <w:pStyle w:val="Ttol2"/>
        <w:rPr>
          <w:rFonts w:eastAsiaTheme="minorHAnsi" w:cstheme="minorBidi"/>
          <w:sz w:val="22"/>
          <w:szCs w:val="22"/>
          <w:lang w:val="en-GB"/>
        </w:rPr>
      </w:pPr>
      <w:bookmarkStart w:id="13" w:name="_Toc210668925"/>
      <w:r w:rsidRPr="00E97AF3">
        <w:rPr>
          <w:lang w:val="en-GB"/>
        </w:rPr>
        <w:lastRenderedPageBreak/>
        <w:t>Fig</w:t>
      </w:r>
      <w:r w:rsidR="003F7755" w:rsidRPr="00E97AF3">
        <w:rPr>
          <w:lang w:val="en-GB"/>
        </w:rPr>
        <w:t>ure S2</w:t>
      </w:r>
      <w:r w:rsidR="00AD0458">
        <w:rPr>
          <w:lang w:val="en-GB"/>
        </w:rPr>
        <w:t>.</w:t>
      </w:r>
      <w:r w:rsidR="003F7755" w:rsidRPr="00E97AF3">
        <w:rPr>
          <w:lang w:val="en-GB"/>
        </w:rPr>
        <w:t xml:space="preserve"> Sankey diagram for transitions across AMG risk groups</w:t>
      </w:r>
      <w:bookmarkEnd w:id="13"/>
    </w:p>
    <w:p w14:paraId="7676460D" w14:textId="05CABF6B" w:rsidR="003F7755" w:rsidRPr="00E97AF3" w:rsidRDefault="003F7755" w:rsidP="003F7755">
      <w:pPr>
        <w:rPr>
          <w:lang w:val="en-GB"/>
        </w:rPr>
      </w:pPr>
      <w:r w:rsidRPr="00E97AF3">
        <w:rPr>
          <w:lang w:val="en-GB"/>
        </w:rPr>
        <w:t>Flow of individuals across Adjusted Morbidity Groups (AMG) risk strata (Low &lt;P50, Moderate P50–80, High P80–95, Very high ≥P95) from baseline to the end of the study period, showing the number of individuals in each group and their transitions over time</w:t>
      </w:r>
      <w:r w:rsidR="00AD0458">
        <w:rPr>
          <w:lang w:val="en-GB"/>
        </w:rPr>
        <w:t>.</w:t>
      </w:r>
    </w:p>
    <w:p w14:paraId="326A5B4E" w14:textId="77777777" w:rsidR="003F7755" w:rsidRPr="00E97AF3" w:rsidRDefault="003F7755" w:rsidP="003F7755">
      <w:pPr>
        <w:jc w:val="center"/>
        <w:rPr>
          <w:lang w:val="en-GB"/>
        </w:rPr>
      </w:pPr>
      <w:r w:rsidRPr="00E97AF3">
        <w:rPr>
          <w:noProof/>
          <w:lang w:val="ca-ES" w:eastAsia="ca-ES"/>
        </w:rPr>
        <w:drawing>
          <wp:inline distT="0" distB="0" distL="0" distR="0" wp14:anchorId="353D9F78" wp14:editId="181B9A29">
            <wp:extent cx="5400675" cy="5905500"/>
            <wp:effectExtent l="0" t="0" r="9525"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5905500"/>
                    </a:xfrm>
                    <a:prstGeom prst="rect">
                      <a:avLst/>
                    </a:prstGeom>
                    <a:noFill/>
                    <a:ln>
                      <a:noFill/>
                    </a:ln>
                  </pic:spPr>
                </pic:pic>
              </a:graphicData>
            </a:graphic>
          </wp:inline>
        </w:drawing>
      </w:r>
    </w:p>
    <w:p w14:paraId="37F93855" w14:textId="77777777" w:rsidR="00BD7E78" w:rsidRPr="00E97AF3" w:rsidRDefault="00BD7E78">
      <w:pPr>
        <w:spacing w:line="259" w:lineRule="auto"/>
        <w:jc w:val="left"/>
        <w:rPr>
          <w:lang w:val="en-GB"/>
        </w:rPr>
      </w:pPr>
      <w:r w:rsidRPr="00E97AF3">
        <w:rPr>
          <w:lang w:val="en-GB"/>
        </w:rPr>
        <w:br w:type="page"/>
      </w:r>
    </w:p>
    <w:p w14:paraId="2AF16E85" w14:textId="382F8DC2" w:rsidR="00790BBD" w:rsidRPr="00E97AF3" w:rsidRDefault="000E08E1" w:rsidP="00BD7E78">
      <w:pPr>
        <w:pStyle w:val="Ttol2"/>
        <w:rPr>
          <w:lang w:val="en-GB"/>
        </w:rPr>
      </w:pPr>
      <w:bookmarkStart w:id="14" w:name="_Toc210668926"/>
      <w:r w:rsidRPr="00E97AF3">
        <w:rPr>
          <w:lang w:val="en-GB"/>
        </w:rPr>
        <w:lastRenderedPageBreak/>
        <w:t xml:space="preserve">Figure </w:t>
      </w:r>
      <w:r w:rsidR="006A15EF" w:rsidRPr="00E97AF3">
        <w:rPr>
          <w:lang w:val="en-GB"/>
        </w:rPr>
        <w:t>S</w:t>
      </w:r>
      <w:r w:rsidR="003F7755" w:rsidRPr="00E97AF3">
        <w:rPr>
          <w:lang w:val="en-GB"/>
        </w:rPr>
        <w:t>3</w:t>
      </w:r>
      <w:r w:rsidR="00AD0458">
        <w:rPr>
          <w:lang w:val="en-GB"/>
        </w:rPr>
        <w:t>.</w:t>
      </w:r>
      <w:r w:rsidR="00BD7E78" w:rsidRPr="00E97AF3">
        <w:rPr>
          <w:lang w:val="en-GB"/>
        </w:rPr>
        <w:t xml:space="preserve"> Conditions triggering the transition towards high/very-high risk</w:t>
      </w:r>
      <w:r w:rsidR="00AD0458">
        <w:rPr>
          <w:lang w:val="en-GB"/>
        </w:rPr>
        <w:t>.</w:t>
      </w:r>
      <w:bookmarkEnd w:id="14"/>
    </w:p>
    <w:p w14:paraId="2BF399A2" w14:textId="6E8868EF" w:rsidR="00BD7E78" w:rsidRPr="00E97AF3" w:rsidRDefault="00957A3B" w:rsidP="00790BBD">
      <w:pPr>
        <w:rPr>
          <w:lang w:val="en-GB"/>
        </w:rPr>
      </w:pPr>
      <w:r w:rsidRPr="00E97AF3">
        <w:rPr>
          <w:lang w:val="en-GB"/>
        </w:rPr>
        <w:t>Chronic kidney disease was the most frequent new diagnosis at the time of transition to a higher-risk group (n=59,628; 5</w:t>
      </w:r>
      <w:r w:rsidR="00AD0458">
        <w:rPr>
          <w:lang w:val="en-GB"/>
        </w:rPr>
        <w:t>.</w:t>
      </w:r>
      <w:r w:rsidRPr="00E97AF3">
        <w:rPr>
          <w:lang w:val="en-GB"/>
        </w:rPr>
        <w:t>37% of those who progressed), followed by Essential hypertension (n=</w:t>
      </w:r>
      <w:r w:rsidR="00F91087" w:rsidRPr="00E97AF3">
        <w:rPr>
          <w:lang w:val="en-GB"/>
        </w:rPr>
        <w:t>47,215</w:t>
      </w:r>
      <w:r w:rsidRPr="00E97AF3">
        <w:rPr>
          <w:lang w:val="en-GB"/>
        </w:rPr>
        <w:t xml:space="preserve">; </w:t>
      </w:r>
      <w:r w:rsidR="00F91087" w:rsidRPr="00E97AF3">
        <w:rPr>
          <w:lang w:val="en-GB"/>
        </w:rPr>
        <w:t>4</w:t>
      </w:r>
      <w:r w:rsidR="00AD0458">
        <w:rPr>
          <w:lang w:val="en-GB"/>
        </w:rPr>
        <w:t>.</w:t>
      </w:r>
      <w:r w:rsidR="00F91087" w:rsidRPr="00E97AF3">
        <w:rPr>
          <w:lang w:val="en-GB"/>
        </w:rPr>
        <w:t>25</w:t>
      </w:r>
      <w:r w:rsidRPr="00E97AF3">
        <w:rPr>
          <w:lang w:val="en-GB"/>
        </w:rPr>
        <w:t>%) and Osteoarthritis (n=41,751; 3</w:t>
      </w:r>
      <w:r w:rsidR="00AD0458">
        <w:rPr>
          <w:lang w:val="en-GB"/>
        </w:rPr>
        <w:t>.</w:t>
      </w:r>
      <w:r w:rsidRPr="00E97AF3">
        <w:rPr>
          <w:lang w:val="en-GB"/>
        </w:rPr>
        <w:t>76%)</w:t>
      </w:r>
      <w:r w:rsidR="00AD0458">
        <w:rPr>
          <w:lang w:val="en-GB"/>
        </w:rPr>
        <w:t>.</w:t>
      </w:r>
    </w:p>
    <w:p w14:paraId="0125BF99" w14:textId="016CDDF2" w:rsidR="00097272" w:rsidRPr="00E97AF3" w:rsidRDefault="005A1300" w:rsidP="00097272">
      <w:pPr>
        <w:rPr>
          <w:lang w:val="en-GB"/>
        </w:rPr>
      </w:pPr>
      <w:r w:rsidRPr="00E97AF3">
        <w:rPr>
          <w:noProof/>
          <w:lang w:val="ca-ES" w:eastAsia="ca-ES"/>
        </w:rPr>
        <w:drawing>
          <wp:inline distT="0" distB="0" distL="0" distR="0" wp14:anchorId="488B4197" wp14:editId="5C679E22">
            <wp:extent cx="5225396" cy="4477319"/>
            <wp:effectExtent l="0" t="0" r="0" b="0"/>
            <wp:docPr id="10" name="Imatge 10" descr="C:\Projectes\008_MMP_Evolution\outputs\Diseases_pre_post\TopDisease_trigger_80strata_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jectes\008_MMP_Evolution\outputs\Diseases_pre_post\TopDisease_trigger_80strata_chan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0517" cy="4498844"/>
                    </a:xfrm>
                    <a:prstGeom prst="rect">
                      <a:avLst/>
                    </a:prstGeom>
                    <a:noFill/>
                    <a:ln>
                      <a:noFill/>
                    </a:ln>
                  </pic:spPr>
                </pic:pic>
              </a:graphicData>
            </a:graphic>
          </wp:inline>
        </w:drawing>
      </w:r>
    </w:p>
    <w:p w14:paraId="20E0ABEF" w14:textId="77777777" w:rsidR="00BD7E78" w:rsidRPr="00E97AF3" w:rsidRDefault="00BD7E78">
      <w:pPr>
        <w:spacing w:line="259" w:lineRule="auto"/>
        <w:jc w:val="left"/>
        <w:rPr>
          <w:lang w:val="en-GB"/>
        </w:rPr>
      </w:pPr>
      <w:r w:rsidRPr="00E97AF3">
        <w:rPr>
          <w:lang w:val="en-GB"/>
        </w:rPr>
        <w:br w:type="page"/>
      </w:r>
    </w:p>
    <w:p w14:paraId="589F34FF" w14:textId="4F3BC41A" w:rsidR="00816BF5" w:rsidRDefault="00816BF5" w:rsidP="00816BF5">
      <w:pPr>
        <w:pStyle w:val="Ttol2"/>
        <w:rPr>
          <w:color w:val="000000" w:themeColor="text1"/>
          <w:lang w:val="en-GB"/>
        </w:rPr>
      </w:pPr>
      <w:bookmarkStart w:id="15" w:name="_Toc210668927"/>
      <w:r>
        <w:rPr>
          <w:lang w:val="en-GB"/>
        </w:rPr>
        <w:lastRenderedPageBreak/>
        <w:t>Figure S4</w:t>
      </w:r>
      <w:r w:rsidR="00AD0458">
        <w:rPr>
          <w:lang w:val="en-GB"/>
        </w:rPr>
        <w:t>.</w:t>
      </w:r>
      <w:r w:rsidRPr="00E97AF3">
        <w:rPr>
          <w:lang w:val="en-GB"/>
        </w:rPr>
        <w:t xml:space="preserve"> </w:t>
      </w:r>
      <w:r>
        <w:t>Performance of the models for predicting transition to high/very-high clinical risk (Adjusted Morbidity Groups [AMG] index</w:t>
      </w:r>
      <w:r w:rsidRPr="005B3579">
        <w:t xml:space="preserve"> </w:t>
      </w:r>
      <w:r w:rsidRPr="005B3579">
        <w:rPr>
          <w:lang w:val="en"/>
        </w:rPr>
        <w:t>≥</w:t>
      </w:r>
      <w:r w:rsidRPr="002E30DF">
        <w:rPr>
          <w:color w:val="000000" w:themeColor="text1"/>
          <w:lang w:val="en-GB"/>
        </w:rPr>
        <w:t>P</w:t>
      </w:r>
      <w:r w:rsidRPr="002E30DF">
        <w:rPr>
          <w:color w:val="000000" w:themeColor="text1"/>
          <w:vertAlign w:val="subscript"/>
          <w:lang w:val="en-GB"/>
        </w:rPr>
        <w:t>80</w:t>
      </w:r>
      <w:r w:rsidRPr="002E30DF">
        <w:rPr>
          <w:color w:val="000000" w:themeColor="text1"/>
          <w:lang w:val="en-GB"/>
        </w:rPr>
        <w:t>)</w:t>
      </w:r>
      <w:bookmarkEnd w:id="15"/>
    </w:p>
    <w:p w14:paraId="6EC10BB3" w14:textId="3E0EC815" w:rsidR="00816BF5" w:rsidRPr="00CE6897" w:rsidRDefault="00816BF5" w:rsidP="00874133">
      <w:pPr>
        <w:rPr>
          <w:lang w:val="en-GB"/>
        </w:rPr>
      </w:pPr>
      <w:r w:rsidRPr="00CE6897">
        <w:rPr>
          <w:lang w:val="en-GB"/>
        </w:rPr>
        <w:t>Point estimates of the area under the precision-recall and ROC curves for the complexity model in the general (solid line) and dedicated (dotted line) forms for the populations used to produce the dedicated models (i</w:t>
      </w:r>
      <w:r w:rsidR="00AD0458">
        <w:rPr>
          <w:lang w:val="en-GB"/>
        </w:rPr>
        <w:t>.</w:t>
      </w:r>
      <w:r w:rsidRPr="00CE6897">
        <w:rPr>
          <w:lang w:val="en-GB"/>
        </w:rPr>
        <w:t>e</w:t>
      </w:r>
      <w:r w:rsidR="00AD0458">
        <w:rPr>
          <w:lang w:val="en-GB"/>
        </w:rPr>
        <w:t>.</w:t>
      </w:r>
      <w:r w:rsidRPr="00CE6897">
        <w:rPr>
          <w:lang w:val="en-GB"/>
        </w:rPr>
        <w:t>, individuals with a given disease)</w:t>
      </w:r>
      <w:r w:rsidR="00AD0458">
        <w:rPr>
          <w:lang w:val="en-GB"/>
        </w:rPr>
        <w:t>.</w:t>
      </w:r>
    </w:p>
    <w:p w14:paraId="7EEAD5E6" w14:textId="03D8F132" w:rsidR="00816BF5" w:rsidRDefault="00C771BB" w:rsidP="00816BF5">
      <w:pPr>
        <w:rPr>
          <w:lang w:val="en-GB"/>
        </w:rPr>
      </w:pPr>
      <w:r>
        <w:rPr>
          <w:noProof/>
          <w:lang w:val="ca-ES" w:eastAsia="ca-ES"/>
        </w:rPr>
        <w:drawing>
          <wp:inline distT="0" distB="0" distL="0" distR="0" wp14:anchorId="1A74C380" wp14:editId="3ACA7435">
            <wp:extent cx="5391785" cy="4572000"/>
            <wp:effectExtent l="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785" cy="4572000"/>
                    </a:xfrm>
                    <a:prstGeom prst="rect">
                      <a:avLst/>
                    </a:prstGeom>
                    <a:noFill/>
                    <a:ln>
                      <a:noFill/>
                    </a:ln>
                  </pic:spPr>
                </pic:pic>
              </a:graphicData>
            </a:graphic>
          </wp:inline>
        </w:drawing>
      </w:r>
    </w:p>
    <w:p w14:paraId="2F34A981" w14:textId="630B597B" w:rsidR="00065389" w:rsidRPr="00E97AF3" w:rsidRDefault="00065389">
      <w:pPr>
        <w:spacing w:line="259" w:lineRule="auto"/>
        <w:jc w:val="left"/>
        <w:rPr>
          <w:lang w:val="en-GB"/>
        </w:rPr>
      </w:pPr>
    </w:p>
    <w:p w14:paraId="71B5E5A4" w14:textId="2B44F5AE" w:rsidR="00816BF5" w:rsidRPr="00E97AF3" w:rsidRDefault="00816BF5" w:rsidP="00816BF5">
      <w:pPr>
        <w:pStyle w:val="Ttol2"/>
        <w:rPr>
          <w:lang w:val="en-GB"/>
        </w:rPr>
      </w:pPr>
      <w:bookmarkStart w:id="16" w:name="_Toc210668928"/>
      <w:r w:rsidRPr="00E97AF3">
        <w:rPr>
          <w:lang w:val="en-GB"/>
        </w:rPr>
        <w:lastRenderedPageBreak/>
        <w:t>Figure S</w:t>
      </w:r>
      <w:r>
        <w:rPr>
          <w:lang w:val="en-GB"/>
        </w:rPr>
        <w:t>5</w:t>
      </w:r>
      <w:r w:rsidR="00AD0458">
        <w:rPr>
          <w:lang w:val="en-GB"/>
        </w:rPr>
        <w:t>.</w:t>
      </w:r>
      <w:r w:rsidRPr="00E97AF3">
        <w:rPr>
          <w:lang w:val="en-GB"/>
        </w:rPr>
        <w:t xml:space="preserve"> Distribution of diagnostic pairs (A) and triads (B)</w:t>
      </w:r>
      <w:bookmarkEnd w:id="16"/>
    </w:p>
    <w:p w14:paraId="07F79E7B" w14:textId="293E7B17" w:rsidR="00EA6A83" w:rsidRPr="00816BF5" w:rsidRDefault="00816BF5" w:rsidP="00816BF5">
      <w:pPr>
        <w:rPr>
          <w:lang w:val="en-GB"/>
        </w:rPr>
      </w:pPr>
      <w:r w:rsidRPr="00E97AF3">
        <w:rPr>
          <w:noProof/>
          <w:lang w:val="ca-ES" w:eastAsia="ca-ES"/>
        </w:rPr>
        <w:drawing>
          <wp:inline distT="0" distB="0" distL="0" distR="0" wp14:anchorId="7593E049" wp14:editId="4510366C">
            <wp:extent cx="5400040" cy="2734310"/>
            <wp:effectExtent l="0" t="0" r="0" b="889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734310"/>
                    </a:xfrm>
                    <a:prstGeom prst="rect">
                      <a:avLst/>
                    </a:prstGeom>
                    <a:noFill/>
                    <a:ln>
                      <a:noFill/>
                    </a:ln>
                  </pic:spPr>
                </pic:pic>
              </a:graphicData>
            </a:graphic>
          </wp:inline>
        </w:drawing>
      </w:r>
    </w:p>
    <w:p w14:paraId="03B549D9" w14:textId="407D0B05" w:rsidR="0054741C" w:rsidRPr="00DA122A" w:rsidRDefault="0054741C" w:rsidP="00DA122A">
      <w:pPr>
        <w:pStyle w:val="Ttol2"/>
      </w:pPr>
      <w:bookmarkStart w:id="17" w:name="_Toc210668929"/>
      <w:r w:rsidRPr="00DA122A">
        <w:t>Figure S</w:t>
      </w:r>
      <w:r w:rsidR="00566A68" w:rsidRPr="00DA122A">
        <w:t>6</w:t>
      </w:r>
      <w:r w:rsidR="00AD0458">
        <w:t>.</w:t>
      </w:r>
      <w:r w:rsidRPr="00DA122A">
        <w:t xml:space="preserve"> Specific network diseases of the 20 most prevalent conditions at the end of the study period </w:t>
      </w:r>
      <w:r w:rsidR="00AD0458">
        <w:t>.</w:t>
      </w:r>
      <w:bookmarkEnd w:id="17"/>
    </w:p>
    <w:p w14:paraId="6B01DFED" w14:textId="53D4295A" w:rsidR="00EA6A83" w:rsidRPr="00816BF5" w:rsidRDefault="00EA6A83" w:rsidP="0054741C">
      <w:pPr>
        <w:rPr>
          <w:sz w:val="28"/>
          <w:lang w:val="en-GB"/>
        </w:rPr>
      </w:pPr>
    </w:p>
    <w:p w14:paraId="3815EA17" w14:textId="11AD902C" w:rsidR="00065389" w:rsidRPr="00E97AF3" w:rsidRDefault="00065389" w:rsidP="00065389">
      <w:pPr>
        <w:jc w:val="center"/>
        <w:rPr>
          <w:b/>
          <w:lang w:val="en-GB"/>
        </w:rPr>
      </w:pPr>
      <w:r w:rsidRPr="00E97AF3">
        <w:rPr>
          <w:b/>
          <w:lang w:val="en-GB"/>
        </w:rPr>
        <w:t>Other nutritional; endocrine; and metabolic disorders</w:t>
      </w:r>
    </w:p>
    <w:p w14:paraId="091A8975" w14:textId="5C5EEB81" w:rsidR="00065389" w:rsidRDefault="00AD0458" w:rsidP="00816BF5">
      <w:pPr>
        <w:jc w:val="center"/>
        <w:rPr>
          <w:b/>
          <w:noProof/>
          <w:lang w:val="en-GB"/>
        </w:rPr>
      </w:pPr>
      <w:r>
        <w:rPr>
          <w:b/>
          <w:noProof/>
          <w:lang w:val="en-GB"/>
        </w:rPr>
        <w:pict w14:anchorId="50A61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72.95pt">
            <v:imagedata r:id="rId14" o:title="Nutritional 27JAN2025"/>
          </v:shape>
        </w:pict>
      </w:r>
    </w:p>
    <w:p w14:paraId="407DA993" w14:textId="77777777" w:rsidR="00840649" w:rsidRPr="00E97AF3" w:rsidRDefault="00840649" w:rsidP="00816BF5">
      <w:pPr>
        <w:jc w:val="center"/>
        <w:rPr>
          <w:b/>
          <w:lang w:val="en-GB"/>
        </w:rPr>
      </w:pPr>
    </w:p>
    <w:p w14:paraId="4CFBE9CE" w14:textId="6F2BFE38" w:rsidR="00065389" w:rsidRPr="00E97AF3" w:rsidRDefault="00065389" w:rsidP="00065389">
      <w:pPr>
        <w:jc w:val="center"/>
        <w:rPr>
          <w:b/>
          <w:lang w:val="en-GB"/>
        </w:rPr>
      </w:pPr>
      <w:r w:rsidRPr="00E97AF3">
        <w:rPr>
          <w:b/>
          <w:lang w:val="en-GB"/>
        </w:rPr>
        <w:t>Anxiety disorders</w:t>
      </w:r>
    </w:p>
    <w:p w14:paraId="05C48A55" w14:textId="406376E9" w:rsidR="00065389" w:rsidRPr="00E97AF3" w:rsidRDefault="00AD0458" w:rsidP="00065389">
      <w:pPr>
        <w:jc w:val="center"/>
        <w:rPr>
          <w:b/>
          <w:lang w:val="en-GB"/>
        </w:rPr>
      </w:pPr>
      <w:r>
        <w:rPr>
          <w:b/>
          <w:noProof/>
          <w:lang w:val="en-GB"/>
        </w:rPr>
        <w:lastRenderedPageBreak/>
        <w:pict w14:anchorId="1AEBBA97">
          <v:shape id="_x0000_i1026" type="#_x0000_t75" style="width:427.15pt;height:262.75pt">
            <v:imagedata r:id="rId15" o:title="Anxiety disorders 27JAN2025"/>
          </v:shape>
        </w:pict>
      </w:r>
    </w:p>
    <w:p w14:paraId="42D58F01" w14:textId="77777777" w:rsidR="00065389" w:rsidRPr="00E97AF3" w:rsidRDefault="00065389" w:rsidP="00065389">
      <w:pPr>
        <w:jc w:val="center"/>
        <w:rPr>
          <w:b/>
          <w:lang w:val="en-GB"/>
        </w:rPr>
      </w:pPr>
    </w:p>
    <w:p w14:paraId="3169BCAB" w14:textId="7E998DD6" w:rsidR="00065389" w:rsidRPr="00E97AF3" w:rsidRDefault="00065389" w:rsidP="00065389">
      <w:pPr>
        <w:jc w:val="center"/>
        <w:rPr>
          <w:b/>
          <w:lang w:val="en-GB"/>
        </w:rPr>
      </w:pPr>
      <w:r w:rsidRPr="00E97AF3">
        <w:rPr>
          <w:b/>
          <w:lang w:val="en-GB"/>
        </w:rPr>
        <w:t>Essential hypertension</w:t>
      </w:r>
      <w:r w:rsidR="00AD0458">
        <w:rPr>
          <w:b/>
          <w:noProof/>
          <w:lang w:val="en-GB"/>
        </w:rPr>
        <w:pict w14:anchorId="17431DFF">
          <v:shape id="_x0000_i1027" type="#_x0000_t75" style="width:424.5pt;height:334.75pt">
            <v:imagedata r:id="rId16" o:title="Essential hypertension 27JAN2025"/>
          </v:shape>
        </w:pict>
      </w:r>
    </w:p>
    <w:p w14:paraId="7D8D812D" w14:textId="38A184A4" w:rsidR="00065389" w:rsidRPr="00E97AF3" w:rsidRDefault="00065389" w:rsidP="00065389">
      <w:pPr>
        <w:jc w:val="center"/>
        <w:rPr>
          <w:b/>
          <w:lang w:val="en-GB"/>
        </w:rPr>
      </w:pPr>
    </w:p>
    <w:p w14:paraId="276A6192" w14:textId="62E40624" w:rsidR="00065389" w:rsidRPr="00E97AF3" w:rsidRDefault="00065389" w:rsidP="00065389">
      <w:pPr>
        <w:jc w:val="center"/>
        <w:rPr>
          <w:b/>
          <w:lang w:val="en-GB"/>
        </w:rPr>
      </w:pPr>
      <w:r w:rsidRPr="00E97AF3">
        <w:rPr>
          <w:b/>
          <w:lang w:val="en-GB"/>
        </w:rPr>
        <w:lastRenderedPageBreak/>
        <w:t>Substance-related disorders</w:t>
      </w:r>
    </w:p>
    <w:p w14:paraId="3754BBC3" w14:textId="1440FCD8" w:rsidR="00065389" w:rsidRDefault="00AD0458" w:rsidP="00065389">
      <w:pPr>
        <w:jc w:val="center"/>
        <w:rPr>
          <w:b/>
          <w:noProof/>
          <w:lang w:val="en-GB"/>
        </w:rPr>
      </w:pPr>
      <w:r>
        <w:rPr>
          <w:b/>
          <w:noProof/>
          <w:lang w:val="en-GB"/>
        </w:rPr>
        <w:pict w14:anchorId="1C811D86">
          <v:shape id="_x0000_i1028" type="#_x0000_t75" style="width:361.05pt;height:222.45pt">
            <v:imagedata r:id="rId17" o:title="Substance-related disorders 27JAN2025"/>
          </v:shape>
        </w:pict>
      </w:r>
    </w:p>
    <w:p w14:paraId="1C30A7FD" w14:textId="77777777" w:rsidR="00840649" w:rsidRPr="00E97AF3" w:rsidRDefault="00840649" w:rsidP="00065389">
      <w:pPr>
        <w:jc w:val="center"/>
        <w:rPr>
          <w:b/>
          <w:lang w:val="en-GB"/>
        </w:rPr>
      </w:pPr>
    </w:p>
    <w:p w14:paraId="0BFD2A1E" w14:textId="060B364D" w:rsidR="00065389" w:rsidRPr="00E97AF3" w:rsidRDefault="00065389" w:rsidP="00065389">
      <w:pPr>
        <w:jc w:val="center"/>
        <w:rPr>
          <w:b/>
          <w:lang w:val="en-GB"/>
        </w:rPr>
      </w:pPr>
      <w:r w:rsidRPr="00E97AF3">
        <w:rPr>
          <w:b/>
          <w:lang w:val="en-GB"/>
        </w:rPr>
        <w:t>Other Upper respiratory disease</w:t>
      </w:r>
    </w:p>
    <w:p w14:paraId="0F2FC15F" w14:textId="1AA789AC" w:rsidR="00065389" w:rsidRPr="00E97AF3" w:rsidRDefault="00AD0458" w:rsidP="00065389">
      <w:pPr>
        <w:jc w:val="center"/>
        <w:rPr>
          <w:b/>
          <w:lang w:val="en-GB"/>
        </w:rPr>
      </w:pPr>
      <w:r>
        <w:rPr>
          <w:b/>
          <w:noProof/>
          <w:lang w:val="en-GB"/>
        </w:rPr>
        <w:pict w14:anchorId="58FB0391">
          <v:shape id="_x0000_i1029" type="#_x0000_t75" style="width:425pt;height:244.5pt">
            <v:imagedata r:id="rId18" o:title="Other upper respiratory"/>
          </v:shape>
        </w:pict>
      </w:r>
    </w:p>
    <w:p w14:paraId="714A7BB0" w14:textId="63258F4A" w:rsidR="00065389" w:rsidRDefault="00065389">
      <w:pPr>
        <w:spacing w:line="259" w:lineRule="auto"/>
        <w:jc w:val="left"/>
        <w:rPr>
          <w:b/>
          <w:lang w:val="en-GB"/>
        </w:rPr>
      </w:pPr>
    </w:p>
    <w:p w14:paraId="32F6F050" w14:textId="3E77D847" w:rsidR="00840649" w:rsidRDefault="00840649">
      <w:pPr>
        <w:spacing w:line="259" w:lineRule="auto"/>
        <w:jc w:val="left"/>
        <w:rPr>
          <w:b/>
          <w:lang w:val="en-GB"/>
        </w:rPr>
      </w:pPr>
    </w:p>
    <w:p w14:paraId="16B0FDBB" w14:textId="4F40100E" w:rsidR="00840649" w:rsidRDefault="00840649">
      <w:pPr>
        <w:spacing w:line="259" w:lineRule="auto"/>
        <w:jc w:val="left"/>
        <w:rPr>
          <w:b/>
          <w:lang w:val="en-GB"/>
        </w:rPr>
      </w:pPr>
    </w:p>
    <w:p w14:paraId="67B4D428" w14:textId="77777777" w:rsidR="00840649" w:rsidRPr="00E97AF3" w:rsidRDefault="00840649">
      <w:pPr>
        <w:spacing w:line="259" w:lineRule="auto"/>
        <w:jc w:val="left"/>
        <w:rPr>
          <w:b/>
          <w:lang w:val="en-GB"/>
        </w:rPr>
      </w:pPr>
    </w:p>
    <w:p w14:paraId="772ECBB6" w14:textId="0657CC6F" w:rsidR="00065389" w:rsidRPr="00E97AF3" w:rsidRDefault="00065389" w:rsidP="00065389">
      <w:pPr>
        <w:jc w:val="center"/>
        <w:rPr>
          <w:b/>
          <w:lang w:val="en-GB"/>
        </w:rPr>
      </w:pPr>
      <w:r w:rsidRPr="00E97AF3">
        <w:rPr>
          <w:b/>
          <w:lang w:val="en-GB"/>
        </w:rPr>
        <w:t>Osteoarthritis</w:t>
      </w:r>
    </w:p>
    <w:p w14:paraId="61455E08" w14:textId="1E8B75E3" w:rsidR="00065389" w:rsidRPr="00E97AF3" w:rsidRDefault="00AD0458" w:rsidP="00065389">
      <w:pPr>
        <w:jc w:val="center"/>
        <w:rPr>
          <w:b/>
          <w:lang w:val="en-GB"/>
        </w:rPr>
      </w:pPr>
      <w:r>
        <w:rPr>
          <w:b/>
          <w:noProof/>
          <w:lang w:val="en-GB"/>
        </w:rPr>
        <w:lastRenderedPageBreak/>
        <w:pict w14:anchorId="3180928D">
          <v:shape id="_x0000_i1030" type="#_x0000_t75" style="width:424.5pt;height:220.3pt">
            <v:imagedata r:id="rId19" o:title="Osteoarthritis"/>
          </v:shape>
        </w:pict>
      </w:r>
    </w:p>
    <w:p w14:paraId="7E7CE3AC" w14:textId="2307025F" w:rsidR="00065389" w:rsidRPr="00E97AF3" w:rsidRDefault="00065389">
      <w:pPr>
        <w:spacing w:line="259" w:lineRule="auto"/>
        <w:jc w:val="left"/>
        <w:rPr>
          <w:b/>
          <w:lang w:val="en-GB"/>
        </w:rPr>
      </w:pPr>
    </w:p>
    <w:p w14:paraId="41A2C49D" w14:textId="3B6DCDCC" w:rsidR="00065389" w:rsidRPr="00E97AF3" w:rsidRDefault="00065389" w:rsidP="00065389">
      <w:pPr>
        <w:jc w:val="center"/>
        <w:rPr>
          <w:b/>
          <w:lang w:val="en-GB"/>
        </w:rPr>
      </w:pPr>
      <w:r w:rsidRPr="00E97AF3">
        <w:rPr>
          <w:b/>
          <w:lang w:val="en-GB"/>
        </w:rPr>
        <w:t>Thyroid disorders</w:t>
      </w:r>
    </w:p>
    <w:p w14:paraId="1732BCB5" w14:textId="624CECC6" w:rsidR="00065389" w:rsidRPr="00E97AF3" w:rsidRDefault="00AD0458" w:rsidP="00065389">
      <w:pPr>
        <w:jc w:val="center"/>
        <w:rPr>
          <w:b/>
          <w:lang w:val="en-GB"/>
        </w:rPr>
      </w:pPr>
      <w:r>
        <w:rPr>
          <w:b/>
          <w:noProof/>
          <w:lang w:val="en-GB"/>
        </w:rPr>
        <w:pict w14:anchorId="13E08AD2">
          <v:shape id="_x0000_i1031" type="#_x0000_t75" style="width:424.5pt;height:243.95pt">
            <v:imagedata r:id="rId20" o:title="Tyroid disorders"/>
          </v:shape>
        </w:pict>
      </w:r>
    </w:p>
    <w:p w14:paraId="01871C19" w14:textId="77777777" w:rsidR="00065389" w:rsidRPr="00E97AF3" w:rsidRDefault="00065389" w:rsidP="00065389">
      <w:pPr>
        <w:jc w:val="center"/>
        <w:rPr>
          <w:b/>
          <w:lang w:val="en-GB"/>
        </w:rPr>
      </w:pPr>
    </w:p>
    <w:p w14:paraId="47D61510" w14:textId="18373227" w:rsidR="00065389" w:rsidRPr="00E97AF3" w:rsidRDefault="00065389">
      <w:pPr>
        <w:spacing w:line="259" w:lineRule="auto"/>
        <w:jc w:val="left"/>
        <w:rPr>
          <w:b/>
          <w:lang w:val="en-GB"/>
        </w:rPr>
      </w:pPr>
    </w:p>
    <w:p w14:paraId="60A044EA" w14:textId="77777777" w:rsidR="00840649" w:rsidRDefault="00840649" w:rsidP="00065389">
      <w:pPr>
        <w:jc w:val="center"/>
        <w:rPr>
          <w:b/>
          <w:lang w:val="en-GB"/>
        </w:rPr>
      </w:pPr>
    </w:p>
    <w:p w14:paraId="5AAB0C53" w14:textId="77777777" w:rsidR="00840649" w:rsidRDefault="00840649" w:rsidP="00065389">
      <w:pPr>
        <w:jc w:val="center"/>
        <w:rPr>
          <w:b/>
          <w:lang w:val="en-GB"/>
        </w:rPr>
      </w:pPr>
    </w:p>
    <w:p w14:paraId="5055F98E" w14:textId="3386EFD2" w:rsidR="00065389" w:rsidRPr="00E97AF3" w:rsidRDefault="00065389" w:rsidP="00065389">
      <w:pPr>
        <w:jc w:val="center"/>
        <w:rPr>
          <w:b/>
          <w:lang w:val="en-GB"/>
        </w:rPr>
      </w:pPr>
      <w:r w:rsidRPr="00E97AF3">
        <w:rPr>
          <w:b/>
          <w:lang w:val="en-GB"/>
        </w:rPr>
        <w:t>Miscellaneous mental health disorders</w:t>
      </w:r>
    </w:p>
    <w:p w14:paraId="056CD0A7" w14:textId="435D6459" w:rsidR="00065389" w:rsidRPr="00E97AF3" w:rsidRDefault="00AD0458" w:rsidP="00065389">
      <w:pPr>
        <w:jc w:val="center"/>
        <w:rPr>
          <w:b/>
          <w:lang w:val="en-GB"/>
        </w:rPr>
      </w:pPr>
      <w:r>
        <w:rPr>
          <w:b/>
          <w:noProof/>
          <w:lang w:val="en-GB"/>
        </w:rPr>
        <w:lastRenderedPageBreak/>
        <w:pict w14:anchorId="637F062E">
          <v:shape id="_x0000_i1032" type="#_x0000_t75" style="width:424.5pt;height:266.5pt">
            <v:imagedata r:id="rId21" o:title="Mental health disorders"/>
          </v:shape>
        </w:pict>
      </w:r>
    </w:p>
    <w:p w14:paraId="41B618C5" w14:textId="74DE2CE2" w:rsidR="00065389" w:rsidRPr="00E97AF3" w:rsidRDefault="00065389">
      <w:pPr>
        <w:spacing w:line="259" w:lineRule="auto"/>
        <w:jc w:val="left"/>
        <w:rPr>
          <w:b/>
          <w:lang w:val="en-GB"/>
        </w:rPr>
      </w:pPr>
    </w:p>
    <w:p w14:paraId="5759F685" w14:textId="188BAE9A" w:rsidR="00065389" w:rsidRPr="00E97AF3" w:rsidRDefault="00065389" w:rsidP="00065389">
      <w:pPr>
        <w:jc w:val="center"/>
        <w:rPr>
          <w:b/>
          <w:lang w:val="en-GB"/>
        </w:rPr>
      </w:pPr>
      <w:r w:rsidRPr="00E97AF3">
        <w:rPr>
          <w:b/>
          <w:lang w:val="en-GB"/>
        </w:rPr>
        <w:t>Mood disorders</w:t>
      </w:r>
    </w:p>
    <w:p w14:paraId="676B9922" w14:textId="4BE53F95" w:rsidR="00065389" w:rsidRPr="00E97AF3" w:rsidRDefault="00AD0458" w:rsidP="00065389">
      <w:pPr>
        <w:jc w:val="center"/>
        <w:rPr>
          <w:b/>
          <w:lang w:val="en-GB"/>
        </w:rPr>
      </w:pPr>
      <w:r>
        <w:rPr>
          <w:b/>
          <w:noProof/>
          <w:lang w:val="en-GB"/>
        </w:rPr>
        <w:pict w14:anchorId="6E6098D6">
          <v:shape id="_x0000_i1033" type="#_x0000_t75" style="width:357.3pt;height:295pt">
            <v:imagedata r:id="rId22" o:title="Mood disorders"/>
          </v:shape>
        </w:pict>
      </w:r>
    </w:p>
    <w:p w14:paraId="551F5BA1" w14:textId="77777777" w:rsidR="00065389" w:rsidRPr="00E97AF3" w:rsidRDefault="00065389" w:rsidP="00065389">
      <w:pPr>
        <w:jc w:val="center"/>
        <w:rPr>
          <w:b/>
          <w:lang w:val="en-GB"/>
        </w:rPr>
      </w:pPr>
    </w:p>
    <w:p w14:paraId="65D56A62" w14:textId="171AF817" w:rsidR="00065389" w:rsidRPr="00E97AF3" w:rsidRDefault="00065389" w:rsidP="00065389">
      <w:pPr>
        <w:jc w:val="center"/>
        <w:rPr>
          <w:b/>
          <w:lang w:val="en-GB"/>
        </w:rPr>
      </w:pPr>
      <w:r w:rsidRPr="00E97AF3">
        <w:rPr>
          <w:b/>
          <w:lang w:val="en-GB"/>
        </w:rPr>
        <w:t>Spondylosis; intervertebral disc disorders; other back problems</w:t>
      </w:r>
    </w:p>
    <w:p w14:paraId="00AC3631" w14:textId="64E18224" w:rsidR="00065389" w:rsidRPr="00E97AF3" w:rsidRDefault="00AD0458" w:rsidP="00065389">
      <w:pPr>
        <w:jc w:val="center"/>
        <w:rPr>
          <w:b/>
          <w:lang w:val="en-GB"/>
        </w:rPr>
      </w:pPr>
      <w:r>
        <w:rPr>
          <w:b/>
          <w:noProof/>
          <w:lang w:val="en-GB"/>
        </w:rPr>
        <w:lastRenderedPageBreak/>
        <w:pict w14:anchorId="4F3E9B58">
          <v:shape id="_x0000_i1034" type="#_x0000_t75" style="width:424.5pt;height:262.2pt">
            <v:imagedata r:id="rId23" o:title="Spondylosis"/>
          </v:shape>
        </w:pict>
      </w:r>
    </w:p>
    <w:p w14:paraId="6A1A1C4A" w14:textId="77777777" w:rsidR="00065389" w:rsidRPr="00E97AF3" w:rsidRDefault="00065389" w:rsidP="00065389">
      <w:pPr>
        <w:jc w:val="center"/>
        <w:rPr>
          <w:b/>
          <w:lang w:val="en-GB"/>
        </w:rPr>
      </w:pPr>
    </w:p>
    <w:p w14:paraId="61942944" w14:textId="784BAA7E" w:rsidR="00065389" w:rsidRPr="00E97AF3" w:rsidRDefault="00065389" w:rsidP="00065389">
      <w:pPr>
        <w:jc w:val="center"/>
        <w:rPr>
          <w:b/>
          <w:lang w:val="en-GB"/>
        </w:rPr>
      </w:pPr>
      <w:r w:rsidRPr="00E97AF3">
        <w:rPr>
          <w:b/>
          <w:lang w:val="en-GB"/>
        </w:rPr>
        <w:t>Diabetes mellitus without complication</w:t>
      </w:r>
    </w:p>
    <w:p w14:paraId="09D89A50" w14:textId="0D084B38" w:rsidR="00065389" w:rsidRPr="00E97AF3" w:rsidRDefault="00AD0458" w:rsidP="00065389">
      <w:pPr>
        <w:jc w:val="center"/>
        <w:rPr>
          <w:b/>
          <w:lang w:val="en-GB"/>
        </w:rPr>
      </w:pPr>
      <w:r>
        <w:rPr>
          <w:b/>
          <w:noProof/>
          <w:lang w:val="en-GB"/>
        </w:rPr>
        <w:pict w14:anchorId="260C81FF">
          <v:shape id="_x0000_i1035" type="#_x0000_t75" style="width:425pt;height:325.6pt">
            <v:imagedata r:id="rId24" o:title="Diabetes"/>
          </v:shape>
        </w:pict>
      </w:r>
    </w:p>
    <w:p w14:paraId="123A685B" w14:textId="77777777" w:rsidR="00065389" w:rsidRPr="00E97AF3" w:rsidRDefault="00065389" w:rsidP="00065389">
      <w:pPr>
        <w:jc w:val="center"/>
        <w:rPr>
          <w:b/>
          <w:lang w:val="en-GB"/>
        </w:rPr>
      </w:pPr>
    </w:p>
    <w:p w14:paraId="2A0D4203" w14:textId="4D148301" w:rsidR="00065389" w:rsidRPr="00E97AF3" w:rsidRDefault="00065389" w:rsidP="00065389">
      <w:pPr>
        <w:jc w:val="center"/>
        <w:rPr>
          <w:b/>
          <w:lang w:val="en-GB"/>
        </w:rPr>
      </w:pPr>
      <w:r w:rsidRPr="00E97AF3">
        <w:rPr>
          <w:b/>
          <w:lang w:val="en-GB"/>
        </w:rPr>
        <w:lastRenderedPageBreak/>
        <w:t>Other ear and sense organ disorders</w:t>
      </w:r>
    </w:p>
    <w:p w14:paraId="26F29E2C" w14:textId="64C68C2B" w:rsidR="00065389" w:rsidRPr="00E97AF3" w:rsidRDefault="00AD0458" w:rsidP="00065389">
      <w:pPr>
        <w:jc w:val="center"/>
        <w:rPr>
          <w:b/>
          <w:lang w:val="en-GB"/>
        </w:rPr>
      </w:pPr>
      <w:r>
        <w:rPr>
          <w:b/>
          <w:noProof/>
          <w:lang w:val="en-GB"/>
        </w:rPr>
        <w:pict w14:anchorId="68A65C8C">
          <v:shape id="_x0000_i1036" type="#_x0000_t75" style="width:336.9pt;height:255.75pt">
            <v:imagedata r:id="rId25" o:title="Ear and others"/>
          </v:shape>
        </w:pict>
      </w:r>
    </w:p>
    <w:p w14:paraId="674F2088" w14:textId="0EF61460" w:rsidR="00065389" w:rsidRPr="00E97AF3" w:rsidRDefault="00065389" w:rsidP="00065389">
      <w:pPr>
        <w:jc w:val="center"/>
        <w:rPr>
          <w:b/>
          <w:lang w:val="en-GB"/>
        </w:rPr>
      </w:pPr>
      <w:r w:rsidRPr="00E97AF3">
        <w:rPr>
          <w:b/>
          <w:lang w:val="en-GB"/>
        </w:rPr>
        <w:t>Cataract</w:t>
      </w:r>
    </w:p>
    <w:p w14:paraId="117865D1" w14:textId="3699A3F2" w:rsidR="00065389" w:rsidRPr="00E97AF3" w:rsidRDefault="00AD0458" w:rsidP="00065389">
      <w:pPr>
        <w:jc w:val="center"/>
        <w:rPr>
          <w:b/>
          <w:lang w:val="en-GB"/>
        </w:rPr>
      </w:pPr>
      <w:r>
        <w:rPr>
          <w:b/>
          <w:noProof/>
          <w:lang w:val="en-GB"/>
        </w:rPr>
        <w:pict w14:anchorId="7FE89B2F">
          <v:shape id="_x0000_i1037" type="#_x0000_t75" style="width:424.5pt;height:320.25pt">
            <v:imagedata r:id="rId26" o:title="Cataract"/>
          </v:shape>
        </w:pict>
      </w:r>
    </w:p>
    <w:p w14:paraId="7D288A7C" w14:textId="77777777" w:rsidR="00065389" w:rsidRPr="00E97AF3" w:rsidRDefault="00065389" w:rsidP="00065389">
      <w:pPr>
        <w:jc w:val="center"/>
        <w:rPr>
          <w:b/>
          <w:lang w:val="en-GB"/>
        </w:rPr>
      </w:pPr>
    </w:p>
    <w:p w14:paraId="7B4338CE" w14:textId="641AB6DB" w:rsidR="00065389" w:rsidRPr="00E97AF3" w:rsidRDefault="00065389" w:rsidP="00065389">
      <w:pPr>
        <w:jc w:val="center"/>
        <w:rPr>
          <w:b/>
          <w:lang w:val="en-GB"/>
        </w:rPr>
      </w:pPr>
      <w:r w:rsidRPr="00E97AF3">
        <w:rPr>
          <w:b/>
          <w:lang w:val="en-GB"/>
        </w:rPr>
        <w:t>Esophageal disorders</w:t>
      </w:r>
    </w:p>
    <w:p w14:paraId="604D33DA" w14:textId="75E23BAD" w:rsidR="00065389" w:rsidRPr="00E97AF3" w:rsidRDefault="00AD0458" w:rsidP="00065389">
      <w:pPr>
        <w:jc w:val="center"/>
        <w:rPr>
          <w:b/>
          <w:lang w:val="en-GB"/>
        </w:rPr>
      </w:pPr>
      <w:r>
        <w:rPr>
          <w:b/>
          <w:noProof/>
          <w:lang w:val="en-GB"/>
        </w:rPr>
        <w:lastRenderedPageBreak/>
        <w:pict w14:anchorId="54DB5881">
          <v:shape id="_x0000_i1038" type="#_x0000_t75" style="width:424.5pt;height:272.4pt">
            <v:imagedata r:id="rId27" o:title="Esophageal disorders"/>
          </v:shape>
        </w:pict>
      </w:r>
    </w:p>
    <w:p w14:paraId="144F124F" w14:textId="3725986B" w:rsidR="00065389" w:rsidRPr="00E97AF3" w:rsidRDefault="00065389" w:rsidP="00065389">
      <w:pPr>
        <w:jc w:val="center"/>
        <w:rPr>
          <w:b/>
          <w:lang w:val="en-GB"/>
        </w:rPr>
      </w:pPr>
      <w:r w:rsidRPr="00E97AF3">
        <w:rPr>
          <w:b/>
          <w:lang w:val="en-GB"/>
        </w:rPr>
        <w:t>Asthma</w:t>
      </w:r>
    </w:p>
    <w:p w14:paraId="38A7953C" w14:textId="2BCC27E8" w:rsidR="00065389" w:rsidRPr="00E97AF3" w:rsidRDefault="00AD0458" w:rsidP="00065389">
      <w:pPr>
        <w:jc w:val="center"/>
        <w:rPr>
          <w:b/>
          <w:lang w:val="en-GB"/>
        </w:rPr>
      </w:pPr>
      <w:r>
        <w:rPr>
          <w:b/>
          <w:noProof/>
          <w:lang w:val="en-GB"/>
        </w:rPr>
        <w:pict w14:anchorId="29F44181">
          <v:shape id="_x0000_i1039" type="#_x0000_t75" style="width:382.55pt;height:305.2pt">
            <v:imagedata r:id="rId28" o:title="Asthma"/>
          </v:shape>
        </w:pict>
      </w:r>
    </w:p>
    <w:p w14:paraId="7F4752EC" w14:textId="77777777" w:rsidR="00065389" w:rsidRPr="00E97AF3" w:rsidRDefault="00065389" w:rsidP="00065389">
      <w:pPr>
        <w:jc w:val="center"/>
        <w:rPr>
          <w:b/>
          <w:lang w:val="en-GB"/>
        </w:rPr>
      </w:pPr>
    </w:p>
    <w:p w14:paraId="0D20B315" w14:textId="5B056E7A" w:rsidR="00065389" w:rsidRPr="00E97AF3" w:rsidRDefault="00065389" w:rsidP="00065389">
      <w:pPr>
        <w:jc w:val="center"/>
        <w:rPr>
          <w:b/>
          <w:lang w:val="en-GB"/>
        </w:rPr>
      </w:pPr>
      <w:r w:rsidRPr="00E97AF3">
        <w:rPr>
          <w:b/>
          <w:lang w:val="en-GB"/>
        </w:rPr>
        <w:t>Disorders of lipid metabolism</w:t>
      </w:r>
    </w:p>
    <w:p w14:paraId="7A6C2C89" w14:textId="6D3FA8BA" w:rsidR="00065389" w:rsidRPr="00E97AF3" w:rsidRDefault="00AD0458" w:rsidP="00065389">
      <w:pPr>
        <w:jc w:val="center"/>
        <w:rPr>
          <w:b/>
          <w:lang w:val="en-GB"/>
        </w:rPr>
      </w:pPr>
      <w:r>
        <w:rPr>
          <w:b/>
          <w:noProof/>
          <w:lang w:val="en-GB"/>
        </w:rPr>
        <w:lastRenderedPageBreak/>
        <w:pict w14:anchorId="1252C9A2">
          <v:shape id="_x0000_i1040" type="#_x0000_t75" style="width:423.95pt;height:269.75pt">
            <v:imagedata r:id="rId29" o:title="Lipid metabolism"/>
          </v:shape>
        </w:pict>
      </w:r>
    </w:p>
    <w:p w14:paraId="40F14C7A" w14:textId="0CE2B94E" w:rsidR="00065389" w:rsidRPr="00E97AF3" w:rsidRDefault="00065389" w:rsidP="00065389">
      <w:pPr>
        <w:jc w:val="center"/>
        <w:rPr>
          <w:b/>
          <w:lang w:val="en-GB"/>
        </w:rPr>
      </w:pPr>
      <w:r w:rsidRPr="00E97AF3">
        <w:rPr>
          <w:b/>
          <w:lang w:val="en-GB"/>
        </w:rPr>
        <w:t>Genitourinary symptoms and ill-defined conditions</w:t>
      </w:r>
    </w:p>
    <w:p w14:paraId="70EBAD7D" w14:textId="16A2A441" w:rsidR="00065389" w:rsidRDefault="00AD0458" w:rsidP="00065389">
      <w:pPr>
        <w:jc w:val="center"/>
        <w:rPr>
          <w:b/>
          <w:noProof/>
          <w:lang w:val="en-GB"/>
        </w:rPr>
      </w:pPr>
      <w:r>
        <w:rPr>
          <w:b/>
          <w:noProof/>
          <w:lang w:val="en-GB"/>
        </w:rPr>
        <w:pict w14:anchorId="6E0AE0D5">
          <v:shape id="_x0000_i1041" type="#_x0000_t75" style="width:428.25pt;height:252pt">
            <v:imagedata r:id="rId30" o:title="Genitourinary symptoms"/>
          </v:shape>
        </w:pict>
      </w:r>
    </w:p>
    <w:p w14:paraId="7883FCFE" w14:textId="77777777" w:rsidR="00840649" w:rsidRPr="00E97AF3" w:rsidRDefault="00840649" w:rsidP="00065389">
      <w:pPr>
        <w:jc w:val="center"/>
        <w:rPr>
          <w:b/>
          <w:lang w:val="en-GB"/>
        </w:rPr>
      </w:pPr>
    </w:p>
    <w:p w14:paraId="27D2CC18" w14:textId="77777777" w:rsidR="00065389" w:rsidRPr="00E97AF3" w:rsidRDefault="00065389" w:rsidP="00065389">
      <w:pPr>
        <w:jc w:val="center"/>
        <w:rPr>
          <w:b/>
          <w:lang w:val="en-GB"/>
        </w:rPr>
      </w:pPr>
    </w:p>
    <w:p w14:paraId="65BB4228" w14:textId="22430E59" w:rsidR="00065389" w:rsidRPr="00E97AF3" w:rsidRDefault="00065389" w:rsidP="00065389">
      <w:pPr>
        <w:jc w:val="center"/>
        <w:rPr>
          <w:b/>
          <w:lang w:val="en-GB"/>
        </w:rPr>
      </w:pPr>
      <w:r w:rsidRPr="00E97AF3">
        <w:rPr>
          <w:b/>
          <w:lang w:val="en-GB"/>
        </w:rPr>
        <w:t>Hyperplasia of prostate</w:t>
      </w:r>
    </w:p>
    <w:p w14:paraId="1237BE86" w14:textId="08391D52" w:rsidR="00065389" w:rsidRPr="00E97AF3" w:rsidRDefault="00AD0458" w:rsidP="00065389">
      <w:pPr>
        <w:rPr>
          <w:lang w:val="en-GB"/>
        </w:rPr>
      </w:pPr>
      <w:r>
        <w:rPr>
          <w:noProof/>
          <w:lang w:val="en-GB"/>
        </w:rPr>
        <w:lastRenderedPageBreak/>
        <w:pict w14:anchorId="159C2031">
          <v:shape id="_x0000_i1042" type="#_x0000_t75" style="width:424.5pt;height:267.05pt">
            <v:imagedata r:id="rId31" o:title="Hiperplàstia pròstata"/>
          </v:shape>
        </w:pict>
      </w:r>
    </w:p>
    <w:p w14:paraId="68C584E5" w14:textId="77777777" w:rsidR="00BD7E78" w:rsidRPr="00E97AF3" w:rsidRDefault="00BD7E78" w:rsidP="00BD7E78">
      <w:pPr>
        <w:rPr>
          <w:lang w:val="en-GB"/>
        </w:rPr>
      </w:pPr>
    </w:p>
    <w:sectPr w:rsidR="00BD7E78" w:rsidRPr="00E97AF3" w:rsidSect="006B7469">
      <w:pgSz w:w="11906" w:h="16838"/>
      <w:pgMar w:top="1417" w:right="1701" w:bottom="1560"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544B2E" w16cex:dateUtc="2025-07-11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C8BDF" w16cid:durableId="058C8BDF"/>
  <w16cid:commentId w16cid:paraId="20D8BE20" w16cid:durableId="7A544B2E"/>
  <w16cid:commentId w16cid:paraId="0B29A9B4" w16cid:durableId="0B29A9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7C1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A437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4F2EED"/>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535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D279D8"/>
    <w:multiLevelType w:val="hybridMultilevel"/>
    <w:tmpl w:val="4F3AEE60"/>
    <w:lvl w:ilvl="0" w:tplc="57F259BA">
      <w:numFmt w:val="bullet"/>
      <w:lvlText w:val="-"/>
      <w:lvlJc w:val="left"/>
      <w:pPr>
        <w:ind w:left="1068" w:hanging="360"/>
      </w:pPr>
      <w:rPr>
        <w:rFonts w:ascii="Times New Roman" w:eastAsiaTheme="minorHAnsi" w:hAnsi="Times New Roman" w:cs="Times New Roman" w:hint="default"/>
      </w:rPr>
    </w:lvl>
    <w:lvl w:ilvl="1" w:tplc="04030003">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5" w15:restartNumberingAfterBreak="0">
    <w:nsid w:val="392D24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9770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2D2D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1020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F71C3F"/>
    <w:multiLevelType w:val="hybridMultilevel"/>
    <w:tmpl w:val="9E98DEC0"/>
    <w:lvl w:ilvl="0" w:tplc="D242B1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408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59076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3D64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F53904"/>
    <w:multiLevelType w:val="hybridMultilevel"/>
    <w:tmpl w:val="116E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756E4"/>
    <w:multiLevelType w:val="hybridMultilevel"/>
    <w:tmpl w:val="81F06130"/>
    <w:lvl w:ilvl="0" w:tplc="D242B1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3316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0"/>
  </w:num>
  <w:num w:numId="3">
    <w:abstractNumId w:val="6"/>
  </w:num>
  <w:num w:numId="4">
    <w:abstractNumId w:val="8"/>
  </w:num>
  <w:num w:numId="5">
    <w:abstractNumId w:val="5"/>
  </w:num>
  <w:num w:numId="6">
    <w:abstractNumId w:val="3"/>
  </w:num>
  <w:num w:numId="7">
    <w:abstractNumId w:val="2"/>
  </w:num>
  <w:num w:numId="8">
    <w:abstractNumId w:val="7"/>
  </w:num>
  <w:num w:numId="9">
    <w:abstractNumId w:val="15"/>
  </w:num>
  <w:num w:numId="10">
    <w:abstractNumId w:val="11"/>
  </w:num>
  <w:num w:numId="11">
    <w:abstractNumId w:val="1"/>
  </w:num>
  <w:num w:numId="12">
    <w:abstractNumId w:val="10"/>
  </w:num>
  <w:num w:numId="13">
    <w:abstractNumId w:val="4"/>
  </w:num>
  <w:num w:numId="14">
    <w:abstractNumId w:val="13"/>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IxMbM0NbI0sDA3MTJU0lEKTi0uzszPAykwNKwFAOoREtstAAAA"/>
  </w:docVars>
  <w:rsids>
    <w:rsidRoot w:val="00207C70"/>
    <w:rsid w:val="00065389"/>
    <w:rsid w:val="00097272"/>
    <w:rsid w:val="000E08E1"/>
    <w:rsid w:val="001178F3"/>
    <w:rsid w:val="00165514"/>
    <w:rsid w:val="001808A5"/>
    <w:rsid w:val="001C2C9E"/>
    <w:rsid w:val="001C6802"/>
    <w:rsid w:val="00207C70"/>
    <w:rsid w:val="0021010C"/>
    <w:rsid w:val="002A4F72"/>
    <w:rsid w:val="002A64A0"/>
    <w:rsid w:val="002B547D"/>
    <w:rsid w:val="002C4920"/>
    <w:rsid w:val="003119CA"/>
    <w:rsid w:val="0034288F"/>
    <w:rsid w:val="003668F8"/>
    <w:rsid w:val="00395552"/>
    <w:rsid w:val="003E70B9"/>
    <w:rsid w:val="003F7755"/>
    <w:rsid w:val="0045530D"/>
    <w:rsid w:val="00461CE1"/>
    <w:rsid w:val="00485102"/>
    <w:rsid w:val="00492125"/>
    <w:rsid w:val="004A5269"/>
    <w:rsid w:val="004D690B"/>
    <w:rsid w:val="004F301B"/>
    <w:rsid w:val="00507040"/>
    <w:rsid w:val="00510466"/>
    <w:rsid w:val="00542A8C"/>
    <w:rsid w:val="0054741C"/>
    <w:rsid w:val="00566A68"/>
    <w:rsid w:val="005A1300"/>
    <w:rsid w:val="005D1811"/>
    <w:rsid w:val="006029B6"/>
    <w:rsid w:val="006067BA"/>
    <w:rsid w:val="00611E45"/>
    <w:rsid w:val="00632FF4"/>
    <w:rsid w:val="00645162"/>
    <w:rsid w:val="00646366"/>
    <w:rsid w:val="00662923"/>
    <w:rsid w:val="00691BFC"/>
    <w:rsid w:val="00694AFF"/>
    <w:rsid w:val="006A15EF"/>
    <w:rsid w:val="006B7469"/>
    <w:rsid w:val="006F1C93"/>
    <w:rsid w:val="00706DFC"/>
    <w:rsid w:val="007252D0"/>
    <w:rsid w:val="00742D57"/>
    <w:rsid w:val="00772079"/>
    <w:rsid w:val="00774DBC"/>
    <w:rsid w:val="00790BBD"/>
    <w:rsid w:val="007A4596"/>
    <w:rsid w:val="007B6A2D"/>
    <w:rsid w:val="007B6DF1"/>
    <w:rsid w:val="007C66A8"/>
    <w:rsid w:val="007D1D4E"/>
    <w:rsid w:val="00816BF5"/>
    <w:rsid w:val="00823725"/>
    <w:rsid w:val="0082428A"/>
    <w:rsid w:val="00840649"/>
    <w:rsid w:val="0085639E"/>
    <w:rsid w:val="00863551"/>
    <w:rsid w:val="00874133"/>
    <w:rsid w:val="0088229A"/>
    <w:rsid w:val="009521B8"/>
    <w:rsid w:val="00957A3B"/>
    <w:rsid w:val="00966771"/>
    <w:rsid w:val="00967F24"/>
    <w:rsid w:val="00A06815"/>
    <w:rsid w:val="00A243DD"/>
    <w:rsid w:val="00A2561D"/>
    <w:rsid w:val="00AD0458"/>
    <w:rsid w:val="00B01024"/>
    <w:rsid w:val="00B0743B"/>
    <w:rsid w:val="00B077FE"/>
    <w:rsid w:val="00B14F39"/>
    <w:rsid w:val="00B17789"/>
    <w:rsid w:val="00B61E8E"/>
    <w:rsid w:val="00B831C1"/>
    <w:rsid w:val="00B850F6"/>
    <w:rsid w:val="00BA0B9A"/>
    <w:rsid w:val="00BA1A9F"/>
    <w:rsid w:val="00BC0B59"/>
    <w:rsid w:val="00BD1FE3"/>
    <w:rsid w:val="00BD7E78"/>
    <w:rsid w:val="00C5648A"/>
    <w:rsid w:val="00C771BB"/>
    <w:rsid w:val="00CB56D1"/>
    <w:rsid w:val="00CC42AF"/>
    <w:rsid w:val="00CE6897"/>
    <w:rsid w:val="00D02B96"/>
    <w:rsid w:val="00D23361"/>
    <w:rsid w:val="00D33D51"/>
    <w:rsid w:val="00D42F47"/>
    <w:rsid w:val="00D44EC9"/>
    <w:rsid w:val="00D77063"/>
    <w:rsid w:val="00DA122A"/>
    <w:rsid w:val="00DA7BAE"/>
    <w:rsid w:val="00DE1977"/>
    <w:rsid w:val="00E00AB0"/>
    <w:rsid w:val="00E11BFC"/>
    <w:rsid w:val="00E6059D"/>
    <w:rsid w:val="00E74773"/>
    <w:rsid w:val="00E97AF3"/>
    <w:rsid w:val="00EA6A83"/>
    <w:rsid w:val="00F91087"/>
    <w:rsid w:val="00F9648D"/>
    <w:rsid w:val="00FB72B4"/>
    <w:rsid w:val="00FC7A55"/>
    <w:rsid w:val="00FF536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715BCA6"/>
  <w15:chartTrackingRefBased/>
  <w15:docId w15:val="{1E49C612-6ADD-4C8E-9860-636FF7209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458"/>
    <w:pPr>
      <w:spacing w:line="360" w:lineRule="auto"/>
      <w:jc w:val="both"/>
    </w:pPr>
    <w:rPr>
      <w:rFonts w:ascii="Arial" w:hAnsi="Arial"/>
      <w:sz w:val="20"/>
      <w:lang w:val="en-US"/>
    </w:rPr>
  </w:style>
  <w:style w:type="paragraph" w:styleId="Ttol1">
    <w:name w:val="heading 1"/>
    <w:basedOn w:val="Normal"/>
    <w:next w:val="Normal"/>
    <w:link w:val="Ttol1Car"/>
    <w:uiPriority w:val="9"/>
    <w:qFormat/>
    <w:rsid w:val="00AD0458"/>
    <w:pPr>
      <w:keepNext/>
      <w:keepLines/>
      <w:spacing w:before="240" w:after="0"/>
      <w:outlineLvl w:val="0"/>
    </w:pPr>
    <w:rPr>
      <w:rFonts w:eastAsiaTheme="majorEastAsia" w:cstheme="majorBidi"/>
      <w:b/>
      <w:sz w:val="28"/>
      <w:szCs w:val="32"/>
    </w:rPr>
  </w:style>
  <w:style w:type="paragraph" w:styleId="Ttol2">
    <w:name w:val="heading 2"/>
    <w:basedOn w:val="Normal"/>
    <w:next w:val="Normal"/>
    <w:link w:val="Ttol2Car"/>
    <w:uiPriority w:val="9"/>
    <w:unhideWhenUsed/>
    <w:qFormat/>
    <w:rsid w:val="00AD0458"/>
    <w:pPr>
      <w:keepNext/>
      <w:keepLines/>
      <w:spacing w:before="40" w:after="0"/>
      <w:outlineLvl w:val="1"/>
    </w:pPr>
    <w:rPr>
      <w:rFonts w:eastAsiaTheme="majorEastAsia" w:cstheme="majorBidi"/>
      <w:b/>
      <w:sz w:val="24"/>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
    <w:rsid w:val="00AD0458"/>
    <w:rPr>
      <w:rFonts w:ascii="Arial" w:eastAsiaTheme="majorEastAsia" w:hAnsi="Arial" w:cstheme="majorBidi"/>
      <w:b/>
      <w:sz w:val="28"/>
      <w:szCs w:val="32"/>
      <w:lang w:val="en-US"/>
    </w:rPr>
  </w:style>
  <w:style w:type="character" w:customStyle="1" w:styleId="Ttol2Car">
    <w:name w:val="Títol 2 Car"/>
    <w:basedOn w:val="Tipusdelletraperdefectedelpargraf"/>
    <w:link w:val="Ttol2"/>
    <w:uiPriority w:val="9"/>
    <w:rsid w:val="00AD0458"/>
    <w:rPr>
      <w:rFonts w:ascii="Arial" w:eastAsiaTheme="majorEastAsia" w:hAnsi="Arial" w:cstheme="majorBidi"/>
      <w:b/>
      <w:sz w:val="24"/>
      <w:szCs w:val="26"/>
      <w:lang w:val="en-US"/>
    </w:rPr>
  </w:style>
  <w:style w:type="paragraph" w:styleId="Subttol">
    <w:name w:val="Subtitle"/>
    <w:basedOn w:val="Normal"/>
    <w:next w:val="Normal"/>
    <w:link w:val="SubttolCar"/>
    <w:uiPriority w:val="11"/>
    <w:qFormat/>
    <w:rsid w:val="00207C70"/>
    <w:pPr>
      <w:numPr>
        <w:ilvl w:val="1"/>
      </w:numPr>
    </w:pPr>
    <w:rPr>
      <w:rFonts w:eastAsiaTheme="minorEastAsia"/>
      <w:color w:val="5A5A5A" w:themeColor="text1" w:themeTint="A5"/>
      <w:spacing w:val="15"/>
    </w:rPr>
  </w:style>
  <w:style w:type="character" w:customStyle="1" w:styleId="SubttolCar">
    <w:name w:val="Subtítol Car"/>
    <w:basedOn w:val="Tipusdelletraperdefectedelpargraf"/>
    <w:link w:val="Subttol"/>
    <w:uiPriority w:val="11"/>
    <w:rsid w:val="00207C70"/>
    <w:rPr>
      <w:rFonts w:eastAsiaTheme="minorEastAsia"/>
      <w:color w:val="5A5A5A" w:themeColor="text1" w:themeTint="A5"/>
      <w:spacing w:val="15"/>
      <w:lang w:val="en-US"/>
    </w:rPr>
  </w:style>
  <w:style w:type="paragraph" w:styleId="Ttol">
    <w:name w:val="Title"/>
    <w:basedOn w:val="Normal"/>
    <w:next w:val="Normal"/>
    <w:link w:val="TtolCar"/>
    <w:uiPriority w:val="10"/>
    <w:qFormat/>
    <w:rsid w:val="00AD0458"/>
    <w:pPr>
      <w:spacing w:after="0" w:line="240" w:lineRule="auto"/>
      <w:contextualSpacing/>
    </w:pPr>
    <w:rPr>
      <w:rFonts w:eastAsiaTheme="majorEastAsia" w:cstheme="majorBidi"/>
      <w:spacing w:val="-10"/>
      <w:kern w:val="28"/>
      <w:sz w:val="44"/>
      <w:szCs w:val="56"/>
    </w:rPr>
  </w:style>
  <w:style w:type="character" w:customStyle="1" w:styleId="TtolCar">
    <w:name w:val="Títol Car"/>
    <w:basedOn w:val="Tipusdelletraperdefectedelpargraf"/>
    <w:link w:val="Ttol"/>
    <w:uiPriority w:val="10"/>
    <w:rsid w:val="00AD0458"/>
    <w:rPr>
      <w:rFonts w:ascii="Arial" w:eastAsiaTheme="majorEastAsia" w:hAnsi="Arial" w:cstheme="majorBidi"/>
      <w:spacing w:val="-10"/>
      <w:kern w:val="28"/>
      <w:sz w:val="44"/>
      <w:szCs w:val="56"/>
      <w:lang w:val="en-US"/>
    </w:rPr>
  </w:style>
  <w:style w:type="paragraph" w:styleId="TtoldelIDC">
    <w:name w:val="TOC Heading"/>
    <w:basedOn w:val="Ttol1"/>
    <w:next w:val="Normal"/>
    <w:uiPriority w:val="39"/>
    <w:unhideWhenUsed/>
    <w:qFormat/>
    <w:rsid w:val="00207C70"/>
    <w:pPr>
      <w:spacing w:line="259" w:lineRule="auto"/>
      <w:jc w:val="left"/>
      <w:outlineLvl w:val="9"/>
    </w:pPr>
  </w:style>
  <w:style w:type="paragraph" w:styleId="IDC1">
    <w:name w:val="toc 1"/>
    <w:basedOn w:val="Normal"/>
    <w:next w:val="Normal"/>
    <w:autoRedefine/>
    <w:uiPriority w:val="39"/>
    <w:unhideWhenUsed/>
    <w:rsid w:val="00207C70"/>
    <w:pPr>
      <w:spacing w:after="100"/>
    </w:pPr>
  </w:style>
  <w:style w:type="paragraph" w:styleId="IDC2">
    <w:name w:val="toc 2"/>
    <w:basedOn w:val="Normal"/>
    <w:next w:val="Normal"/>
    <w:autoRedefine/>
    <w:uiPriority w:val="39"/>
    <w:unhideWhenUsed/>
    <w:rsid w:val="00207C70"/>
    <w:pPr>
      <w:spacing w:after="100"/>
      <w:ind w:left="220"/>
    </w:pPr>
  </w:style>
  <w:style w:type="character" w:styleId="Enlla">
    <w:name w:val="Hyperlink"/>
    <w:basedOn w:val="Tipusdelletraperdefectedelpargraf"/>
    <w:uiPriority w:val="99"/>
    <w:unhideWhenUsed/>
    <w:rsid w:val="00207C70"/>
    <w:rPr>
      <w:color w:val="0563C1" w:themeColor="hyperlink"/>
      <w:u w:val="single"/>
    </w:rPr>
  </w:style>
  <w:style w:type="character" w:styleId="Refernciadecomentari">
    <w:name w:val="annotation reference"/>
    <w:basedOn w:val="Tipusdelletraperdefectedelpargraf"/>
    <w:uiPriority w:val="99"/>
    <w:semiHidden/>
    <w:unhideWhenUsed/>
    <w:rsid w:val="00966771"/>
    <w:rPr>
      <w:sz w:val="16"/>
      <w:szCs w:val="16"/>
    </w:rPr>
  </w:style>
  <w:style w:type="paragraph" w:styleId="Textdecomentari">
    <w:name w:val="annotation text"/>
    <w:basedOn w:val="Normal"/>
    <w:link w:val="TextdecomentariCar"/>
    <w:uiPriority w:val="99"/>
    <w:unhideWhenUsed/>
    <w:rsid w:val="00966771"/>
    <w:pPr>
      <w:spacing w:line="240" w:lineRule="auto"/>
    </w:pPr>
    <w:rPr>
      <w:szCs w:val="20"/>
    </w:rPr>
  </w:style>
  <w:style w:type="character" w:customStyle="1" w:styleId="TextdecomentariCar">
    <w:name w:val="Text de comentari Car"/>
    <w:basedOn w:val="Tipusdelletraperdefectedelpargraf"/>
    <w:link w:val="Textdecomentari"/>
    <w:uiPriority w:val="99"/>
    <w:rsid w:val="00966771"/>
    <w:rPr>
      <w:sz w:val="20"/>
      <w:szCs w:val="20"/>
      <w:lang w:val="en-US"/>
    </w:rPr>
  </w:style>
  <w:style w:type="paragraph" w:styleId="Temadelcomentari">
    <w:name w:val="annotation subject"/>
    <w:basedOn w:val="Textdecomentari"/>
    <w:next w:val="Textdecomentari"/>
    <w:link w:val="TemadelcomentariCar"/>
    <w:uiPriority w:val="99"/>
    <w:semiHidden/>
    <w:unhideWhenUsed/>
    <w:rsid w:val="00966771"/>
    <w:rPr>
      <w:b/>
      <w:bCs/>
    </w:rPr>
  </w:style>
  <w:style w:type="character" w:customStyle="1" w:styleId="TemadelcomentariCar">
    <w:name w:val="Tema del comentari Car"/>
    <w:basedOn w:val="TextdecomentariCar"/>
    <w:link w:val="Temadelcomentari"/>
    <w:uiPriority w:val="99"/>
    <w:semiHidden/>
    <w:rsid w:val="00966771"/>
    <w:rPr>
      <w:b/>
      <w:bCs/>
      <w:sz w:val="20"/>
      <w:szCs w:val="20"/>
      <w:lang w:val="en-US"/>
    </w:rPr>
  </w:style>
  <w:style w:type="paragraph" w:styleId="Textdeglobus">
    <w:name w:val="Balloon Text"/>
    <w:basedOn w:val="Normal"/>
    <w:link w:val="TextdeglobusCar"/>
    <w:uiPriority w:val="99"/>
    <w:semiHidden/>
    <w:unhideWhenUsed/>
    <w:rsid w:val="00966771"/>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966771"/>
    <w:rPr>
      <w:rFonts w:ascii="Segoe UI" w:hAnsi="Segoe UI" w:cs="Segoe UI"/>
      <w:sz w:val="18"/>
      <w:szCs w:val="18"/>
      <w:lang w:val="en-US"/>
    </w:rPr>
  </w:style>
  <w:style w:type="table" w:styleId="Taulasenzilla4">
    <w:name w:val="Plain Table 4"/>
    <w:basedOn w:val="Taulanormal"/>
    <w:uiPriority w:val="44"/>
    <w:rsid w:val="005D18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ulaambquadrcula1clara">
    <w:name w:val="Grid Table 1 Light"/>
    <w:basedOn w:val="Taulanormal"/>
    <w:uiPriority w:val="46"/>
    <w:rsid w:val="007C66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ord">
    <w:name w:val="mord"/>
    <w:basedOn w:val="Tipusdelletraperdefectedelpargraf"/>
    <w:rsid w:val="007C66A8"/>
  </w:style>
  <w:style w:type="character" w:customStyle="1" w:styleId="mrel">
    <w:name w:val="mrel"/>
    <w:basedOn w:val="Tipusdelletraperdefectedelpargraf"/>
    <w:rsid w:val="007C66A8"/>
  </w:style>
  <w:style w:type="character" w:customStyle="1" w:styleId="vlist-s">
    <w:name w:val="vlist-s"/>
    <w:basedOn w:val="Tipusdelletraperdefectedelpargraf"/>
    <w:rsid w:val="007C66A8"/>
  </w:style>
  <w:style w:type="character" w:customStyle="1" w:styleId="mbin">
    <w:name w:val="mbin"/>
    <w:basedOn w:val="Tipusdelletraperdefectedelpargraf"/>
    <w:rsid w:val="007C66A8"/>
  </w:style>
  <w:style w:type="character" w:customStyle="1" w:styleId="mpunct">
    <w:name w:val="mpunct"/>
    <w:basedOn w:val="Tipusdelletraperdefectedelpargraf"/>
    <w:rsid w:val="007C66A8"/>
  </w:style>
  <w:style w:type="paragraph" w:styleId="Pargrafdellista">
    <w:name w:val="List Paragraph"/>
    <w:basedOn w:val="Normal"/>
    <w:uiPriority w:val="34"/>
    <w:qFormat/>
    <w:rsid w:val="007C66A8"/>
    <w:pPr>
      <w:ind w:left="720"/>
      <w:contextualSpacing/>
    </w:pPr>
  </w:style>
  <w:style w:type="paragraph" w:customStyle="1" w:styleId="paragraph">
    <w:name w:val="paragraph"/>
    <w:basedOn w:val="Normal"/>
    <w:rsid w:val="00B14F39"/>
    <w:pPr>
      <w:spacing w:before="100" w:beforeAutospacing="1" w:after="100" w:afterAutospacing="1" w:line="240" w:lineRule="auto"/>
      <w:jc w:val="left"/>
    </w:pPr>
    <w:rPr>
      <w:rFonts w:eastAsiaTheme="minorEastAsia" w:cs="Times New Roman"/>
      <w:sz w:val="24"/>
      <w:szCs w:val="24"/>
      <w:lang w:val="ca-ES" w:eastAsia="ca-ES"/>
    </w:rPr>
  </w:style>
  <w:style w:type="character" w:customStyle="1" w:styleId="normaltextrun">
    <w:name w:val="normaltextrun"/>
    <w:basedOn w:val="Tipusdelletraperdefectedelpargraf"/>
    <w:rsid w:val="00B14F39"/>
  </w:style>
  <w:style w:type="character" w:customStyle="1" w:styleId="eop">
    <w:name w:val="eop"/>
    <w:basedOn w:val="Tipusdelletraperdefectedelpargraf"/>
    <w:rsid w:val="00B14F39"/>
  </w:style>
  <w:style w:type="character" w:customStyle="1" w:styleId="scxw239399182">
    <w:name w:val="scxw239399182"/>
    <w:basedOn w:val="Tipusdelletraperdefectedelpargraf"/>
    <w:rsid w:val="00B14F39"/>
  </w:style>
  <w:style w:type="character" w:customStyle="1" w:styleId="mi">
    <w:name w:val="mi"/>
    <w:basedOn w:val="Tipusdelletraperdefectedelpargraf"/>
    <w:rsid w:val="00B14F39"/>
  </w:style>
  <w:style w:type="character" w:customStyle="1" w:styleId="mo">
    <w:name w:val="mo"/>
    <w:basedOn w:val="Tipusdelletraperdefectedelpargraf"/>
    <w:rsid w:val="00B14F39"/>
  </w:style>
  <w:style w:type="character" w:customStyle="1" w:styleId="mjxassistivemathml">
    <w:name w:val="mjx_assistive_mathml"/>
    <w:basedOn w:val="Tipusdelletraperdefectedelpargraf"/>
    <w:rsid w:val="00B14F39"/>
  </w:style>
  <w:style w:type="character" w:customStyle="1" w:styleId="mn">
    <w:name w:val="mn"/>
    <w:basedOn w:val="Tipusdelletraperdefectedelpargraf"/>
    <w:rsid w:val="00B14F39"/>
  </w:style>
  <w:style w:type="character" w:customStyle="1" w:styleId="scxw163719492">
    <w:name w:val="scxw163719492"/>
    <w:basedOn w:val="Tipusdelletraperdefectedelpargraf"/>
    <w:rsid w:val="00D77063"/>
  </w:style>
  <w:style w:type="character" w:customStyle="1" w:styleId="katex-mathml">
    <w:name w:val="katex-mathml"/>
    <w:basedOn w:val="Tipusdelletraperdefectedelpargraf"/>
    <w:rsid w:val="00967F24"/>
  </w:style>
  <w:style w:type="paragraph" w:styleId="NormalWeb">
    <w:name w:val="Normal (Web)"/>
    <w:basedOn w:val="Normal"/>
    <w:uiPriority w:val="99"/>
    <w:semiHidden/>
    <w:unhideWhenUsed/>
    <w:rsid w:val="006A15EF"/>
    <w:pPr>
      <w:spacing w:before="100" w:beforeAutospacing="1" w:after="100" w:afterAutospacing="1" w:line="240" w:lineRule="auto"/>
      <w:jc w:val="left"/>
    </w:pPr>
    <w:rPr>
      <w:rFonts w:eastAsia="Times New Roman" w:cs="Times New Roman"/>
      <w:sz w:val="24"/>
      <w:szCs w:val="24"/>
      <w:lang w:val="ca-ES" w:eastAsia="ca-ES"/>
    </w:rPr>
  </w:style>
  <w:style w:type="character" w:styleId="mfasi">
    <w:name w:val="Emphasis"/>
    <w:basedOn w:val="Tipusdelletraperdefectedelpargraf"/>
    <w:uiPriority w:val="20"/>
    <w:qFormat/>
    <w:rsid w:val="00774DBC"/>
    <w:rPr>
      <w:i/>
      <w:iCs/>
    </w:rPr>
  </w:style>
  <w:style w:type="character" w:styleId="CodiHTML">
    <w:name w:val="HTML Code"/>
    <w:basedOn w:val="Tipusdelletraperdefectedelpargraf"/>
    <w:uiPriority w:val="99"/>
    <w:semiHidden/>
    <w:unhideWhenUsed/>
    <w:rsid w:val="00774DBC"/>
    <w:rPr>
      <w:rFonts w:ascii="Courier New" w:eastAsia="Times New Roman" w:hAnsi="Courier New" w:cs="Courier New"/>
      <w:sz w:val="20"/>
      <w:szCs w:val="20"/>
    </w:rPr>
  </w:style>
  <w:style w:type="character" w:styleId="Textennegreta">
    <w:name w:val="Strong"/>
    <w:basedOn w:val="Tipusdelletraperdefectedelpargraf"/>
    <w:uiPriority w:val="22"/>
    <w:qFormat/>
    <w:rsid w:val="001808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35137">
      <w:bodyDiv w:val="1"/>
      <w:marLeft w:val="0"/>
      <w:marRight w:val="0"/>
      <w:marTop w:val="0"/>
      <w:marBottom w:val="0"/>
      <w:divBdr>
        <w:top w:val="none" w:sz="0" w:space="0" w:color="auto"/>
        <w:left w:val="none" w:sz="0" w:space="0" w:color="auto"/>
        <w:bottom w:val="none" w:sz="0" w:space="0" w:color="auto"/>
        <w:right w:val="none" w:sz="0" w:space="0" w:color="auto"/>
      </w:divBdr>
    </w:div>
    <w:div w:id="399061685">
      <w:bodyDiv w:val="1"/>
      <w:marLeft w:val="0"/>
      <w:marRight w:val="0"/>
      <w:marTop w:val="0"/>
      <w:marBottom w:val="0"/>
      <w:divBdr>
        <w:top w:val="none" w:sz="0" w:space="0" w:color="auto"/>
        <w:left w:val="none" w:sz="0" w:space="0" w:color="auto"/>
        <w:bottom w:val="none" w:sz="0" w:space="0" w:color="auto"/>
        <w:right w:val="none" w:sz="0" w:space="0" w:color="auto"/>
      </w:divBdr>
    </w:div>
    <w:div w:id="416247219">
      <w:bodyDiv w:val="1"/>
      <w:marLeft w:val="0"/>
      <w:marRight w:val="0"/>
      <w:marTop w:val="0"/>
      <w:marBottom w:val="0"/>
      <w:divBdr>
        <w:top w:val="none" w:sz="0" w:space="0" w:color="auto"/>
        <w:left w:val="none" w:sz="0" w:space="0" w:color="auto"/>
        <w:bottom w:val="none" w:sz="0" w:space="0" w:color="auto"/>
        <w:right w:val="none" w:sz="0" w:space="0" w:color="auto"/>
      </w:divBdr>
    </w:div>
    <w:div w:id="613093222">
      <w:bodyDiv w:val="1"/>
      <w:marLeft w:val="0"/>
      <w:marRight w:val="0"/>
      <w:marTop w:val="0"/>
      <w:marBottom w:val="0"/>
      <w:divBdr>
        <w:top w:val="none" w:sz="0" w:space="0" w:color="auto"/>
        <w:left w:val="none" w:sz="0" w:space="0" w:color="auto"/>
        <w:bottom w:val="none" w:sz="0" w:space="0" w:color="auto"/>
        <w:right w:val="none" w:sz="0" w:space="0" w:color="auto"/>
      </w:divBdr>
    </w:div>
    <w:div w:id="852916984">
      <w:bodyDiv w:val="1"/>
      <w:marLeft w:val="0"/>
      <w:marRight w:val="0"/>
      <w:marTop w:val="0"/>
      <w:marBottom w:val="0"/>
      <w:divBdr>
        <w:top w:val="none" w:sz="0" w:space="0" w:color="auto"/>
        <w:left w:val="none" w:sz="0" w:space="0" w:color="auto"/>
        <w:bottom w:val="none" w:sz="0" w:space="0" w:color="auto"/>
        <w:right w:val="none" w:sz="0" w:space="0" w:color="auto"/>
      </w:divBdr>
    </w:div>
    <w:div w:id="1150902381">
      <w:bodyDiv w:val="1"/>
      <w:marLeft w:val="0"/>
      <w:marRight w:val="0"/>
      <w:marTop w:val="0"/>
      <w:marBottom w:val="0"/>
      <w:divBdr>
        <w:top w:val="none" w:sz="0" w:space="0" w:color="auto"/>
        <w:left w:val="none" w:sz="0" w:space="0" w:color="auto"/>
        <w:bottom w:val="none" w:sz="0" w:space="0" w:color="auto"/>
        <w:right w:val="none" w:sz="0" w:space="0" w:color="auto"/>
      </w:divBdr>
    </w:div>
    <w:div w:id="1267886136">
      <w:bodyDiv w:val="1"/>
      <w:marLeft w:val="0"/>
      <w:marRight w:val="0"/>
      <w:marTop w:val="0"/>
      <w:marBottom w:val="0"/>
      <w:divBdr>
        <w:top w:val="none" w:sz="0" w:space="0" w:color="auto"/>
        <w:left w:val="none" w:sz="0" w:space="0" w:color="auto"/>
        <w:bottom w:val="none" w:sz="0" w:space="0" w:color="auto"/>
        <w:right w:val="none" w:sz="0" w:space="0" w:color="auto"/>
      </w:divBdr>
    </w:div>
    <w:div w:id="1297949589">
      <w:bodyDiv w:val="1"/>
      <w:marLeft w:val="0"/>
      <w:marRight w:val="0"/>
      <w:marTop w:val="0"/>
      <w:marBottom w:val="0"/>
      <w:divBdr>
        <w:top w:val="none" w:sz="0" w:space="0" w:color="auto"/>
        <w:left w:val="none" w:sz="0" w:space="0" w:color="auto"/>
        <w:bottom w:val="none" w:sz="0" w:space="0" w:color="auto"/>
        <w:right w:val="none" w:sz="0" w:space="0" w:color="auto"/>
      </w:divBdr>
      <w:divsChild>
        <w:div w:id="1899169194">
          <w:marLeft w:val="0"/>
          <w:marRight w:val="0"/>
          <w:marTop w:val="0"/>
          <w:marBottom w:val="0"/>
          <w:divBdr>
            <w:top w:val="none" w:sz="0" w:space="0" w:color="auto"/>
            <w:left w:val="none" w:sz="0" w:space="0" w:color="auto"/>
            <w:bottom w:val="none" w:sz="0" w:space="0" w:color="auto"/>
            <w:right w:val="none" w:sz="0" w:space="0" w:color="auto"/>
          </w:divBdr>
          <w:divsChild>
            <w:div w:id="1966886759">
              <w:marLeft w:val="0"/>
              <w:marRight w:val="0"/>
              <w:marTop w:val="0"/>
              <w:marBottom w:val="0"/>
              <w:divBdr>
                <w:top w:val="none" w:sz="0" w:space="0" w:color="auto"/>
                <w:left w:val="none" w:sz="0" w:space="0" w:color="auto"/>
                <w:bottom w:val="none" w:sz="0" w:space="0" w:color="auto"/>
                <w:right w:val="none" w:sz="0" w:space="0" w:color="auto"/>
              </w:divBdr>
              <w:divsChild>
                <w:div w:id="1545097650">
                  <w:marLeft w:val="0"/>
                  <w:marRight w:val="0"/>
                  <w:marTop w:val="0"/>
                  <w:marBottom w:val="0"/>
                  <w:divBdr>
                    <w:top w:val="none" w:sz="0" w:space="0" w:color="auto"/>
                    <w:left w:val="none" w:sz="0" w:space="0" w:color="auto"/>
                    <w:bottom w:val="none" w:sz="0" w:space="0" w:color="auto"/>
                    <w:right w:val="none" w:sz="0" w:space="0" w:color="auto"/>
                  </w:divBdr>
                </w:div>
              </w:divsChild>
            </w:div>
            <w:div w:id="831143091">
              <w:marLeft w:val="0"/>
              <w:marRight w:val="0"/>
              <w:marTop w:val="0"/>
              <w:marBottom w:val="0"/>
              <w:divBdr>
                <w:top w:val="none" w:sz="0" w:space="0" w:color="auto"/>
                <w:left w:val="none" w:sz="0" w:space="0" w:color="auto"/>
                <w:bottom w:val="none" w:sz="0" w:space="0" w:color="auto"/>
                <w:right w:val="none" w:sz="0" w:space="0" w:color="auto"/>
              </w:divBdr>
            </w:div>
            <w:div w:id="858352829">
              <w:marLeft w:val="0"/>
              <w:marRight w:val="0"/>
              <w:marTop w:val="0"/>
              <w:marBottom w:val="0"/>
              <w:divBdr>
                <w:top w:val="none" w:sz="0" w:space="0" w:color="auto"/>
                <w:left w:val="none" w:sz="0" w:space="0" w:color="auto"/>
                <w:bottom w:val="none" w:sz="0" w:space="0" w:color="auto"/>
                <w:right w:val="none" w:sz="0" w:space="0" w:color="auto"/>
              </w:divBdr>
            </w:div>
            <w:div w:id="796484144">
              <w:marLeft w:val="0"/>
              <w:marRight w:val="0"/>
              <w:marTop w:val="0"/>
              <w:marBottom w:val="0"/>
              <w:divBdr>
                <w:top w:val="none" w:sz="0" w:space="0" w:color="auto"/>
                <w:left w:val="none" w:sz="0" w:space="0" w:color="auto"/>
                <w:bottom w:val="none" w:sz="0" w:space="0" w:color="auto"/>
                <w:right w:val="none" w:sz="0" w:space="0" w:color="auto"/>
              </w:divBdr>
              <w:divsChild>
                <w:div w:id="1288201136">
                  <w:marLeft w:val="0"/>
                  <w:marRight w:val="0"/>
                  <w:marTop w:val="0"/>
                  <w:marBottom w:val="0"/>
                  <w:divBdr>
                    <w:top w:val="none" w:sz="0" w:space="0" w:color="auto"/>
                    <w:left w:val="none" w:sz="0" w:space="0" w:color="auto"/>
                    <w:bottom w:val="none" w:sz="0" w:space="0" w:color="auto"/>
                    <w:right w:val="none" w:sz="0" w:space="0" w:color="auto"/>
                  </w:divBdr>
                  <w:divsChild>
                    <w:div w:id="1738626445">
                      <w:marLeft w:val="0"/>
                      <w:marRight w:val="0"/>
                      <w:marTop w:val="0"/>
                      <w:marBottom w:val="0"/>
                      <w:divBdr>
                        <w:top w:val="none" w:sz="0" w:space="0" w:color="auto"/>
                        <w:left w:val="none" w:sz="0" w:space="0" w:color="auto"/>
                        <w:bottom w:val="none" w:sz="0" w:space="0" w:color="auto"/>
                        <w:right w:val="none" w:sz="0" w:space="0" w:color="auto"/>
                      </w:divBdr>
                    </w:div>
                    <w:div w:id="475342713">
                      <w:marLeft w:val="0"/>
                      <w:marRight w:val="0"/>
                      <w:marTop w:val="0"/>
                      <w:marBottom w:val="0"/>
                      <w:divBdr>
                        <w:top w:val="none" w:sz="0" w:space="0" w:color="auto"/>
                        <w:left w:val="none" w:sz="0" w:space="0" w:color="auto"/>
                        <w:bottom w:val="none" w:sz="0" w:space="0" w:color="auto"/>
                        <w:right w:val="none" w:sz="0" w:space="0" w:color="auto"/>
                      </w:divBdr>
                    </w:div>
                    <w:div w:id="15702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6657">
              <w:marLeft w:val="0"/>
              <w:marRight w:val="0"/>
              <w:marTop w:val="0"/>
              <w:marBottom w:val="0"/>
              <w:divBdr>
                <w:top w:val="none" w:sz="0" w:space="0" w:color="auto"/>
                <w:left w:val="none" w:sz="0" w:space="0" w:color="auto"/>
                <w:bottom w:val="none" w:sz="0" w:space="0" w:color="auto"/>
                <w:right w:val="none" w:sz="0" w:space="0" w:color="auto"/>
              </w:divBdr>
            </w:div>
            <w:div w:id="703868633">
              <w:marLeft w:val="0"/>
              <w:marRight w:val="0"/>
              <w:marTop w:val="0"/>
              <w:marBottom w:val="0"/>
              <w:divBdr>
                <w:top w:val="none" w:sz="0" w:space="0" w:color="auto"/>
                <w:left w:val="none" w:sz="0" w:space="0" w:color="auto"/>
                <w:bottom w:val="none" w:sz="0" w:space="0" w:color="auto"/>
                <w:right w:val="none" w:sz="0" w:space="0" w:color="auto"/>
              </w:divBdr>
            </w:div>
            <w:div w:id="1208106778">
              <w:marLeft w:val="0"/>
              <w:marRight w:val="0"/>
              <w:marTop w:val="0"/>
              <w:marBottom w:val="0"/>
              <w:divBdr>
                <w:top w:val="none" w:sz="0" w:space="0" w:color="auto"/>
                <w:left w:val="none" w:sz="0" w:space="0" w:color="auto"/>
                <w:bottom w:val="none" w:sz="0" w:space="0" w:color="auto"/>
                <w:right w:val="none" w:sz="0" w:space="0" w:color="auto"/>
              </w:divBdr>
            </w:div>
            <w:div w:id="1379359468">
              <w:marLeft w:val="0"/>
              <w:marRight w:val="0"/>
              <w:marTop w:val="0"/>
              <w:marBottom w:val="0"/>
              <w:divBdr>
                <w:top w:val="none" w:sz="0" w:space="0" w:color="auto"/>
                <w:left w:val="none" w:sz="0" w:space="0" w:color="auto"/>
                <w:bottom w:val="none" w:sz="0" w:space="0" w:color="auto"/>
                <w:right w:val="none" w:sz="0" w:space="0" w:color="auto"/>
              </w:divBdr>
            </w:div>
            <w:div w:id="734864250">
              <w:marLeft w:val="0"/>
              <w:marRight w:val="0"/>
              <w:marTop w:val="0"/>
              <w:marBottom w:val="0"/>
              <w:divBdr>
                <w:top w:val="none" w:sz="0" w:space="0" w:color="auto"/>
                <w:left w:val="none" w:sz="0" w:space="0" w:color="auto"/>
                <w:bottom w:val="none" w:sz="0" w:space="0" w:color="auto"/>
                <w:right w:val="none" w:sz="0" w:space="0" w:color="auto"/>
              </w:divBdr>
            </w:div>
            <w:div w:id="137841374">
              <w:marLeft w:val="0"/>
              <w:marRight w:val="0"/>
              <w:marTop w:val="0"/>
              <w:marBottom w:val="0"/>
              <w:divBdr>
                <w:top w:val="none" w:sz="0" w:space="0" w:color="auto"/>
                <w:left w:val="none" w:sz="0" w:space="0" w:color="auto"/>
                <w:bottom w:val="none" w:sz="0" w:space="0" w:color="auto"/>
                <w:right w:val="none" w:sz="0" w:space="0" w:color="auto"/>
              </w:divBdr>
            </w:div>
            <w:div w:id="1244798637">
              <w:marLeft w:val="0"/>
              <w:marRight w:val="0"/>
              <w:marTop w:val="0"/>
              <w:marBottom w:val="0"/>
              <w:divBdr>
                <w:top w:val="none" w:sz="0" w:space="0" w:color="auto"/>
                <w:left w:val="none" w:sz="0" w:space="0" w:color="auto"/>
                <w:bottom w:val="none" w:sz="0" w:space="0" w:color="auto"/>
                <w:right w:val="none" w:sz="0" w:space="0" w:color="auto"/>
              </w:divBdr>
            </w:div>
            <w:div w:id="263536879">
              <w:marLeft w:val="0"/>
              <w:marRight w:val="0"/>
              <w:marTop w:val="0"/>
              <w:marBottom w:val="0"/>
              <w:divBdr>
                <w:top w:val="none" w:sz="0" w:space="0" w:color="auto"/>
                <w:left w:val="none" w:sz="0" w:space="0" w:color="auto"/>
                <w:bottom w:val="none" w:sz="0" w:space="0" w:color="auto"/>
                <w:right w:val="none" w:sz="0" w:space="0" w:color="auto"/>
              </w:divBdr>
            </w:div>
            <w:div w:id="1009140431">
              <w:marLeft w:val="0"/>
              <w:marRight w:val="0"/>
              <w:marTop w:val="0"/>
              <w:marBottom w:val="0"/>
              <w:divBdr>
                <w:top w:val="none" w:sz="0" w:space="0" w:color="auto"/>
                <w:left w:val="none" w:sz="0" w:space="0" w:color="auto"/>
                <w:bottom w:val="none" w:sz="0" w:space="0" w:color="auto"/>
                <w:right w:val="none" w:sz="0" w:space="0" w:color="auto"/>
              </w:divBdr>
            </w:div>
            <w:div w:id="930696841">
              <w:marLeft w:val="0"/>
              <w:marRight w:val="0"/>
              <w:marTop w:val="0"/>
              <w:marBottom w:val="0"/>
              <w:divBdr>
                <w:top w:val="none" w:sz="0" w:space="0" w:color="auto"/>
                <w:left w:val="none" w:sz="0" w:space="0" w:color="auto"/>
                <w:bottom w:val="none" w:sz="0" w:space="0" w:color="auto"/>
                <w:right w:val="none" w:sz="0" w:space="0" w:color="auto"/>
              </w:divBdr>
            </w:div>
            <w:div w:id="266928802">
              <w:marLeft w:val="0"/>
              <w:marRight w:val="0"/>
              <w:marTop w:val="0"/>
              <w:marBottom w:val="0"/>
              <w:divBdr>
                <w:top w:val="none" w:sz="0" w:space="0" w:color="auto"/>
                <w:left w:val="none" w:sz="0" w:space="0" w:color="auto"/>
                <w:bottom w:val="none" w:sz="0" w:space="0" w:color="auto"/>
                <w:right w:val="none" w:sz="0" w:space="0" w:color="auto"/>
              </w:divBdr>
            </w:div>
            <w:div w:id="335696422">
              <w:marLeft w:val="0"/>
              <w:marRight w:val="0"/>
              <w:marTop w:val="0"/>
              <w:marBottom w:val="0"/>
              <w:divBdr>
                <w:top w:val="none" w:sz="0" w:space="0" w:color="auto"/>
                <w:left w:val="none" w:sz="0" w:space="0" w:color="auto"/>
                <w:bottom w:val="none" w:sz="0" w:space="0" w:color="auto"/>
                <w:right w:val="none" w:sz="0" w:space="0" w:color="auto"/>
              </w:divBdr>
            </w:div>
            <w:div w:id="410081463">
              <w:marLeft w:val="0"/>
              <w:marRight w:val="0"/>
              <w:marTop w:val="0"/>
              <w:marBottom w:val="0"/>
              <w:divBdr>
                <w:top w:val="none" w:sz="0" w:space="0" w:color="auto"/>
                <w:left w:val="none" w:sz="0" w:space="0" w:color="auto"/>
                <w:bottom w:val="none" w:sz="0" w:space="0" w:color="auto"/>
                <w:right w:val="none" w:sz="0" w:space="0" w:color="auto"/>
              </w:divBdr>
            </w:div>
            <w:div w:id="2117939383">
              <w:marLeft w:val="0"/>
              <w:marRight w:val="0"/>
              <w:marTop w:val="0"/>
              <w:marBottom w:val="0"/>
              <w:divBdr>
                <w:top w:val="none" w:sz="0" w:space="0" w:color="auto"/>
                <w:left w:val="none" w:sz="0" w:space="0" w:color="auto"/>
                <w:bottom w:val="none" w:sz="0" w:space="0" w:color="auto"/>
                <w:right w:val="none" w:sz="0" w:space="0" w:color="auto"/>
              </w:divBdr>
            </w:div>
          </w:divsChild>
        </w:div>
        <w:div w:id="723140284">
          <w:marLeft w:val="0"/>
          <w:marRight w:val="0"/>
          <w:marTop w:val="0"/>
          <w:marBottom w:val="0"/>
          <w:divBdr>
            <w:top w:val="none" w:sz="0" w:space="0" w:color="auto"/>
            <w:left w:val="none" w:sz="0" w:space="0" w:color="auto"/>
            <w:bottom w:val="none" w:sz="0" w:space="0" w:color="auto"/>
            <w:right w:val="none" w:sz="0" w:space="0" w:color="auto"/>
          </w:divBdr>
          <w:divsChild>
            <w:div w:id="1310939709">
              <w:marLeft w:val="0"/>
              <w:marRight w:val="0"/>
              <w:marTop w:val="0"/>
              <w:marBottom w:val="0"/>
              <w:divBdr>
                <w:top w:val="none" w:sz="0" w:space="0" w:color="auto"/>
                <w:left w:val="none" w:sz="0" w:space="0" w:color="auto"/>
                <w:bottom w:val="none" w:sz="0" w:space="0" w:color="auto"/>
                <w:right w:val="none" w:sz="0" w:space="0" w:color="auto"/>
              </w:divBdr>
            </w:div>
            <w:div w:id="63072075">
              <w:marLeft w:val="0"/>
              <w:marRight w:val="0"/>
              <w:marTop w:val="0"/>
              <w:marBottom w:val="0"/>
              <w:divBdr>
                <w:top w:val="none" w:sz="0" w:space="0" w:color="auto"/>
                <w:left w:val="none" w:sz="0" w:space="0" w:color="auto"/>
                <w:bottom w:val="none" w:sz="0" w:space="0" w:color="auto"/>
                <w:right w:val="none" w:sz="0" w:space="0" w:color="auto"/>
              </w:divBdr>
            </w:div>
            <w:div w:id="1155948831">
              <w:marLeft w:val="0"/>
              <w:marRight w:val="0"/>
              <w:marTop w:val="0"/>
              <w:marBottom w:val="0"/>
              <w:divBdr>
                <w:top w:val="none" w:sz="0" w:space="0" w:color="auto"/>
                <w:left w:val="none" w:sz="0" w:space="0" w:color="auto"/>
                <w:bottom w:val="none" w:sz="0" w:space="0" w:color="auto"/>
                <w:right w:val="none" w:sz="0" w:space="0" w:color="auto"/>
              </w:divBdr>
            </w:div>
            <w:div w:id="828710422">
              <w:marLeft w:val="0"/>
              <w:marRight w:val="0"/>
              <w:marTop w:val="0"/>
              <w:marBottom w:val="0"/>
              <w:divBdr>
                <w:top w:val="none" w:sz="0" w:space="0" w:color="auto"/>
                <w:left w:val="none" w:sz="0" w:space="0" w:color="auto"/>
                <w:bottom w:val="none" w:sz="0" w:space="0" w:color="auto"/>
                <w:right w:val="none" w:sz="0" w:space="0" w:color="auto"/>
              </w:divBdr>
            </w:div>
            <w:div w:id="1246719956">
              <w:marLeft w:val="0"/>
              <w:marRight w:val="0"/>
              <w:marTop w:val="0"/>
              <w:marBottom w:val="0"/>
              <w:divBdr>
                <w:top w:val="none" w:sz="0" w:space="0" w:color="auto"/>
                <w:left w:val="none" w:sz="0" w:space="0" w:color="auto"/>
                <w:bottom w:val="none" w:sz="0" w:space="0" w:color="auto"/>
                <w:right w:val="none" w:sz="0" w:space="0" w:color="auto"/>
              </w:divBdr>
            </w:div>
            <w:div w:id="1369178628">
              <w:marLeft w:val="0"/>
              <w:marRight w:val="0"/>
              <w:marTop w:val="0"/>
              <w:marBottom w:val="0"/>
              <w:divBdr>
                <w:top w:val="none" w:sz="0" w:space="0" w:color="auto"/>
                <w:left w:val="none" w:sz="0" w:space="0" w:color="auto"/>
                <w:bottom w:val="none" w:sz="0" w:space="0" w:color="auto"/>
                <w:right w:val="none" w:sz="0" w:space="0" w:color="auto"/>
              </w:divBdr>
            </w:div>
            <w:div w:id="1191604750">
              <w:marLeft w:val="0"/>
              <w:marRight w:val="0"/>
              <w:marTop w:val="0"/>
              <w:marBottom w:val="0"/>
              <w:divBdr>
                <w:top w:val="none" w:sz="0" w:space="0" w:color="auto"/>
                <w:left w:val="none" w:sz="0" w:space="0" w:color="auto"/>
                <w:bottom w:val="none" w:sz="0" w:space="0" w:color="auto"/>
                <w:right w:val="none" w:sz="0" w:space="0" w:color="auto"/>
              </w:divBdr>
            </w:div>
            <w:div w:id="1066105527">
              <w:marLeft w:val="0"/>
              <w:marRight w:val="0"/>
              <w:marTop w:val="0"/>
              <w:marBottom w:val="0"/>
              <w:divBdr>
                <w:top w:val="none" w:sz="0" w:space="0" w:color="auto"/>
                <w:left w:val="none" w:sz="0" w:space="0" w:color="auto"/>
                <w:bottom w:val="none" w:sz="0" w:space="0" w:color="auto"/>
                <w:right w:val="none" w:sz="0" w:space="0" w:color="auto"/>
              </w:divBdr>
            </w:div>
            <w:div w:id="1803687828">
              <w:marLeft w:val="0"/>
              <w:marRight w:val="0"/>
              <w:marTop w:val="0"/>
              <w:marBottom w:val="0"/>
              <w:divBdr>
                <w:top w:val="none" w:sz="0" w:space="0" w:color="auto"/>
                <w:left w:val="none" w:sz="0" w:space="0" w:color="auto"/>
                <w:bottom w:val="none" w:sz="0" w:space="0" w:color="auto"/>
                <w:right w:val="none" w:sz="0" w:space="0" w:color="auto"/>
              </w:divBdr>
            </w:div>
            <w:div w:id="706563373">
              <w:marLeft w:val="0"/>
              <w:marRight w:val="0"/>
              <w:marTop w:val="0"/>
              <w:marBottom w:val="0"/>
              <w:divBdr>
                <w:top w:val="none" w:sz="0" w:space="0" w:color="auto"/>
                <w:left w:val="none" w:sz="0" w:space="0" w:color="auto"/>
                <w:bottom w:val="none" w:sz="0" w:space="0" w:color="auto"/>
                <w:right w:val="none" w:sz="0" w:space="0" w:color="auto"/>
              </w:divBdr>
            </w:div>
            <w:div w:id="1380544691">
              <w:marLeft w:val="0"/>
              <w:marRight w:val="0"/>
              <w:marTop w:val="0"/>
              <w:marBottom w:val="0"/>
              <w:divBdr>
                <w:top w:val="none" w:sz="0" w:space="0" w:color="auto"/>
                <w:left w:val="none" w:sz="0" w:space="0" w:color="auto"/>
                <w:bottom w:val="none" w:sz="0" w:space="0" w:color="auto"/>
                <w:right w:val="none" w:sz="0" w:space="0" w:color="auto"/>
              </w:divBdr>
            </w:div>
            <w:div w:id="469981330">
              <w:marLeft w:val="0"/>
              <w:marRight w:val="0"/>
              <w:marTop w:val="0"/>
              <w:marBottom w:val="0"/>
              <w:divBdr>
                <w:top w:val="none" w:sz="0" w:space="0" w:color="auto"/>
                <w:left w:val="none" w:sz="0" w:space="0" w:color="auto"/>
                <w:bottom w:val="none" w:sz="0" w:space="0" w:color="auto"/>
                <w:right w:val="none" w:sz="0" w:space="0" w:color="auto"/>
              </w:divBdr>
            </w:div>
            <w:div w:id="151264439">
              <w:marLeft w:val="0"/>
              <w:marRight w:val="0"/>
              <w:marTop w:val="0"/>
              <w:marBottom w:val="0"/>
              <w:divBdr>
                <w:top w:val="none" w:sz="0" w:space="0" w:color="auto"/>
                <w:left w:val="none" w:sz="0" w:space="0" w:color="auto"/>
                <w:bottom w:val="none" w:sz="0" w:space="0" w:color="auto"/>
                <w:right w:val="none" w:sz="0" w:space="0" w:color="auto"/>
              </w:divBdr>
            </w:div>
            <w:div w:id="255601849">
              <w:marLeft w:val="0"/>
              <w:marRight w:val="0"/>
              <w:marTop w:val="0"/>
              <w:marBottom w:val="0"/>
              <w:divBdr>
                <w:top w:val="none" w:sz="0" w:space="0" w:color="auto"/>
                <w:left w:val="none" w:sz="0" w:space="0" w:color="auto"/>
                <w:bottom w:val="none" w:sz="0" w:space="0" w:color="auto"/>
                <w:right w:val="none" w:sz="0" w:space="0" w:color="auto"/>
              </w:divBdr>
            </w:div>
            <w:div w:id="501243689">
              <w:marLeft w:val="0"/>
              <w:marRight w:val="0"/>
              <w:marTop w:val="0"/>
              <w:marBottom w:val="0"/>
              <w:divBdr>
                <w:top w:val="none" w:sz="0" w:space="0" w:color="auto"/>
                <w:left w:val="none" w:sz="0" w:space="0" w:color="auto"/>
                <w:bottom w:val="none" w:sz="0" w:space="0" w:color="auto"/>
                <w:right w:val="none" w:sz="0" w:space="0" w:color="auto"/>
              </w:divBdr>
            </w:div>
            <w:div w:id="1087773138">
              <w:marLeft w:val="0"/>
              <w:marRight w:val="0"/>
              <w:marTop w:val="0"/>
              <w:marBottom w:val="0"/>
              <w:divBdr>
                <w:top w:val="none" w:sz="0" w:space="0" w:color="auto"/>
                <w:left w:val="none" w:sz="0" w:space="0" w:color="auto"/>
                <w:bottom w:val="none" w:sz="0" w:space="0" w:color="auto"/>
                <w:right w:val="none" w:sz="0" w:space="0" w:color="auto"/>
              </w:divBdr>
            </w:div>
            <w:div w:id="193881562">
              <w:marLeft w:val="0"/>
              <w:marRight w:val="0"/>
              <w:marTop w:val="0"/>
              <w:marBottom w:val="0"/>
              <w:divBdr>
                <w:top w:val="none" w:sz="0" w:space="0" w:color="auto"/>
                <w:left w:val="none" w:sz="0" w:space="0" w:color="auto"/>
                <w:bottom w:val="none" w:sz="0" w:space="0" w:color="auto"/>
                <w:right w:val="none" w:sz="0" w:space="0" w:color="auto"/>
              </w:divBdr>
            </w:div>
            <w:div w:id="2763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8/08/relationships/commentsExtensible" Target="commentsExtensible.xml"/><Relationship Id="rId8" Type="http://schemas.openxmlformats.org/officeDocument/2006/relationships/webSettings" Target="webSettings.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1d3703b-2953-4ea7-94d8-8882463fa1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04603FA08F424499B08D45CE8248CD" ma:contentTypeVersion="18" ma:contentTypeDescription="Crea un document nou" ma:contentTypeScope="" ma:versionID="4cd42ffccaa8e16e46b35b61e66cc718">
  <xsd:schema xmlns:xsd="http://www.w3.org/2001/XMLSchema" xmlns:xs="http://www.w3.org/2001/XMLSchema" xmlns:p="http://schemas.microsoft.com/office/2006/metadata/properties" xmlns:ns3="ffdabc64-5a55-4f9b-a15c-3745143d0a0d" xmlns:ns4="d1d3703b-2953-4ea7-94d8-8882463fa16a" targetNamespace="http://schemas.microsoft.com/office/2006/metadata/properties" ma:root="true" ma:fieldsID="4575ebbd64002bc5d461a554f52101ec" ns3:_="" ns4:_="">
    <xsd:import namespace="ffdabc64-5a55-4f9b-a15c-3745143d0a0d"/>
    <xsd:import namespace="d1d3703b-2953-4ea7-94d8-8882463fa1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_activity" minOccurs="0"/>
                <xsd:element ref="ns4:MediaLengthInSeconds"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abc64-5a55-4f9b-a15c-3745143d0a0d" elementFormDefault="qualified">
    <xsd:import namespace="http://schemas.microsoft.com/office/2006/documentManagement/types"/>
    <xsd:import namespace="http://schemas.microsoft.com/office/infopath/2007/PartnerControls"/>
    <xsd:element name="SharedWithUsers" ma:index="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 compartit amb detalls" ma:internalName="SharedWithDetails" ma:readOnly="true">
      <xsd:simpleType>
        <xsd:restriction base="dms:Note">
          <xsd:maxLength value="255"/>
        </xsd:restriction>
      </xsd:simpleType>
    </xsd:element>
    <xsd:element name="SharingHintHash" ma:index="10" nillable="true" ma:displayName="Hash de la indicació per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d3703b-2953-4ea7-94d8-8882463fa1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DF40-AE7D-4371-B275-8E40245D8F5D}">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d1d3703b-2953-4ea7-94d8-8882463fa16a"/>
    <ds:schemaRef ds:uri="http://www.w3.org/XML/1998/namespace"/>
    <ds:schemaRef ds:uri="ffdabc64-5a55-4f9b-a15c-3745143d0a0d"/>
    <ds:schemaRef ds:uri="http://purl.org/dc/dcmitype/"/>
    <ds:schemaRef ds:uri="http://purl.org/dc/terms/"/>
  </ds:schemaRefs>
</ds:datastoreItem>
</file>

<file path=customXml/itemProps2.xml><?xml version="1.0" encoding="utf-8"?>
<ds:datastoreItem xmlns:ds="http://schemas.openxmlformats.org/officeDocument/2006/customXml" ds:itemID="{9CCDB3F8-D0F7-41EA-88B0-EFB40E183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abc64-5a55-4f9b-a15c-3745143d0a0d"/>
    <ds:schemaRef ds:uri="d1d3703b-2953-4ea7-94d8-8882463fa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90031-1AAE-460F-88A7-619155B46120}">
  <ds:schemaRefs>
    <ds:schemaRef ds:uri="http://schemas.microsoft.com/sharepoint/v3/contenttype/forms"/>
  </ds:schemaRefs>
</ds:datastoreItem>
</file>

<file path=customXml/itemProps4.xml><?xml version="1.0" encoding="utf-8"?>
<ds:datastoreItem xmlns:ds="http://schemas.openxmlformats.org/officeDocument/2006/customXml" ds:itemID="{72DF4289-EF87-4FC1-B544-82DA7E81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5558</TotalTime>
  <Pages>27</Pages>
  <Words>4812</Words>
  <Characters>27435</Characters>
  <Application>Microsoft Office Word</Application>
  <DocSecurity>0</DocSecurity>
  <Lines>228</Lines>
  <Paragraphs>64</Paragraphs>
  <ScaleCrop>false</ScaleCrop>
  <HeadingPairs>
    <vt:vector size="2" baseType="variant">
      <vt:variant>
        <vt:lpstr>Títol</vt:lpstr>
      </vt:variant>
      <vt:variant>
        <vt:i4>1</vt:i4>
      </vt:variant>
    </vt:vector>
  </HeadingPairs>
  <TitlesOfParts>
    <vt:vector size="1" baseType="lpstr">
      <vt:lpstr/>
    </vt:vector>
  </TitlesOfParts>
  <Company>Fujitsu</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Carot Sans, Gerard</dc:creator>
  <cp:keywords/>
  <dc:description/>
  <cp:lastModifiedBy>Valero Bover, Damia</cp:lastModifiedBy>
  <cp:revision>39</cp:revision>
  <dcterms:created xsi:type="dcterms:W3CDTF">2025-07-27T18:02:00Z</dcterms:created>
  <dcterms:modified xsi:type="dcterms:W3CDTF">2025-10-13T14:21:00Z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0x010100B704603FA08F424499B08D45CE8248CD</vt:lpwstr>
  </property>
</Properties>
</file>