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821D6" w:rsidRDefault="00E821D6" w:rsidP="00E821D6">
      <w:pPr>
        <w:pStyle w:val="Heading2"/>
        <w:jc w:val="left"/>
      </w:pPr>
      <w:r>
        <w:t>Supplement</w:t>
      </w:r>
      <w:r>
        <w:t>ary</w:t>
      </w:r>
      <w:r>
        <w:t xml:space="preserve"> Material</w:t>
      </w:r>
    </w:p>
    <w:p w:rsidR="00E821D6" w:rsidRDefault="00E821D6" w:rsidP="00E821D6">
      <w:pPr>
        <w:pStyle w:val="Caption"/>
        <w:jc w:val="left"/>
        <w:rPr>
          <w:b/>
          <w:bCs/>
        </w:rPr>
      </w:pPr>
      <w:r>
        <w:rPr>
          <w:noProof/>
        </w:rPr>
        <w:drawing>
          <wp:inline distT="0" distB="0" distL="0" distR="0" wp14:anchorId="4BB1C562" wp14:editId="7DEE0D1A">
            <wp:extent cx="6192520" cy="8761095"/>
            <wp:effectExtent l="19050" t="19050" r="17780" b="20955"/>
            <wp:docPr id="1562882028" name="Grafik 1" descr="Ein Bild, das Text, Diagramm, Plan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82028" name="Grafik 1" descr="Ein Bild, das Text, Diagramm, Plan, Screenshot enthält.&#10;&#10;KI-generierte Inhalte können fehlerhaft sei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761095"/>
                    </a:xfrm>
                    <a:prstGeom prst="rect">
                      <a:avLst/>
                    </a:prstGeom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E821D6" w:rsidRDefault="00E821D6" w:rsidP="00E821D6">
      <w:pPr>
        <w:pStyle w:val="Caption"/>
        <w:jc w:val="left"/>
        <w:rPr>
          <w:b/>
          <w:bCs/>
        </w:rPr>
      </w:pPr>
      <w:r w:rsidRPr="00F448B5">
        <w:rPr>
          <w:b/>
          <w:bCs/>
        </w:rPr>
        <w:t>Figure S</w:t>
      </w:r>
      <w:r w:rsidRPr="00F448B5">
        <w:rPr>
          <w:b/>
          <w:bCs/>
        </w:rPr>
        <w:fldChar w:fldCharType="begin"/>
      </w:r>
      <w:r w:rsidRPr="00F448B5">
        <w:rPr>
          <w:b/>
          <w:bCs/>
        </w:rPr>
        <w:instrText xml:space="preserve"> SEQ Figure_S \* ARABIC </w:instrText>
      </w:r>
      <w:r w:rsidRPr="00F448B5">
        <w:rPr>
          <w:b/>
          <w:bCs/>
        </w:rPr>
        <w:fldChar w:fldCharType="separate"/>
      </w:r>
      <w:r w:rsidRPr="00F448B5">
        <w:rPr>
          <w:b/>
          <w:bCs/>
          <w:noProof/>
        </w:rPr>
        <w:t>1</w:t>
      </w:r>
      <w:r w:rsidRPr="00F448B5">
        <w:rPr>
          <w:b/>
          <w:bCs/>
        </w:rPr>
        <w:fldChar w:fldCharType="end"/>
      </w:r>
      <w:r>
        <w:rPr>
          <w:b/>
          <w:bCs/>
        </w:rPr>
        <w:t>.</w:t>
      </w:r>
      <w:r w:rsidRPr="00F448B5">
        <w:rPr>
          <w:b/>
          <w:bCs/>
        </w:rPr>
        <w:t xml:space="preserve"> </w:t>
      </w:r>
      <w:r>
        <w:rPr>
          <w:b/>
          <w:bCs/>
        </w:rPr>
        <w:t xml:space="preserve">Staggered immunisation with </w:t>
      </w:r>
      <w:r w:rsidRPr="002862CE">
        <w:rPr>
          <w:b/>
          <w:bCs/>
        </w:rPr>
        <w:t xml:space="preserve">BCG </w:t>
      </w:r>
      <w:r>
        <w:rPr>
          <w:b/>
          <w:bCs/>
        </w:rPr>
        <w:t>and Ad enables partial</w:t>
      </w:r>
      <w:r w:rsidRPr="002862CE">
        <w:rPr>
          <w:b/>
          <w:bCs/>
        </w:rPr>
        <w:t xml:space="preserve"> protection against malaria in mice</w:t>
      </w:r>
      <w:r>
        <w:t>.</w:t>
      </w:r>
    </w:p>
    <w:p w:rsidR="00E821D6" w:rsidRDefault="00E821D6" w:rsidP="00E821D6">
      <w:pPr>
        <w:pStyle w:val="Caption"/>
        <w:jc w:val="left"/>
      </w:pPr>
      <w:r w:rsidRPr="005D5F64">
        <w:rPr>
          <w:b/>
          <w:bCs/>
        </w:rPr>
        <w:lastRenderedPageBreak/>
        <w:t>(</w:t>
      </w:r>
      <w:r>
        <w:rPr>
          <w:b/>
          <w:bCs/>
        </w:rPr>
        <w:t>a</w:t>
      </w:r>
      <w:r w:rsidRPr="005D5F64">
        <w:rPr>
          <w:b/>
          <w:bCs/>
        </w:rPr>
        <w:t>)</w:t>
      </w:r>
      <w:r>
        <w:t xml:space="preserve"> Survival post-malaria challenge: BALB/c mice were vaccinated with a BCG prime Ad boost regimen at indicated intervals and challenged with malaria 2 weeks post Ad immunisation. Parasitaemia was assessed by daily blood smears, with 1% parasitaemia taken as irreversible malaria infection (n </w:t>
      </w:r>
      <w:r w:rsidRPr="00517830">
        <w:t>≥</w:t>
      </w:r>
      <w:r>
        <w:t xml:space="preserve"> 8).</w:t>
      </w:r>
    </w:p>
    <w:p w:rsidR="00E821D6" w:rsidRDefault="00E821D6" w:rsidP="00E821D6">
      <w:pPr>
        <w:pStyle w:val="Caption"/>
        <w:jc w:val="left"/>
      </w:pPr>
      <w:r w:rsidRPr="005D5F64">
        <w:rPr>
          <w:b/>
          <w:bCs/>
        </w:rPr>
        <w:t>(</w:t>
      </w:r>
      <w:r>
        <w:rPr>
          <w:b/>
          <w:bCs/>
        </w:rPr>
        <w:t>b</w:t>
      </w:r>
      <w:r w:rsidRPr="005D5F64">
        <w:rPr>
          <w:b/>
          <w:bCs/>
        </w:rPr>
        <w:t xml:space="preserve"> and </w:t>
      </w:r>
      <w:r>
        <w:rPr>
          <w:b/>
          <w:bCs/>
        </w:rPr>
        <w:t>c</w:t>
      </w:r>
      <w:r w:rsidRPr="005D5F64">
        <w:rPr>
          <w:b/>
          <w:bCs/>
        </w:rPr>
        <w:t>)</w:t>
      </w:r>
      <w:r>
        <w:t xml:space="preserve"> T cell phenotyping of splenic and hepatic cells by FACS after vaccination and harvest as described in 1a) (n = 6). Top panels show the distribution of T cell subpopulations within the CD8</w:t>
      </w:r>
      <w:r w:rsidRPr="00917D8D">
        <w:rPr>
          <w:vertAlign w:val="superscript"/>
        </w:rPr>
        <w:t>+</w:t>
      </w:r>
      <w:r>
        <w:t xml:space="preserve"> T cell compartment. Middle panels show relative numbers of Pb9-specific cells within T cell subpopulations. Bottom panels show the </w:t>
      </w:r>
      <w:proofErr w:type="spellStart"/>
      <w:r>
        <w:t>gMFI</w:t>
      </w:r>
      <w:proofErr w:type="spellEnd"/>
      <w:r>
        <w:t xml:space="preserve"> of the liver homing marker CXCR6 for Pb9-specific T cells and Pb9</w:t>
      </w:r>
      <w:r w:rsidRPr="00A22F77">
        <w:rPr>
          <w:vertAlign w:val="superscript"/>
        </w:rPr>
        <w:t>-</w:t>
      </w:r>
      <w:r>
        <w:t xml:space="preserve"> CD8</w:t>
      </w:r>
      <w:r w:rsidRPr="00A22F77">
        <w:rPr>
          <w:vertAlign w:val="superscript"/>
        </w:rPr>
        <w:t>+</w:t>
      </w:r>
      <w:r>
        <w:t xml:space="preserve"> T cells.</w:t>
      </w:r>
    </w:p>
    <w:p w:rsidR="00E821D6" w:rsidRDefault="00E821D6" w:rsidP="00E821D6">
      <w:pPr>
        <w:pStyle w:val="Caption"/>
        <w:jc w:val="left"/>
      </w:pPr>
      <w:r w:rsidRPr="00B86164">
        <w:rPr>
          <w:b/>
          <w:bCs/>
        </w:rPr>
        <w:t>(</w:t>
      </w:r>
      <w:r>
        <w:rPr>
          <w:b/>
          <w:bCs/>
        </w:rPr>
        <w:t>d</w:t>
      </w:r>
      <w:r w:rsidRPr="00B86164">
        <w:rPr>
          <w:b/>
          <w:bCs/>
        </w:rPr>
        <w:t>)</w:t>
      </w:r>
      <w:r>
        <w:t xml:space="preserve"> Gating strategy for T cell FACS data shown in figure 1 and S1.</w:t>
      </w:r>
    </w:p>
    <w:p w:rsidR="00E821D6" w:rsidRPr="00652973" w:rsidRDefault="00E821D6" w:rsidP="00E821D6"/>
    <w:p w:rsidR="00E821D6" w:rsidRDefault="00E821D6" w:rsidP="00E821D6"/>
    <w:p w:rsidR="00E821D6" w:rsidRPr="00A22F77" w:rsidRDefault="00E821D6" w:rsidP="00E821D6"/>
    <w:p w:rsidR="00E821D6" w:rsidRDefault="00E821D6" w:rsidP="00E821D6">
      <w:pPr>
        <w:pStyle w:val="Caption"/>
        <w:jc w:val="left"/>
        <w:rPr>
          <w:b/>
          <w:bCs/>
        </w:rPr>
      </w:pPr>
      <w:r>
        <w:rPr>
          <w:noProof/>
        </w:rPr>
        <w:drawing>
          <wp:inline distT="0" distB="0" distL="0" distR="0" wp14:anchorId="307989BE" wp14:editId="41A61C0F">
            <wp:extent cx="6192520" cy="4093210"/>
            <wp:effectExtent l="19050" t="19050" r="17780" b="21590"/>
            <wp:docPr id="2126172244" name="Grafik 1" descr="Ein Bild, das Text, Diagramm, Karte, Pla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72244" name="Grafik 1" descr="Ein Bild, das Text, Diagramm, Karte, Plan enthält.&#10;&#10;KI-generierte Inhalte können fehlerhaft sei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093210"/>
                    </a:xfrm>
                    <a:prstGeom prst="rect">
                      <a:avLst/>
                    </a:prstGeom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E821D6" w:rsidRPr="00F448B5" w:rsidRDefault="00E821D6" w:rsidP="00E821D6">
      <w:pPr>
        <w:pStyle w:val="Caption"/>
        <w:jc w:val="left"/>
        <w:rPr>
          <w:b/>
          <w:bCs/>
        </w:rPr>
      </w:pPr>
      <w:r w:rsidRPr="00F448B5">
        <w:rPr>
          <w:b/>
          <w:bCs/>
        </w:rPr>
        <w:t>Figure S</w:t>
      </w:r>
      <w:r w:rsidRPr="00F448B5">
        <w:rPr>
          <w:b/>
          <w:bCs/>
        </w:rPr>
        <w:fldChar w:fldCharType="begin"/>
      </w:r>
      <w:r w:rsidRPr="00F448B5">
        <w:rPr>
          <w:b/>
          <w:bCs/>
        </w:rPr>
        <w:instrText xml:space="preserve"> SEQ Figure_S \* ARABIC </w:instrText>
      </w:r>
      <w:r w:rsidRPr="00F448B5">
        <w:rPr>
          <w:b/>
          <w:bCs/>
        </w:rPr>
        <w:fldChar w:fldCharType="separate"/>
      </w:r>
      <w:r w:rsidRPr="00F448B5">
        <w:rPr>
          <w:b/>
          <w:bCs/>
          <w:noProof/>
        </w:rPr>
        <w:t>2</w:t>
      </w:r>
      <w:r w:rsidRPr="00F448B5">
        <w:rPr>
          <w:b/>
          <w:bCs/>
        </w:rPr>
        <w:fldChar w:fldCharType="end"/>
      </w:r>
      <w:r>
        <w:rPr>
          <w:b/>
          <w:bCs/>
        </w:rPr>
        <w:t>.</w:t>
      </w:r>
      <w:r w:rsidRPr="00F448B5">
        <w:rPr>
          <w:b/>
          <w:bCs/>
        </w:rPr>
        <w:t xml:space="preserve"> </w:t>
      </w:r>
      <w:r>
        <w:rPr>
          <w:b/>
          <w:bCs/>
        </w:rPr>
        <w:t xml:space="preserve">Ad and BCG co-administration enhances the memory B cell compartment. </w:t>
      </w:r>
    </w:p>
    <w:p w:rsidR="00E821D6" w:rsidRDefault="00E821D6" w:rsidP="00E821D6">
      <w:pPr>
        <w:pStyle w:val="Caption"/>
        <w:jc w:val="left"/>
      </w:pPr>
      <w:r w:rsidRPr="00B86164">
        <w:rPr>
          <w:b/>
          <w:bCs/>
        </w:rPr>
        <w:t>(</w:t>
      </w:r>
      <w:r>
        <w:rPr>
          <w:b/>
          <w:bCs/>
        </w:rPr>
        <w:t>a - c</w:t>
      </w:r>
      <w:r w:rsidRPr="00B86164">
        <w:rPr>
          <w:b/>
          <w:bCs/>
        </w:rPr>
        <w:t>)</w:t>
      </w:r>
      <w:r>
        <w:t xml:space="preserve"> Total B cell phenotyping of splenic cells by FACS after vaccination and harvest as in Figure 1a). The specific cell populations are indicated. Gating strategy as in figure S2d. Median + replicates) (n = 8); </w:t>
      </w:r>
      <w:r w:rsidRPr="00EB1186">
        <w:t xml:space="preserve">One-way ANOVA with Bonferroni’s </w:t>
      </w:r>
      <w:r>
        <w:t xml:space="preserve">correction for </w:t>
      </w:r>
      <w:r w:rsidRPr="00EB1186">
        <w:t>multiple comparison</w:t>
      </w:r>
      <w:r>
        <w:t>s</w:t>
      </w:r>
      <w:r w:rsidRPr="00EB1186">
        <w:t xml:space="preserve">; </w:t>
      </w:r>
      <w:r>
        <w:t>*</w:t>
      </w:r>
      <w:r w:rsidRPr="00EB1186">
        <w:t>p &lt; 0.0</w:t>
      </w:r>
      <w:r>
        <w:t>5</w:t>
      </w:r>
      <w:r w:rsidRPr="00EB1186">
        <w:t>;</w:t>
      </w:r>
      <w:r w:rsidRPr="00DC75B0">
        <w:t xml:space="preserve"> </w:t>
      </w:r>
      <w:r>
        <w:t>**</w:t>
      </w:r>
      <w:r w:rsidRPr="00EB1186">
        <w:t xml:space="preserve">p &lt; 0.01; </w:t>
      </w:r>
      <w:r>
        <w:t>****</w:t>
      </w:r>
      <w:r w:rsidRPr="00EB1186">
        <w:t>p &lt; 0.0001.</w:t>
      </w:r>
    </w:p>
    <w:p w:rsidR="00E821D6" w:rsidRDefault="00E821D6" w:rsidP="00E821D6">
      <w:pPr>
        <w:pStyle w:val="Caption"/>
        <w:jc w:val="left"/>
      </w:pPr>
      <w:r w:rsidRPr="008302D6">
        <w:rPr>
          <w:b/>
          <w:bCs/>
        </w:rPr>
        <w:t>(</w:t>
      </w:r>
      <w:r>
        <w:rPr>
          <w:b/>
          <w:bCs/>
        </w:rPr>
        <w:t>d</w:t>
      </w:r>
      <w:r w:rsidRPr="008302D6">
        <w:rPr>
          <w:b/>
          <w:bCs/>
        </w:rPr>
        <w:t>)</w:t>
      </w:r>
      <w:r>
        <w:t xml:space="preserve"> Gating strategy for B cell FACS data shown in Figure 1 and S2. </w:t>
      </w:r>
    </w:p>
    <w:p w:rsidR="00E821D6" w:rsidRPr="00652973" w:rsidRDefault="00E821D6" w:rsidP="00E821D6"/>
    <w:p w:rsidR="00E821D6" w:rsidRDefault="00E821D6" w:rsidP="00E821D6">
      <w:pPr>
        <w:pStyle w:val="Caption"/>
        <w:jc w:val="left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C8F43B8" wp14:editId="3F259C45">
            <wp:extent cx="6192520" cy="5308600"/>
            <wp:effectExtent l="19050" t="19050" r="17780" b="25400"/>
            <wp:docPr id="1222548371" name="Grafik 1" descr="Ein Bild, das Text, Diagramm, Plan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548371" name="Grafik 1" descr="Ein Bild, das Text, Diagramm, Plan, Reihe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308600"/>
                    </a:xfrm>
                    <a:prstGeom prst="rect">
                      <a:avLst/>
                    </a:prstGeom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E821D6" w:rsidRPr="00F448B5" w:rsidRDefault="00E821D6" w:rsidP="00E821D6">
      <w:pPr>
        <w:pStyle w:val="Caption"/>
        <w:jc w:val="left"/>
        <w:rPr>
          <w:b/>
          <w:bCs/>
        </w:rPr>
      </w:pPr>
      <w:r w:rsidRPr="00F448B5">
        <w:rPr>
          <w:b/>
          <w:bCs/>
        </w:rPr>
        <w:t>Figure S</w:t>
      </w:r>
      <w:r w:rsidRPr="00F448B5">
        <w:rPr>
          <w:b/>
          <w:bCs/>
        </w:rPr>
        <w:fldChar w:fldCharType="begin"/>
      </w:r>
      <w:r w:rsidRPr="00F448B5">
        <w:rPr>
          <w:b/>
          <w:bCs/>
        </w:rPr>
        <w:instrText xml:space="preserve"> SEQ Figure_S \* ARABIC </w:instrText>
      </w:r>
      <w:r w:rsidRPr="00F448B5">
        <w:rPr>
          <w:b/>
          <w:bCs/>
        </w:rPr>
        <w:fldChar w:fldCharType="separate"/>
      </w:r>
      <w:r w:rsidRPr="00F448B5">
        <w:rPr>
          <w:b/>
          <w:bCs/>
          <w:noProof/>
        </w:rPr>
        <w:t>3</w:t>
      </w:r>
      <w:r w:rsidRPr="00F448B5">
        <w:rPr>
          <w:b/>
          <w:bCs/>
        </w:rPr>
        <w:fldChar w:fldCharType="end"/>
      </w:r>
      <w:r>
        <w:rPr>
          <w:b/>
          <w:bCs/>
        </w:rPr>
        <w:t>.</w:t>
      </w:r>
      <w:r w:rsidRPr="00F448B5">
        <w:rPr>
          <w:b/>
          <w:bCs/>
        </w:rPr>
        <w:t xml:space="preserve"> </w:t>
      </w:r>
      <w:r>
        <w:rPr>
          <w:b/>
          <w:bCs/>
        </w:rPr>
        <w:t>Innate cytokine kinetics post Ad and BCG immunisation</w:t>
      </w:r>
    </w:p>
    <w:p w:rsidR="00E821D6" w:rsidRDefault="00E821D6" w:rsidP="00E821D6">
      <w:pPr>
        <w:pStyle w:val="Caption"/>
        <w:jc w:val="left"/>
      </w:pPr>
      <w:r w:rsidRPr="00D27B43">
        <w:t>Detailed</w:t>
      </w:r>
      <w:r>
        <w:t xml:space="preserve"> representation of data shown in Figure 2b – d.</w:t>
      </w:r>
      <w:r>
        <w:rPr>
          <w:b/>
          <w:bCs/>
        </w:rPr>
        <w:t xml:space="preserve"> </w:t>
      </w:r>
      <w:r>
        <w:t>Vaccine dose per mouse: 0.5x10</w:t>
      </w:r>
      <w:r w:rsidRPr="00804D9F">
        <w:rPr>
          <w:vertAlign w:val="superscript"/>
        </w:rPr>
        <w:t>5</w:t>
      </w:r>
      <w:r>
        <w:t xml:space="preserve"> CFU for BCG and </w:t>
      </w:r>
      <w:r w:rsidRPr="00574A1F">
        <w:t>5x10</w:t>
      </w:r>
      <w:r w:rsidRPr="00574A1F">
        <w:rPr>
          <w:vertAlign w:val="superscript"/>
        </w:rPr>
        <w:t>7</w:t>
      </w:r>
      <w:r w:rsidRPr="00574A1F">
        <w:t xml:space="preserve"> </w:t>
      </w:r>
      <w:proofErr w:type="spellStart"/>
      <w:r w:rsidRPr="00574A1F">
        <w:t>i.u.</w:t>
      </w:r>
      <w:proofErr w:type="spellEnd"/>
      <w:r>
        <w:t xml:space="preserve"> for </w:t>
      </w:r>
      <w:r w:rsidRPr="00625B34">
        <w:t>AdHu5-</w:t>
      </w:r>
      <w:proofErr w:type="gramStart"/>
      <w:r w:rsidRPr="00625B34">
        <w:t>TIPeGFP</w:t>
      </w:r>
      <w:r>
        <w:t xml:space="preserve"> )</w:t>
      </w:r>
      <w:proofErr w:type="gramEnd"/>
      <w:r>
        <w:t xml:space="preserve"> (n = 6). In the </w:t>
      </w:r>
      <w:proofErr w:type="spellStart"/>
      <w:r>
        <w:t>Ad+BCG</w:t>
      </w:r>
      <w:proofErr w:type="spellEnd"/>
      <w:r>
        <w:t xml:space="preserve"> group, Ad was injected into the right leg and BCG into the left leg. Indicated cytokines were measured using </w:t>
      </w:r>
      <w:proofErr w:type="spellStart"/>
      <w:r>
        <w:t>LEGENDplex</w:t>
      </w:r>
      <w:r w:rsidRPr="00CF46F8">
        <w:rPr>
          <w:vertAlign w:val="superscript"/>
        </w:rPr>
        <w:t>TM</w:t>
      </w:r>
      <w:proofErr w:type="spellEnd"/>
      <w:r>
        <w:t xml:space="preserve"> MU Anti-Virus Response Panel. Graphs show the cytokine levels detected in the serum, spleen, and the site of immunisation (SOI) in the </w:t>
      </w:r>
      <w:proofErr w:type="spellStart"/>
      <w:r>
        <w:t>ipsi</w:t>
      </w:r>
      <w:proofErr w:type="spellEnd"/>
      <w:r>
        <w:t xml:space="preserve">- and contra-lateral muscles for each vaccine (Ad alone and BCG alone: contralateral leg received no vaccine, </w:t>
      </w:r>
      <w:proofErr w:type="spellStart"/>
      <w:r>
        <w:t>Ad+BCG</w:t>
      </w:r>
      <w:proofErr w:type="spellEnd"/>
      <w:r>
        <w:t xml:space="preserve">: each leg received one of the vaccines). </w:t>
      </w:r>
    </w:p>
    <w:p w:rsidR="00E821D6" w:rsidRPr="00652973" w:rsidRDefault="00E821D6" w:rsidP="00E821D6"/>
    <w:p w:rsidR="00E821D6" w:rsidRPr="00F771A6" w:rsidRDefault="00E821D6" w:rsidP="00E821D6">
      <w:pPr>
        <w:jc w:val="left"/>
      </w:pPr>
    </w:p>
    <w:p w:rsidR="009701D5" w:rsidRPr="00E821D6" w:rsidRDefault="009701D5" w:rsidP="00E821D6">
      <w:pPr>
        <w:spacing w:after="200" w:line="276" w:lineRule="auto"/>
        <w:jc w:val="left"/>
        <w:rPr>
          <w:rFonts w:eastAsiaTheme="majorEastAsia" w:cstheme="majorBidi"/>
          <w:b/>
          <w:color w:val="2F5496" w:themeColor="accent1" w:themeShade="BF"/>
          <w:szCs w:val="26"/>
          <w:u w:val="single"/>
        </w:rPr>
      </w:pPr>
    </w:p>
    <w:sectPr w:rsidR="009701D5" w:rsidRPr="00E821D6" w:rsidSect="00E821D6">
      <w:pgSz w:w="11906" w:h="16838"/>
      <w:pgMar w:top="726" w:right="1440" w:bottom="82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1D6"/>
    <w:rsid w:val="009701D5"/>
    <w:rsid w:val="00B453E6"/>
    <w:rsid w:val="00E821D6"/>
    <w:rsid w:val="00E9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2C2ED4"/>
  <w15:chartTrackingRefBased/>
  <w15:docId w15:val="{5F3C0E1F-286D-F04D-8DBB-8A858E809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1D6"/>
    <w:pPr>
      <w:spacing w:after="160" w:line="360" w:lineRule="auto"/>
      <w:jc w:val="both"/>
    </w:pPr>
    <w:rPr>
      <w:rFonts w:ascii="Arial" w:hAnsi="Arial"/>
      <w:kern w:val="0"/>
      <w:sz w:val="22"/>
      <w:szCs w:val="22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21D6"/>
    <w:pPr>
      <w:keepNext/>
      <w:keepLines/>
      <w:spacing w:before="40" w:after="0"/>
      <w:outlineLvl w:val="1"/>
    </w:pPr>
    <w:rPr>
      <w:rFonts w:eastAsiaTheme="majorEastAsia" w:cstheme="majorBidi"/>
      <w:b/>
      <w:color w:val="2F5496" w:themeColor="accent1" w:themeShade="BF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basedOn w:val="DefaultParagraphFont"/>
    <w:uiPriority w:val="99"/>
    <w:semiHidden/>
    <w:unhideWhenUsed/>
    <w:rsid w:val="00E93F25"/>
    <w:rPr>
      <w:color w:val="000000" w:themeColor="text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821D6"/>
    <w:rPr>
      <w:rFonts w:ascii="Arial" w:eastAsiaTheme="majorEastAsia" w:hAnsi="Arial" w:cstheme="majorBidi"/>
      <w:b/>
      <w:color w:val="2F5496" w:themeColor="accent1" w:themeShade="BF"/>
      <w:kern w:val="0"/>
      <w:sz w:val="22"/>
      <w:szCs w:val="26"/>
      <w:u w:val="single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E821D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315</Words>
  <Characters>1801</Characters>
  <Application>Microsoft Office Word</Application>
  <DocSecurity>0</DocSecurity>
  <Lines>15</Lines>
  <Paragraphs>4</Paragraphs>
  <ScaleCrop>false</ScaleCrop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Milicic</dc:creator>
  <cp:keywords/>
  <dc:description/>
  <cp:lastModifiedBy>Anita Milicic</cp:lastModifiedBy>
  <cp:revision>1</cp:revision>
  <dcterms:created xsi:type="dcterms:W3CDTF">2025-10-14T12:05:00Z</dcterms:created>
  <dcterms:modified xsi:type="dcterms:W3CDTF">2025-10-14T12:07:00Z</dcterms:modified>
</cp:coreProperties>
</file>