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F612"/>
    <w:tbl>
      <w:tblPr>
        <w:tblStyle w:val="2"/>
        <w:tblW w:w="83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4335"/>
      </w:tblGrid>
      <w:tr w14:paraId="5EB555BB">
        <w:trPr>
          <w:trHeight w:val="270" w:hRule="atLeast"/>
        </w:trPr>
        <w:tc>
          <w:tcPr>
            <w:tcW w:w="40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B0BB5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Characteristic</w:t>
            </w:r>
          </w:p>
        </w:tc>
        <w:tc>
          <w:tcPr>
            <w:tcW w:w="43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085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n=28</w:t>
            </w:r>
          </w:p>
        </w:tc>
      </w:tr>
      <w:tr w14:paraId="0051166F"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6D14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Age (years),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median(range)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6A12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67 (55-80)</w:t>
            </w:r>
          </w:p>
        </w:tc>
      </w:tr>
      <w:tr w14:paraId="615C0284"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65BD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&lt;75,n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D434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19(67.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14:paraId="74A233B5"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9737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≥75,n(%)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FA38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9(32.1%)</w:t>
            </w:r>
          </w:p>
        </w:tc>
      </w:tr>
      <w:tr w14:paraId="20339A60"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69EA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Gender,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0C50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E6F6F35"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61FE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1CDC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16(57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bidi="ar"/>
              </w:rPr>
              <w:t>.1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14:paraId="469DD8F2"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150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5800B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12(4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14:paraId="5CCDD18B"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8A98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ECOG PS,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CBCA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A81BDDF">
        <w:trPr>
          <w:trHeight w:val="300" w:hRule="atLeast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CA5F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318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39.3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14:paraId="13A8086A"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DF11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6304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60.7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14:paraId="35A2CD01">
        <w:trPr>
          <w:trHeight w:val="38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897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Clinical stage,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0CA6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146A3FD"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F808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44E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4(14.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14:paraId="077EF6FB"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DED7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CA05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19(67.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14:paraId="043DD652"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5AD7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5D2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5(17.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14:paraId="64EC94F5"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3A9A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212121"/>
                <w:sz w:val="24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 w:val="24"/>
                <w:lang w:bidi="ar"/>
              </w:rPr>
              <w:t>Tumor location</w:t>
            </w:r>
            <w:r>
              <w:rPr>
                <w:rFonts w:hint="default" w:ascii="Times New Roman" w:hAnsi="Times New Roman" w:eastAsia="宋体" w:cs="Times New Roman"/>
                <w:color w:val="212121"/>
                <w:kern w:val="0"/>
                <w:sz w:val="24"/>
                <w:lang w:val="en-US"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212121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06FC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5BED7F2"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644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212121"/>
                <w:sz w:val="24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 w:val="24"/>
                <w:lang w:bidi="ar"/>
              </w:rPr>
              <w:t>Cervical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D98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1(3.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%)</w:t>
            </w:r>
          </w:p>
        </w:tc>
      </w:tr>
      <w:tr w14:paraId="7511F7B2"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F2D9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212121"/>
                <w:sz w:val="24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 w:val="24"/>
                <w:lang w:bidi="ar"/>
              </w:rPr>
              <w:t>Upper thoracic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C90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3(10.7%)</w:t>
            </w:r>
          </w:p>
        </w:tc>
      </w:tr>
      <w:tr w14:paraId="13AD2A7F"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8712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212121"/>
                <w:sz w:val="24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 w:val="24"/>
                <w:lang w:bidi="ar"/>
              </w:rPr>
              <w:t>Middle thoracic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F15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14(50.0%)</w:t>
            </w:r>
          </w:p>
        </w:tc>
      </w:tr>
      <w:tr w14:paraId="7388654B"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43F5F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212121"/>
                <w:sz w:val="24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 w:val="24"/>
                <w:lang w:bidi="ar"/>
              </w:rPr>
              <w:t>Lower thoracic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400EE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10(35.7%)</w:t>
            </w:r>
          </w:p>
        </w:tc>
      </w:tr>
    </w:tbl>
    <w:p w14:paraId="52A2E2FC">
      <w:pPr>
        <w:spacing w:line="360" w:lineRule="auto"/>
        <w:ind w:firstLine="480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1. Baseline characteristics of the patients</w:t>
      </w:r>
    </w:p>
    <w:p w14:paraId="46A18B75"/>
    <w:p w14:paraId="129CDB86">
      <w:pPr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Style w:val="2"/>
        <w:tblW w:w="746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3930"/>
      </w:tblGrid>
      <w:tr w14:paraId="3948C587">
        <w:trPr>
          <w:trHeight w:val="810" w:hRule="atLeast"/>
        </w:trPr>
        <w:tc>
          <w:tcPr>
            <w:tcW w:w="35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9E6FA9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Best overall response</w:t>
            </w:r>
          </w:p>
        </w:tc>
        <w:tc>
          <w:tcPr>
            <w:tcW w:w="3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2E60EA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Efficacy analysis set(n=28)</w:t>
            </w:r>
          </w:p>
        </w:tc>
      </w:tr>
      <w:tr w14:paraId="45C37B71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EA1B0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PD,n(%)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DA805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0(%)</w:t>
            </w:r>
          </w:p>
        </w:tc>
      </w:tr>
      <w:tr w14:paraId="14BADC8C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37DA8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SD,n(%)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88D8B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5(17.9%) </w:t>
            </w:r>
          </w:p>
        </w:tc>
      </w:tr>
      <w:tr w14:paraId="1B83D316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BB289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PR,n(%)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1D24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20(71.4%)</w:t>
            </w:r>
          </w:p>
        </w:tc>
      </w:tr>
      <w:tr w14:paraId="0A0B6968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A0C6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CR,n(%)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A519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3(10.7%)</w:t>
            </w:r>
          </w:p>
        </w:tc>
      </w:tr>
      <w:tr w14:paraId="324B5549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6C88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pCR,n (%)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B8E9F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18(64.3%)</w:t>
            </w:r>
          </w:p>
        </w:tc>
      </w:tr>
      <w:tr w14:paraId="18BDCD77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39E19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non-pCR,n (%)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4F0FB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10(35.7%)</w:t>
            </w:r>
          </w:p>
        </w:tc>
      </w:tr>
      <w:tr w14:paraId="0A3CE6BD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0082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ORR,n (%)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507E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82.1%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14:paraId="4F06B0F5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A8F7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DCR,n(%)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AF070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28(100%)</w:t>
            </w:r>
          </w:p>
        </w:tc>
      </w:tr>
      <w:tr w14:paraId="49817566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F90A7">
            <w:pPr>
              <w:spacing w:line="360" w:lineRule="auto"/>
              <w:ind w:firstLine="440" w:firstLineChars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Median PFS,months [95%Cl]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D34DB">
            <w:pPr>
              <w:spacing w:line="360" w:lineRule="auto"/>
              <w:ind w:firstLine="440" w:firstLineChars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 23.5 months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[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18.2–not reached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14:paraId="7E5E023B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819A9B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Median OS,months [95%Cl]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4E9E7">
            <w:pPr>
              <w:spacing w:line="360" w:lineRule="auto"/>
              <w:ind w:firstLine="440" w:firstLineChars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Reached</w:t>
            </w:r>
          </w:p>
        </w:tc>
      </w:tr>
    </w:tbl>
    <w:p w14:paraId="77887DED">
      <w:pPr>
        <w:spacing w:line="360" w:lineRule="auto"/>
        <w:ind w:firstLine="480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2  Response data of the efficacy analysis set</w:t>
      </w:r>
    </w:p>
    <w:p w14:paraId="6319C927"/>
    <w:tbl>
      <w:tblPr>
        <w:tblStyle w:val="2"/>
        <w:tblW w:w="9999" w:type="dxa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9"/>
        <w:gridCol w:w="543"/>
        <w:gridCol w:w="771"/>
        <w:gridCol w:w="443"/>
        <w:gridCol w:w="800"/>
        <w:gridCol w:w="457"/>
        <w:gridCol w:w="857"/>
        <w:gridCol w:w="315"/>
        <w:gridCol w:w="657"/>
        <w:gridCol w:w="400"/>
        <w:gridCol w:w="757"/>
      </w:tblGrid>
      <w:tr w14:paraId="2F354794">
        <w:trPr>
          <w:wAfter w:w="0" w:type="auto"/>
          <w:trHeight w:val="270" w:hRule="atLeast"/>
        </w:trPr>
        <w:tc>
          <w:tcPr>
            <w:tcW w:w="39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AC05A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Adverse Events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611C5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Grade 1 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87B6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Grade 2 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F259A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Grade 3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657F6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Grade 4 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D6883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Grade 5</w:t>
            </w:r>
          </w:p>
        </w:tc>
      </w:tr>
      <w:tr w14:paraId="63D862CE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7D42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3B34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1074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04E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546F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13F8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4CA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B78A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996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9CC4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7AC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</w:tr>
      <w:tr w14:paraId="6E1E9D17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35C1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Esophagitis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1B83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54DE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17.86%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7A8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8696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1796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A3E9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74E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1D5B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20F2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B198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6802977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D67C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Checkpoint inhibitor pneumonitis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310D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CFE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911C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AEE3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10.71%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347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3635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6DD9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FD3B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79A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223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833B06C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B9F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Radiation pneumonitis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2C6D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3458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0207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706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10.71%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9379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598F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BC5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CDB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3A2B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95F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0EA0C3B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DF9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Lung infection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5CB8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E80F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66C0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B42C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CA36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969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7.14%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ECF1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3E1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7A95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468B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</w:tr>
      <w:tr w14:paraId="3632DF57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DCB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Radiation dermatitis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5BE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A92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7.14%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066B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1A5EB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6F2A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6BE3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1E0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B4C7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1DA0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4C8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0BF560F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CF9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Hypokalemia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BC8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37DB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7.14%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B3DF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5B83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4E1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3A4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93D3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E19C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FED5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0FAB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BAEB49B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568E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Hyperkalemia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6052B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0EC4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55FB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50BD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878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12C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E96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0C7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0978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0AA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ED1625D">
        <w:trPr>
          <w:trHeight w:val="9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6A4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Hyponatremia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1536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6AF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46.43%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4ED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50C7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BBEA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D873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87F6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C5E0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CA3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DAF7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3B68513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771E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Hypocalcemia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ACA1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E69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35.71%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047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2B3C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9B4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205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BBDD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EDF6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889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B6FA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8F4E747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C00F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Hypomagnesemia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E067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B751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25.00%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26C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5AE2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485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0001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01FD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387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D4AB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8BA6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CA01214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9560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Hypermagnesemia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7009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EB92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7.14%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247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B457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3FA3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1B9C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03BC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1A47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E85E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C1C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3052545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8AF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Hyperglycemia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0FC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B39C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17.86%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458E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2F55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A4A7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7A4D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C0F2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DD10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408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025C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1EAABE1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39ED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Hyperlipidemia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384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7FE8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CCD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D56F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E819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919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05B9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6899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A637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6A9B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64F0868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7FA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Hypertriglyceridemia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E3E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C717B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7.14%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A326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BA40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A25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4A81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7B0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F6F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39F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89E5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CED1D52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25C5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Hypercholesterolemia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D584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0CAD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21.43%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1E67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3D0C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4E5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5108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6FC9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594B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5D74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0F7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51A2F52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AA04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Hypoalbuminemia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238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B45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21.43%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B14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354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17.86%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8E2A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9A3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653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0713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2EF5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5B41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C7FFF61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1E4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Hyperuricemia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45A3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4DFD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10.71%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B42D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443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5D37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E3BC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7CF9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43B6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02C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86F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EB285E8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503A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Hyperthyroidism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B031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DA1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F38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653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E88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CDB4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43B8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BBD7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09D3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CA4F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BED167C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7E2C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Hypothyroidism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FF4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EF4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26DC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301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14.29%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7F92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DB8C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6E7A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324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B45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6D8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0F067B8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544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Thyroid stimulating hormone increased / decreased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33C8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6F61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CB15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C4BA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C82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0E6B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F76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1CB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659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DB8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C5EF44E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7AEA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Adrenal insufficiency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2ED1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7B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FB70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E459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046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16C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641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E2B0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5E03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6B58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ECC9EEE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F1C4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GGT increased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C44E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D2B5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46A0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0B3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04A0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4B5C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495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A6F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A033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B13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C45A572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A138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Fibrinogen decreased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B569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BC1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CB08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C97B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5005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515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D405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18F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564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071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FA5B22D">
        <w:trPr>
          <w:trHeight w:val="363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8C0B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Blood lactate dehydrogenase increased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5C5B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F78F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17.86%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F7F8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5C7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257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277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3915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A93C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46B2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591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9C5106B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1296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Leukopenia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D87E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0AC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32.14%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D536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630C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17.86%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8F96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0BC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2D5C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0C58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6C4C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6EB7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EB886C1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3DC4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Anemia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71A2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38CD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14.29%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9D7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BF97B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10.71%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ECB4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A778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64F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448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8BEF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3E8D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C383E15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65D4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Eosinophilia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4307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669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D321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6FBD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8210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CCA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3FF7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19F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4F1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76E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754C8FD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26E0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Neutropenia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66B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785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35.71%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9877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F3B3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B75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5EA6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D758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3E57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ADA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815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EDF9D5C">
        <w:trPr>
          <w:trHeight w:val="565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585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Lymphopenia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F7E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FC4F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31D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BA1E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25.00%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04F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225F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53.57%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8511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0A8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0294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284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7931745">
        <w:trPr>
          <w:trHeight w:val="9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C3A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Pain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2FA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B525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3B02B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A618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C2DE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A5AD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25C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303C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250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D91E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C88C416">
        <w:trPr>
          <w:trHeight w:val="436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08F6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Weight loss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B2EE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21EF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35.71%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AD08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D35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7.14%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E739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550A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5017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645C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F3CA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5D0D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8E2123A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7318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Weight gain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397A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CCCF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ED7C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9BF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596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5B3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957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4B8F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8024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C92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01D6ADD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2022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Constipation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A60A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942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10.71%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2597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CDA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162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09C4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56A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369B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0AF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060C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CCB2781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7F7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Diarrhea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061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66E3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FDC9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F9E0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E12F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405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0079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F4E3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AC0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0716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C851EF3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7445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Anorexia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5E4EB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BFC5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7.14%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525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C327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17.86%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9B45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1EC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921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3A3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15E1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2DAE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F794CF1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0FEF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Vomiting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1DD1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A836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0096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52EA6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7.14%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70A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E2C3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2D02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85B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A37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FC79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EDADF83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985E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Flu-like syndrome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CC4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3A61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17.86%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D80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B70E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7CD6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0913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F8A7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42B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E6E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E15E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AE45C78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D7EF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Cough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32BB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EC7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10.71%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6D52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CAC1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29D3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5021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D38E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C603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F7B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FEF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11FAE11">
        <w:trPr>
          <w:trHeight w:val="9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C4DA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Skin and subcutaneous tissue disorders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(Other)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B9C1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F0BF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1F9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24D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10.71%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2554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D7B1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7674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23E1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62CF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C36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C31FBE6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59AB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Urethral infection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395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F7F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9F41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6669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A338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6996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6FCF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C08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0FB8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EF10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BB7ABD6">
        <w:trPr>
          <w:trHeight w:val="9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9CA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Esophageal stenosis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239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1DDF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CC20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EE4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0863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A9C6B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F68A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E6F7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7D75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C0E2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939FC01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7F71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Esophageal ulcer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F696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517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D238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FD5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B996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7B4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4C9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2C38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3CBE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A5F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AB6B21C">
        <w:trPr>
          <w:trHeight w:val="91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A09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Hiccups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E556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881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88F8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6594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CA81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9D21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CFA9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7A7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453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7856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0266D33">
        <w:trPr>
          <w:trHeight w:val="254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BE49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Pleural effusion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E526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BD41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469A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B3F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1F0D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0CB6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83F2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9ED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7000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65C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A82C88A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FD9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Atrial fibrillation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6F4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3014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55AA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CD8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CB73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D7B4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FBC9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1FC1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0CA0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3806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E5C1854">
        <w:trPr>
          <w:trHeight w:val="27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4220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Esophageal fistula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8D3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71CB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6DC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02D5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89DE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6AD5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2502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11A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608D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A7D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8138E17">
        <w:trPr>
          <w:trHeight w:val="282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E1DD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immune checkpoint inhibitor-related myocarditis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8ED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082A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4111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CF63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DF83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923B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D80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84F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ADE9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9A31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B5F40F2">
        <w:trPr>
          <w:trHeight w:val="249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EDA2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Immune-related hepatotoxicity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4D7A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2CDD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30E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3130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1E4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D6EA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C29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938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A102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AFED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04BE0F9">
        <w:trPr>
          <w:trHeight w:val="211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B384A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myocardial infarction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477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D51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B32F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FDBC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ECF8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C92B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199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102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0D73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C7B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</w:tr>
      <w:tr w14:paraId="5987CD9A">
        <w:trPr>
          <w:trHeight w:val="310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25EFC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Vascular access complication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E20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382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4210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4F27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E45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3F73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0BA3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049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16C2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DDBD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</w:tr>
      <w:tr w14:paraId="4367104E">
        <w:trPr>
          <w:trHeight w:val="454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6882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Peripheral neuropathy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1BB7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1292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7A3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D714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BC1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652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FFE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E469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6EA7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EDA3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8C7C33E">
        <w:trPr>
          <w:trHeight w:val="307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9586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Alanine aminotransferase increased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0452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A5D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EA19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AD79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36E9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062E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03FF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1E79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DE93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9A62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A641DC5">
        <w:trPr>
          <w:trHeight w:val="90" w:hRule="atLeast"/>
        </w:trPr>
        <w:tc>
          <w:tcPr>
            <w:tcW w:w="399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9E748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Aspartate aminotransferase increased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4A931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FAB73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52D61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B79B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A9EB2D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FFAE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3.57%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3A77A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0CC01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239A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DB7D5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</w:tbl>
    <w:p w14:paraId="3DD6B3A8">
      <w:pPr>
        <w:spacing w:line="360" w:lineRule="auto"/>
        <w:ind w:firstLine="480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3 Adverse Events</w:t>
      </w:r>
    </w:p>
    <w:p w14:paraId="27D49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(小数点后一位</w:t>
      </w:r>
    </w:p>
    <w:p w14:paraId="73DB4302">
      <w:pPr>
        <w:rPr>
          <w:rFonts w:hint="eastAsia"/>
          <w:lang w:val="en-US" w:eastAsia="zh-CN"/>
        </w:rPr>
      </w:pPr>
    </w:p>
    <w:p w14:paraId="65E0D52E">
      <w:r>
        <w:drawing>
          <wp:inline distT="0" distB="0" distL="114300" distR="114300">
            <wp:extent cx="5267960" cy="3580765"/>
            <wp:effectExtent l="0" t="0" r="152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5F949"/>
    <w:p w14:paraId="5B2B696C"/>
    <w:p w14:paraId="55522D77"/>
    <w:p w14:paraId="7177A76C"/>
    <w:p w14:paraId="736099AD"/>
    <w:p w14:paraId="7B8C1D88"/>
    <w:tbl>
      <w:tblPr>
        <w:tblStyle w:val="3"/>
        <w:tblW w:w="14423" w:type="dxa"/>
        <w:tblInd w:w="-1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23"/>
        <w:gridCol w:w="443"/>
        <w:gridCol w:w="1600"/>
        <w:gridCol w:w="1414"/>
        <w:gridCol w:w="1197"/>
        <w:gridCol w:w="1014"/>
        <w:gridCol w:w="718"/>
        <w:gridCol w:w="1843"/>
        <w:gridCol w:w="1928"/>
        <w:gridCol w:w="2043"/>
      </w:tblGrid>
      <w:tr w14:paraId="66581337">
        <w:trPr>
          <w:trHeight w:val="628" w:hRule="atLeast"/>
        </w:trPr>
        <w:tc>
          <w:tcPr>
            <w:tcW w:w="2223" w:type="dxa"/>
          </w:tcPr>
          <w:p w14:paraId="7D1AC3B2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Study(R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egimen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443" w:type="dxa"/>
          </w:tcPr>
          <w:p w14:paraId="2C4DCF69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vertAlign w:val="baseline"/>
                <w:lang w:val="en-US" w:eastAsia="zh-CN"/>
              </w:rPr>
              <w:t>N</w:t>
            </w:r>
          </w:p>
        </w:tc>
        <w:tc>
          <w:tcPr>
            <w:tcW w:w="1600" w:type="dxa"/>
          </w:tcPr>
          <w:p w14:paraId="49C161B6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Patient Population</w:t>
            </w:r>
          </w:p>
        </w:tc>
        <w:tc>
          <w:tcPr>
            <w:tcW w:w="1414" w:type="dxa"/>
          </w:tcPr>
          <w:p w14:paraId="084A3B94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mPFS (months)</w:t>
            </w:r>
          </w:p>
        </w:tc>
        <w:tc>
          <w:tcPr>
            <w:tcW w:w="1197" w:type="dxa"/>
          </w:tcPr>
          <w:p w14:paraId="6B8FC983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year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rate</w:t>
            </w:r>
          </w:p>
          <w:p w14:paraId="38C90AA1">
            <w:pPr>
              <w:numPr>
                <w:numId w:val="0"/>
              </w:num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OS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months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14" w:type="dxa"/>
          </w:tcPr>
          <w:p w14:paraId="3D462155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ORR(%)</w:t>
            </w:r>
          </w:p>
        </w:tc>
        <w:tc>
          <w:tcPr>
            <w:tcW w:w="718" w:type="dxa"/>
          </w:tcPr>
          <w:p w14:paraId="40BD6B26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pCR(%)</w:t>
            </w:r>
          </w:p>
        </w:tc>
        <w:tc>
          <w:tcPr>
            <w:tcW w:w="1843" w:type="dxa"/>
          </w:tcPr>
          <w:p w14:paraId="5BE8C405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≥G3 Esophagitis (%)</w:t>
            </w:r>
          </w:p>
        </w:tc>
        <w:tc>
          <w:tcPr>
            <w:tcW w:w="1928" w:type="dxa"/>
          </w:tcPr>
          <w:p w14:paraId="3ACA8895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≥G3 Pneumonitis (%)</w:t>
            </w:r>
          </w:p>
        </w:tc>
        <w:tc>
          <w:tcPr>
            <w:tcW w:w="2043" w:type="dxa"/>
          </w:tcPr>
          <w:p w14:paraId="7C42BEBC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Esophageal Fistula (%)</w:t>
            </w:r>
          </w:p>
        </w:tc>
      </w:tr>
      <w:tr w14:paraId="0FFA00AF">
        <w:tc>
          <w:tcPr>
            <w:tcW w:w="2223" w:type="dxa"/>
          </w:tcPr>
          <w:p w14:paraId="604DEA7A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TREC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(Tislelizumab + RT)</w:t>
            </w:r>
          </w:p>
        </w:tc>
        <w:tc>
          <w:tcPr>
            <w:tcW w:w="443" w:type="dxa"/>
          </w:tcPr>
          <w:p w14:paraId="1921A3B3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600" w:type="dxa"/>
          </w:tcPr>
          <w:p w14:paraId="2D642F10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Unresectable LA-ESCC, CCRT-intolerant</w:t>
            </w:r>
          </w:p>
        </w:tc>
        <w:tc>
          <w:tcPr>
            <w:tcW w:w="1414" w:type="dxa"/>
          </w:tcPr>
          <w:p w14:paraId="7BBD2BE7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23.5</w:t>
            </w:r>
          </w:p>
        </w:tc>
        <w:tc>
          <w:tcPr>
            <w:tcW w:w="1197" w:type="dxa"/>
          </w:tcPr>
          <w:p w14:paraId="1DBAA9F9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64.3%</w:t>
            </w:r>
          </w:p>
        </w:tc>
        <w:tc>
          <w:tcPr>
            <w:tcW w:w="1014" w:type="dxa"/>
          </w:tcPr>
          <w:p w14:paraId="15AB9AF3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82.1</w:t>
            </w:r>
          </w:p>
        </w:tc>
        <w:tc>
          <w:tcPr>
            <w:tcW w:w="718" w:type="dxa"/>
          </w:tcPr>
          <w:p w14:paraId="5730B91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64.3</w:t>
            </w:r>
          </w:p>
        </w:tc>
        <w:tc>
          <w:tcPr>
            <w:tcW w:w="1843" w:type="dxa"/>
          </w:tcPr>
          <w:p w14:paraId="50865EDE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28" w:type="dxa"/>
          </w:tcPr>
          <w:p w14:paraId="3CF1284D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7.1</w:t>
            </w:r>
          </w:p>
        </w:tc>
        <w:tc>
          <w:tcPr>
            <w:tcW w:w="2043" w:type="dxa"/>
          </w:tcPr>
          <w:p w14:paraId="58F03CD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3.6</w:t>
            </w:r>
          </w:p>
        </w:tc>
      </w:tr>
      <w:tr w14:paraId="241F5119">
        <w:tc>
          <w:tcPr>
            <w:tcW w:w="2223" w:type="dxa"/>
          </w:tcPr>
          <w:p w14:paraId="4E0204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RTOG 85-01(CCRT)</w:t>
            </w:r>
          </w:p>
        </w:tc>
        <w:tc>
          <w:tcPr>
            <w:tcW w:w="443" w:type="dxa"/>
          </w:tcPr>
          <w:p w14:paraId="7EDA2B86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1600" w:type="dxa"/>
          </w:tcPr>
          <w:p w14:paraId="550842D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Unresectable LA-ESCC</w:t>
            </w:r>
          </w:p>
        </w:tc>
        <w:tc>
          <w:tcPr>
            <w:tcW w:w="1414" w:type="dxa"/>
          </w:tcPr>
          <w:p w14:paraId="4A460DD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97" w:type="dxa"/>
          </w:tcPr>
          <w:p w14:paraId="6BEE1CD8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36%</w:t>
            </w:r>
          </w:p>
        </w:tc>
        <w:tc>
          <w:tcPr>
            <w:tcW w:w="1014" w:type="dxa"/>
          </w:tcPr>
          <w:p w14:paraId="2CE585BC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N/A</w:t>
            </w:r>
          </w:p>
        </w:tc>
        <w:tc>
          <w:tcPr>
            <w:tcW w:w="718" w:type="dxa"/>
          </w:tcPr>
          <w:p w14:paraId="18494C32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N/A</w:t>
            </w:r>
          </w:p>
        </w:tc>
        <w:tc>
          <w:tcPr>
            <w:tcW w:w="1843" w:type="dxa"/>
          </w:tcPr>
          <w:p w14:paraId="74E7E5B5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928" w:type="dxa"/>
          </w:tcPr>
          <w:p w14:paraId="3D821FC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043" w:type="dxa"/>
          </w:tcPr>
          <w:p w14:paraId="7F83C8C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N/A</w:t>
            </w:r>
          </w:p>
        </w:tc>
      </w:tr>
      <w:tr w14:paraId="327BA156">
        <w:tc>
          <w:tcPr>
            <w:tcW w:w="2223" w:type="dxa"/>
          </w:tcPr>
          <w:p w14:paraId="161CC3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RATIONALE-306 (Tislelizumab + Chemo)</w:t>
            </w:r>
          </w:p>
        </w:tc>
        <w:tc>
          <w:tcPr>
            <w:tcW w:w="443" w:type="dxa"/>
          </w:tcPr>
          <w:p w14:paraId="05C7683A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600" w:type="dxa"/>
          </w:tcPr>
          <w:p w14:paraId="20CE93E2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Unresectable LA-ESCC</w:t>
            </w:r>
          </w:p>
        </w:tc>
        <w:tc>
          <w:tcPr>
            <w:tcW w:w="1414" w:type="dxa"/>
          </w:tcPr>
          <w:p w14:paraId="311D0173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9.7</w:t>
            </w:r>
          </w:p>
        </w:tc>
        <w:tc>
          <w:tcPr>
            <w:tcW w:w="1197" w:type="dxa"/>
          </w:tcPr>
          <w:p w14:paraId="10C08242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53.5%</w:t>
            </w:r>
          </w:p>
        </w:tc>
        <w:tc>
          <w:tcPr>
            <w:tcW w:w="1014" w:type="dxa"/>
          </w:tcPr>
          <w:p w14:paraId="38ED0450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61.2</w:t>
            </w:r>
          </w:p>
        </w:tc>
        <w:tc>
          <w:tcPr>
            <w:tcW w:w="718" w:type="dxa"/>
          </w:tcPr>
          <w:p w14:paraId="0B992FB6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N/A</w:t>
            </w:r>
          </w:p>
        </w:tc>
        <w:tc>
          <w:tcPr>
            <w:tcW w:w="1843" w:type="dxa"/>
          </w:tcPr>
          <w:p w14:paraId="3BE945C5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N/A</w:t>
            </w:r>
          </w:p>
        </w:tc>
        <w:tc>
          <w:tcPr>
            <w:tcW w:w="1928" w:type="dxa"/>
          </w:tcPr>
          <w:p w14:paraId="5747AE92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N/A</w:t>
            </w:r>
          </w:p>
        </w:tc>
        <w:tc>
          <w:tcPr>
            <w:tcW w:w="2043" w:type="dxa"/>
          </w:tcPr>
          <w:p w14:paraId="0F4F6574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N/A</w:t>
            </w:r>
          </w:p>
        </w:tc>
      </w:tr>
      <w:tr w14:paraId="53C65E1C">
        <w:tc>
          <w:tcPr>
            <w:tcW w:w="2223" w:type="dxa"/>
          </w:tcPr>
          <w:p w14:paraId="1F36FB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Zhang et al. 2021  (Camrelizumab + CCRT)</w:t>
            </w:r>
          </w:p>
        </w:tc>
        <w:tc>
          <w:tcPr>
            <w:tcW w:w="443" w:type="dxa"/>
          </w:tcPr>
          <w:p w14:paraId="0553DF29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600" w:type="dxa"/>
          </w:tcPr>
          <w:p w14:paraId="553720BA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Unresectable LA-ESCC</w:t>
            </w:r>
          </w:p>
        </w:tc>
        <w:tc>
          <w:tcPr>
            <w:tcW w:w="1414" w:type="dxa"/>
          </w:tcPr>
          <w:p w14:paraId="78A7E24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N/Aᵇ</w:t>
            </w:r>
          </w:p>
          <w:p w14:paraId="7B585023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 w14:paraId="00AD44C9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69.6%</w:t>
            </w:r>
          </w:p>
        </w:tc>
        <w:tc>
          <w:tcPr>
            <w:tcW w:w="1014" w:type="dxa"/>
          </w:tcPr>
          <w:p w14:paraId="2A3C8D72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718" w:type="dxa"/>
          </w:tcPr>
          <w:p w14:paraId="5003D74B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N/A</w:t>
            </w:r>
          </w:p>
        </w:tc>
        <w:tc>
          <w:tcPr>
            <w:tcW w:w="1843" w:type="dxa"/>
          </w:tcPr>
          <w:p w14:paraId="0123829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928" w:type="dxa"/>
          </w:tcPr>
          <w:p w14:paraId="5373ED83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43" w:type="dxa"/>
          </w:tcPr>
          <w:p w14:paraId="37AA3F37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 w14:paraId="2008348C">
        <w:tc>
          <w:tcPr>
            <w:tcW w:w="2223" w:type="dxa"/>
          </w:tcPr>
          <w:p w14:paraId="2E20B2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Zhu et al. 2023  (Toripalimab + CCRT)</w:t>
            </w:r>
          </w:p>
        </w:tc>
        <w:tc>
          <w:tcPr>
            <w:tcW w:w="443" w:type="dxa"/>
          </w:tcPr>
          <w:p w14:paraId="109197B8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600" w:type="dxa"/>
          </w:tcPr>
          <w:p w14:paraId="1E0A505F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Unresectable LA-ESCC</w:t>
            </w:r>
          </w:p>
        </w:tc>
        <w:tc>
          <w:tcPr>
            <w:tcW w:w="1414" w:type="dxa"/>
          </w:tcPr>
          <w:p w14:paraId="0D13B4D6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12.2</w:t>
            </w:r>
          </w:p>
          <w:p w14:paraId="04E2D25E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7" w:type="dxa"/>
          </w:tcPr>
          <w:p w14:paraId="46F91008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78.4%ᶜ</w:t>
            </w:r>
          </w:p>
        </w:tc>
        <w:tc>
          <w:tcPr>
            <w:tcW w:w="1014" w:type="dxa"/>
          </w:tcPr>
          <w:p w14:paraId="29AB492E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62ᵈ</w:t>
            </w:r>
          </w:p>
          <w:p w14:paraId="421482EE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</w:p>
        </w:tc>
        <w:tc>
          <w:tcPr>
            <w:tcW w:w="718" w:type="dxa"/>
          </w:tcPr>
          <w:p w14:paraId="3F74187E">
            <w:pPr>
              <w:rPr>
                <w:rFonts w:hint="default" w:ascii="Times New Roman Regular" w:hAnsi="Times New Roman Regular" w:cs="Times New Roman Regul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N/A</w:t>
            </w:r>
          </w:p>
        </w:tc>
        <w:tc>
          <w:tcPr>
            <w:tcW w:w="1843" w:type="dxa"/>
          </w:tcPr>
          <w:p w14:paraId="3ED2E173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928" w:type="dxa"/>
          </w:tcPr>
          <w:p w14:paraId="1840C8FF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2.4ᵉ</w:t>
            </w:r>
          </w:p>
          <w:p w14:paraId="3DBEE784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043" w:type="dxa"/>
          </w:tcPr>
          <w:p w14:paraId="1EB4901E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</w:tbl>
    <w:p w14:paraId="5393109F">
      <w:pPr>
        <w:rPr>
          <w:rFonts w:hint="default"/>
          <w:lang w:val="en-US" w:eastAsia="zh-CN"/>
        </w:rPr>
      </w:pPr>
    </w:p>
    <w:p w14:paraId="2CDB35AC">
      <w:pP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footnotes：</w:t>
      </w:r>
    </w:p>
    <w:p w14:paraId="77800A0F"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ᵃ Reported as Grade ≥3 lung infection.</w:t>
      </w:r>
    </w:p>
    <w:p w14:paraId="6DDD8584"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ᵇ The 24-month PFS rate was reported as 65.0%. </w:t>
      </w:r>
    </w:p>
    <w:p w14:paraId="3C39BDAB"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ᶜ The 1-year OS rate is shown. </w:t>
      </w:r>
    </w:p>
    <w:p w14:paraId="263B3B3A"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ᵈ This value represents the CR rate, not the ORR. </w:t>
      </w:r>
    </w:p>
    <w:p w14:paraId="0F54DE67"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ᵉ Includes one Grade 5 event.</w:t>
      </w:r>
    </w:p>
    <w:p w14:paraId="7CFA412A"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DFAB33"/>
    <w:multiLevelType w:val="singleLevel"/>
    <w:tmpl w:val="F2DFAB33"/>
    <w:lvl w:ilvl="0" w:tentative="0">
      <w:start w:val="2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YzBkM2Q2ZmQzMzg4YTY0MTJiZGFlODA2NWQ4NTMifQ=="/>
  </w:docVars>
  <w:rsids>
    <w:rsidRoot w:val="00172A27"/>
    <w:rsid w:val="33FD85F7"/>
    <w:rsid w:val="6DFB0362"/>
    <w:rsid w:val="7F6B8AFF"/>
    <w:rsid w:val="BB6F2AEE"/>
    <w:rsid w:val="CEF97363"/>
    <w:rsid w:val="D8BF8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1</Lines>
  <Paragraphs>1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2025-09-15T22:58:00Z</dcterms:created>
  <dc:creator>纯子小姐</dc:creator>
  <cp:lastModifiedBy>纯子小姐</cp:lastModifiedBy>
  <dcterms:modified xsi:type="dcterms:W3CDTF">2025-09-17T17:04:08Z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EFA85CD442DB054EB229C868DB482B6F_41</vt:lpwstr>
  </property>
</Properties>
</file>