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5392B" w14:textId="692CFE1D" w:rsidR="009E4272" w:rsidRPr="00DD33C9" w:rsidRDefault="00C81C46" w:rsidP="00CD433D">
      <w:pPr>
        <w:spacing w:line="480" w:lineRule="auto"/>
        <w:jc w:val="center"/>
        <w:rPr>
          <w:rFonts w:ascii="Times New Roman" w:hAnsi="Times New Roman" w:cs="Times New Roman"/>
          <w:b/>
          <w:bCs/>
          <w:sz w:val="32"/>
          <w:szCs w:val="32"/>
        </w:rPr>
      </w:pPr>
      <w:r w:rsidRPr="00DD33C9">
        <w:rPr>
          <w:rFonts w:ascii="Times New Roman" w:hAnsi="Times New Roman" w:cs="Times New Roman"/>
          <w:b/>
          <w:bCs/>
          <w:sz w:val="32"/>
          <w:szCs w:val="32"/>
        </w:rPr>
        <w:t xml:space="preserve">Supporting </w:t>
      </w:r>
      <w:r w:rsidR="00603E47" w:rsidRPr="00DD33C9">
        <w:rPr>
          <w:rFonts w:ascii="Times New Roman" w:hAnsi="Times New Roman" w:cs="Times New Roman"/>
          <w:b/>
          <w:bCs/>
          <w:sz w:val="32"/>
          <w:szCs w:val="32"/>
        </w:rPr>
        <w:t>I</w:t>
      </w:r>
      <w:r w:rsidRPr="00DD33C9">
        <w:rPr>
          <w:rFonts w:ascii="Times New Roman" w:hAnsi="Times New Roman" w:cs="Times New Roman"/>
          <w:b/>
          <w:bCs/>
          <w:sz w:val="32"/>
          <w:szCs w:val="32"/>
        </w:rPr>
        <w:t>nformation</w:t>
      </w:r>
    </w:p>
    <w:p w14:paraId="55A1A614" w14:textId="01F4659C" w:rsidR="00603E47" w:rsidRPr="00C45123" w:rsidRDefault="00F51D88" w:rsidP="005A3107">
      <w:pPr>
        <w:spacing w:line="480" w:lineRule="auto"/>
        <w:jc w:val="both"/>
        <w:rPr>
          <w:rFonts w:ascii="Times New Roman" w:hAnsi="Times New Roman" w:cs="Times New Roman"/>
          <w:b/>
          <w:bCs/>
          <w:sz w:val="28"/>
          <w:szCs w:val="28"/>
        </w:rPr>
      </w:pPr>
      <w:bookmarkStart w:id="0" w:name="_Hlk201225280"/>
      <w:bookmarkStart w:id="1" w:name="_Hlk141909724"/>
      <w:r w:rsidRPr="00DD33C9">
        <w:rPr>
          <w:rFonts w:ascii="Times New Roman" w:hAnsi="Times New Roman" w:cs="Times New Roman"/>
          <w:b/>
          <w:bCs/>
          <w:sz w:val="28"/>
          <w:szCs w:val="28"/>
        </w:rPr>
        <w:t xml:space="preserve">Eco-Friendly Synthesis of </w:t>
      </w:r>
      <w:bookmarkStart w:id="2" w:name="_Hlk200802863"/>
      <w:r w:rsidRPr="00DD33C9">
        <w:rPr>
          <w:rFonts w:ascii="Times New Roman" w:hAnsi="Times New Roman" w:cs="Times New Roman"/>
          <w:b/>
          <w:bCs/>
          <w:sz w:val="28"/>
          <w:szCs w:val="28"/>
        </w:rPr>
        <w:t>Hierarchical Heterostructured CsV</w:t>
      </w:r>
      <w:r w:rsidRPr="00DD33C9">
        <w:rPr>
          <w:rFonts w:ascii="Times New Roman" w:hAnsi="Times New Roman" w:cs="Times New Roman"/>
          <w:b/>
          <w:bCs/>
          <w:sz w:val="28"/>
          <w:szCs w:val="28"/>
          <w:vertAlign w:val="subscript"/>
        </w:rPr>
        <w:t>3</w:t>
      </w:r>
      <w:r w:rsidRPr="00DD33C9">
        <w:rPr>
          <w:rFonts w:ascii="Times New Roman" w:hAnsi="Times New Roman" w:cs="Times New Roman"/>
          <w:b/>
          <w:bCs/>
          <w:sz w:val="28"/>
          <w:szCs w:val="28"/>
        </w:rPr>
        <w:t>O</w:t>
      </w:r>
      <w:r w:rsidRPr="00DD33C9">
        <w:rPr>
          <w:rFonts w:ascii="Times New Roman" w:hAnsi="Times New Roman" w:cs="Times New Roman"/>
          <w:b/>
          <w:bCs/>
          <w:sz w:val="28"/>
          <w:szCs w:val="28"/>
          <w:vertAlign w:val="subscript"/>
        </w:rPr>
        <w:t>8</w:t>
      </w:r>
      <w:r w:rsidRPr="00DD33C9">
        <w:rPr>
          <w:rFonts w:ascii="Times New Roman" w:hAnsi="Times New Roman" w:cs="Times New Roman"/>
          <w:b/>
          <w:bCs/>
          <w:sz w:val="28"/>
          <w:szCs w:val="28"/>
        </w:rPr>
        <w:t>/V</w:t>
      </w:r>
      <w:r w:rsidRPr="00DD33C9">
        <w:rPr>
          <w:rFonts w:ascii="Times New Roman" w:hAnsi="Times New Roman" w:cs="Times New Roman"/>
          <w:b/>
          <w:bCs/>
          <w:sz w:val="28"/>
          <w:szCs w:val="28"/>
          <w:vertAlign w:val="subscript"/>
        </w:rPr>
        <w:t>2</w:t>
      </w:r>
      <w:r w:rsidRPr="00DD33C9">
        <w:rPr>
          <w:rFonts w:ascii="Times New Roman" w:hAnsi="Times New Roman" w:cs="Times New Roman"/>
          <w:b/>
          <w:bCs/>
          <w:sz w:val="28"/>
          <w:szCs w:val="28"/>
        </w:rPr>
        <w:t>O</w:t>
      </w:r>
      <w:r w:rsidRPr="00DD33C9">
        <w:rPr>
          <w:rFonts w:ascii="Times New Roman" w:hAnsi="Times New Roman" w:cs="Times New Roman"/>
          <w:b/>
          <w:bCs/>
          <w:sz w:val="28"/>
          <w:szCs w:val="28"/>
          <w:vertAlign w:val="subscript"/>
        </w:rPr>
        <w:t>5</w:t>
      </w:r>
      <w:bookmarkEnd w:id="2"/>
      <w:r w:rsidRPr="00DD33C9">
        <w:rPr>
          <w:rFonts w:ascii="Times New Roman" w:hAnsi="Times New Roman" w:cs="Times New Roman"/>
          <w:b/>
          <w:bCs/>
          <w:sz w:val="28"/>
          <w:szCs w:val="28"/>
        </w:rPr>
        <w:t xml:space="preserve"> Composite Cathode: Lattice Stabilization and Vanadium Dissolution Resistance for Long-Life Aqueous Zinc-Ion Batteries</w:t>
      </w:r>
      <w:bookmarkEnd w:id="0"/>
      <w:bookmarkEnd w:id="1"/>
    </w:p>
    <w:p w14:paraId="2B50FD4F" w14:textId="607452CB" w:rsidR="005A3107" w:rsidRPr="00DD33C9" w:rsidRDefault="005A3107" w:rsidP="005A3107">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t xml:space="preserve">1. Chemicals and </w:t>
      </w:r>
      <w:r w:rsidR="00603E47" w:rsidRPr="00DD33C9">
        <w:rPr>
          <w:rFonts w:ascii="Times New Roman" w:hAnsi="Times New Roman" w:cs="Times New Roman"/>
          <w:b/>
          <w:bCs/>
          <w:sz w:val="24"/>
          <w:szCs w:val="24"/>
        </w:rPr>
        <w:t>m</w:t>
      </w:r>
      <w:r w:rsidRPr="00DD33C9">
        <w:rPr>
          <w:rFonts w:ascii="Times New Roman" w:hAnsi="Times New Roman" w:cs="Times New Roman"/>
          <w:b/>
          <w:bCs/>
          <w:sz w:val="24"/>
          <w:szCs w:val="24"/>
        </w:rPr>
        <w:t>aterials</w:t>
      </w:r>
    </w:p>
    <w:p w14:paraId="5D129172" w14:textId="16FF7B35" w:rsidR="005A3107" w:rsidRPr="00DD33C9" w:rsidRDefault="005A3107" w:rsidP="005A3107">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 xml:space="preserve">The cesium chloride (CsCl, 99%), vanadium </w:t>
      </w:r>
      <w:proofErr w:type="spellStart"/>
      <w:r w:rsidRPr="00DD33C9">
        <w:rPr>
          <w:rFonts w:ascii="Times New Roman" w:hAnsi="Times New Roman" w:cs="Times New Roman"/>
          <w:sz w:val="24"/>
          <w:szCs w:val="24"/>
        </w:rPr>
        <w:t>pentaoxide</w:t>
      </w:r>
      <w:proofErr w:type="spellEnd"/>
      <w:r w:rsidRPr="00DD33C9">
        <w:rPr>
          <w:rFonts w:ascii="Times New Roman" w:hAnsi="Times New Roman" w:cs="Times New Roman"/>
          <w:sz w:val="24"/>
          <w:szCs w:val="24"/>
        </w:rPr>
        <w:t xml:space="preserve"> (V</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O</w:t>
      </w:r>
      <w:r w:rsidRPr="00DD33C9">
        <w:rPr>
          <w:rFonts w:ascii="Times New Roman" w:hAnsi="Times New Roman" w:cs="Times New Roman"/>
          <w:sz w:val="24"/>
          <w:szCs w:val="24"/>
          <w:vertAlign w:val="subscript"/>
        </w:rPr>
        <w:t>5</w:t>
      </w:r>
      <w:r w:rsidRPr="00DD33C9">
        <w:rPr>
          <w:rFonts w:ascii="Times New Roman" w:hAnsi="Times New Roman" w:cs="Times New Roman"/>
          <w:sz w:val="24"/>
          <w:szCs w:val="24"/>
        </w:rPr>
        <w:t xml:space="preserve">, 99%), metallic Zn (0.1 cm thickness), and zinc </w:t>
      </w:r>
      <w:proofErr w:type="spellStart"/>
      <w:r w:rsidRPr="00DD33C9">
        <w:rPr>
          <w:rFonts w:ascii="Times New Roman" w:hAnsi="Times New Roman" w:cs="Times New Roman"/>
          <w:sz w:val="24"/>
          <w:szCs w:val="24"/>
        </w:rPr>
        <w:t>trifluoromethane</w:t>
      </w:r>
      <w:proofErr w:type="spellEnd"/>
      <w:r w:rsidRPr="00DD33C9">
        <w:rPr>
          <w:rFonts w:ascii="Times New Roman" w:hAnsi="Times New Roman" w:cs="Times New Roman"/>
          <w:sz w:val="24"/>
          <w:szCs w:val="24"/>
        </w:rPr>
        <w:t xml:space="preserve"> sulfonate (</w:t>
      </w:r>
      <w:proofErr w:type="gramStart"/>
      <w:r w:rsidRPr="00DD33C9">
        <w:rPr>
          <w:rFonts w:ascii="Times New Roman" w:hAnsi="Times New Roman" w:cs="Times New Roman"/>
          <w:sz w:val="24"/>
          <w:szCs w:val="24"/>
        </w:rPr>
        <w:t>Zn(</w:t>
      </w:r>
      <w:proofErr w:type="gramEnd"/>
      <w:r w:rsidRPr="00DD33C9">
        <w:rPr>
          <w:rFonts w:ascii="Times New Roman" w:hAnsi="Times New Roman" w:cs="Times New Roman"/>
          <w:sz w:val="24"/>
          <w:szCs w:val="24"/>
        </w:rPr>
        <w:t>CF</w:t>
      </w:r>
      <w:r w:rsidRPr="00DD33C9">
        <w:rPr>
          <w:rFonts w:ascii="Times New Roman" w:hAnsi="Times New Roman" w:cs="Times New Roman"/>
          <w:sz w:val="24"/>
          <w:szCs w:val="24"/>
          <w:vertAlign w:val="subscript"/>
        </w:rPr>
        <w:t>3</w:t>
      </w:r>
      <w:r w:rsidRPr="00DD33C9">
        <w:rPr>
          <w:rFonts w:ascii="Times New Roman" w:hAnsi="Times New Roman" w:cs="Times New Roman"/>
          <w:sz w:val="24"/>
          <w:szCs w:val="24"/>
        </w:rPr>
        <w:t>SO</w:t>
      </w:r>
      <w:r w:rsidRPr="00DD33C9">
        <w:rPr>
          <w:rFonts w:ascii="Times New Roman" w:hAnsi="Times New Roman" w:cs="Times New Roman"/>
          <w:sz w:val="24"/>
          <w:szCs w:val="24"/>
          <w:vertAlign w:val="subscript"/>
        </w:rPr>
        <w:t>3</w:t>
      </w:r>
      <w:r w:rsidRPr="00DD33C9">
        <w:rPr>
          <w:rFonts w:ascii="Times New Roman" w:hAnsi="Times New Roman" w:cs="Times New Roman"/>
          <w:sz w:val="24"/>
          <w:szCs w:val="24"/>
        </w:rPr>
        <w:t>)</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 98%) were purchased from Sigma Aldrich Co., South Korea. The carbon cloth fiber was received from the Nara Cell-Tech Corp., South Korea. Polyvinylidene fluoride (PVDF, -(C</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H</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F</w:t>
      </w:r>
      <w:proofErr w:type="gramStart"/>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w:t>
      </w:r>
      <w:r w:rsidRPr="00DD33C9">
        <w:rPr>
          <w:rFonts w:ascii="Times New Roman" w:hAnsi="Times New Roman" w:cs="Times New Roman"/>
          <w:sz w:val="24"/>
          <w:szCs w:val="24"/>
          <w:vertAlign w:val="subscript"/>
        </w:rPr>
        <w:t>n</w:t>
      </w:r>
      <w:proofErr w:type="gramEnd"/>
      <w:r w:rsidRPr="00DD33C9">
        <w:rPr>
          <w:rFonts w:ascii="Times New Roman" w:hAnsi="Times New Roman" w:cs="Times New Roman"/>
          <w:sz w:val="24"/>
          <w:szCs w:val="24"/>
        </w:rPr>
        <w:t xml:space="preserve">-), </w:t>
      </w:r>
      <w:r w:rsidR="00603E47" w:rsidRPr="00DD33C9">
        <w:rPr>
          <w:rFonts w:ascii="Times New Roman" w:hAnsi="Times New Roman" w:cs="Times New Roman"/>
          <w:sz w:val="24"/>
          <w:szCs w:val="24"/>
        </w:rPr>
        <w:t>S</w:t>
      </w:r>
      <w:r w:rsidRPr="00DD33C9">
        <w:rPr>
          <w:rFonts w:ascii="Times New Roman" w:hAnsi="Times New Roman" w:cs="Times New Roman"/>
          <w:sz w:val="24"/>
          <w:szCs w:val="24"/>
        </w:rPr>
        <w:t>uper P carbon black (C65, TIMCAL), and N-methyl-2-pyrrolidone (NMP, C</w:t>
      </w:r>
      <w:r w:rsidRPr="00DD33C9">
        <w:rPr>
          <w:rFonts w:ascii="Times New Roman" w:hAnsi="Times New Roman" w:cs="Times New Roman"/>
          <w:sz w:val="24"/>
          <w:szCs w:val="24"/>
          <w:vertAlign w:val="subscript"/>
        </w:rPr>
        <w:t>5</w:t>
      </w:r>
      <w:r w:rsidRPr="00DD33C9">
        <w:rPr>
          <w:rFonts w:ascii="Times New Roman" w:hAnsi="Times New Roman" w:cs="Times New Roman"/>
          <w:sz w:val="24"/>
          <w:szCs w:val="24"/>
        </w:rPr>
        <w:t>H</w:t>
      </w:r>
      <w:r w:rsidRPr="00DD33C9">
        <w:rPr>
          <w:rFonts w:ascii="Times New Roman" w:hAnsi="Times New Roman" w:cs="Times New Roman"/>
          <w:sz w:val="24"/>
          <w:szCs w:val="24"/>
          <w:vertAlign w:val="subscript"/>
        </w:rPr>
        <w:t>9</w:t>
      </w:r>
      <w:r w:rsidRPr="00DD33C9">
        <w:rPr>
          <w:rFonts w:ascii="Times New Roman" w:hAnsi="Times New Roman" w:cs="Times New Roman"/>
          <w:sz w:val="24"/>
          <w:szCs w:val="24"/>
        </w:rPr>
        <w:t xml:space="preserve">NO) were obtained from </w:t>
      </w:r>
      <w:proofErr w:type="spellStart"/>
      <w:r w:rsidRPr="00DD33C9">
        <w:rPr>
          <w:rFonts w:ascii="Times New Roman" w:hAnsi="Times New Roman" w:cs="Times New Roman"/>
          <w:sz w:val="24"/>
          <w:szCs w:val="24"/>
        </w:rPr>
        <w:t>Daejung</w:t>
      </w:r>
      <w:proofErr w:type="spellEnd"/>
      <w:r w:rsidRPr="00DD33C9">
        <w:rPr>
          <w:rFonts w:ascii="Times New Roman" w:hAnsi="Times New Roman" w:cs="Times New Roman"/>
          <w:sz w:val="24"/>
          <w:szCs w:val="24"/>
        </w:rPr>
        <w:t xml:space="preserve"> Chemicals Ltd., South Korea. Deionized water received from a Milli-Q water purification system was used during experiments (resistivity ~18.0 MΩ cm). All of the chemicals were of analytical quality and used directly without any additional purification.</w:t>
      </w:r>
    </w:p>
    <w:p w14:paraId="741B00AD" w14:textId="5EB1A814" w:rsidR="005A3107" w:rsidRPr="00DD33C9" w:rsidRDefault="005A3107" w:rsidP="005A3107">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t xml:space="preserve">2. Material </w:t>
      </w:r>
      <w:r w:rsidR="00603E47" w:rsidRPr="00DD33C9">
        <w:rPr>
          <w:rFonts w:ascii="Times New Roman" w:hAnsi="Times New Roman" w:cs="Times New Roman"/>
          <w:b/>
          <w:bCs/>
          <w:sz w:val="24"/>
          <w:szCs w:val="24"/>
        </w:rPr>
        <w:t>c</w:t>
      </w:r>
      <w:r w:rsidRPr="00DD33C9">
        <w:rPr>
          <w:rFonts w:ascii="Times New Roman" w:hAnsi="Times New Roman" w:cs="Times New Roman"/>
          <w:b/>
          <w:bCs/>
          <w:sz w:val="24"/>
          <w:szCs w:val="24"/>
        </w:rPr>
        <w:t>haracterizations</w:t>
      </w:r>
    </w:p>
    <w:p w14:paraId="53720D0F" w14:textId="1A30B3B6" w:rsidR="005A3107" w:rsidRPr="00DD33C9" w:rsidRDefault="005A3107" w:rsidP="005A3107">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 xml:space="preserve">The crystallographic phase and composition of the materials were obtained by X-ray diffraction (XRD, M18XHF-SRA, Mac Science) using Cu Kα (λ=1.54056 Å). </w:t>
      </w:r>
      <w:r w:rsidR="003727D6" w:rsidRPr="00DD33C9">
        <w:rPr>
          <w:rFonts w:ascii="Times New Roman" w:hAnsi="Times New Roman" w:cs="Times New Roman"/>
          <w:sz w:val="24"/>
          <w:szCs w:val="24"/>
        </w:rPr>
        <w:t xml:space="preserve">X-ray photoelectron spectroscopy (XPS) and ultraviolet photoelectron spectroscopy (UPS) were performed using a </w:t>
      </w:r>
      <w:proofErr w:type="spellStart"/>
      <w:r w:rsidR="003727D6" w:rsidRPr="00DD33C9">
        <w:rPr>
          <w:rFonts w:ascii="Times New Roman" w:hAnsi="Times New Roman" w:cs="Times New Roman"/>
          <w:sz w:val="24"/>
          <w:szCs w:val="24"/>
        </w:rPr>
        <w:t>ThermoFisher</w:t>
      </w:r>
      <w:proofErr w:type="spellEnd"/>
      <w:r w:rsidR="003727D6" w:rsidRPr="00DD33C9">
        <w:rPr>
          <w:rFonts w:ascii="Times New Roman" w:hAnsi="Times New Roman" w:cs="Times New Roman"/>
          <w:sz w:val="24"/>
          <w:szCs w:val="24"/>
        </w:rPr>
        <w:t xml:space="preserve"> Scientific </w:t>
      </w:r>
      <w:proofErr w:type="spellStart"/>
      <w:r w:rsidR="003727D6" w:rsidRPr="00DD33C9">
        <w:rPr>
          <w:rFonts w:ascii="Times New Roman" w:hAnsi="Times New Roman" w:cs="Times New Roman"/>
          <w:sz w:val="24"/>
          <w:szCs w:val="24"/>
        </w:rPr>
        <w:t>Nexsa</w:t>
      </w:r>
      <w:proofErr w:type="spellEnd"/>
      <w:r w:rsidR="003727D6" w:rsidRPr="00DD33C9">
        <w:rPr>
          <w:rFonts w:ascii="Times New Roman" w:hAnsi="Times New Roman" w:cs="Times New Roman"/>
          <w:sz w:val="24"/>
          <w:szCs w:val="24"/>
        </w:rPr>
        <w:t xml:space="preserve"> instrument under a base pressure of 2.0 × 10</w:t>
      </w:r>
      <w:r w:rsidR="003727D6" w:rsidRPr="00DD33C9">
        <w:rPr>
          <w:rFonts w:ascii="Times New Roman" w:hAnsi="Times New Roman" w:cs="Times New Roman"/>
          <w:sz w:val="24"/>
          <w:szCs w:val="24"/>
          <w:vertAlign w:val="superscript"/>
        </w:rPr>
        <w:t>-8</w:t>
      </w:r>
      <w:r w:rsidR="003727D6" w:rsidRPr="00DD33C9">
        <w:rPr>
          <w:rFonts w:ascii="Times New Roman" w:hAnsi="Times New Roman" w:cs="Times New Roman"/>
          <w:sz w:val="24"/>
          <w:szCs w:val="24"/>
        </w:rPr>
        <w:t xml:space="preserve"> </w:t>
      </w:r>
      <w:proofErr w:type="spellStart"/>
      <w:r w:rsidR="003727D6" w:rsidRPr="00DD33C9">
        <w:rPr>
          <w:rFonts w:ascii="Times New Roman" w:hAnsi="Times New Roman" w:cs="Times New Roman"/>
          <w:sz w:val="24"/>
          <w:szCs w:val="24"/>
        </w:rPr>
        <w:t>mBar</w:t>
      </w:r>
      <w:proofErr w:type="spellEnd"/>
      <w:r w:rsidR="003727D6" w:rsidRPr="00DD33C9">
        <w:rPr>
          <w:rFonts w:ascii="Times New Roman" w:hAnsi="Times New Roman" w:cs="Times New Roman"/>
          <w:sz w:val="24"/>
          <w:szCs w:val="24"/>
        </w:rPr>
        <w:t xml:space="preserve">. For XPS, a </w:t>
      </w:r>
      <w:proofErr w:type="spellStart"/>
      <w:r w:rsidR="003727D6" w:rsidRPr="00DD33C9">
        <w:rPr>
          <w:rFonts w:ascii="Times New Roman" w:hAnsi="Times New Roman" w:cs="Times New Roman"/>
          <w:sz w:val="24"/>
          <w:szCs w:val="24"/>
        </w:rPr>
        <w:t>monochromated</w:t>
      </w:r>
      <w:proofErr w:type="spellEnd"/>
      <w:r w:rsidR="003727D6" w:rsidRPr="00DD33C9">
        <w:rPr>
          <w:rFonts w:ascii="Times New Roman" w:hAnsi="Times New Roman" w:cs="Times New Roman"/>
          <w:sz w:val="24"/>
          <w:szCs w:val="24"/>
        </w:rPr>
        <w:t xml:space="preserve"> Al Kα source (1486.6 eV, 72 W, 12 kV) with a 400 × 400 μm</w:t>
      </w:r>
      <w:r w:rsidR="003727D6" w:rsidRPr="00DD33C9">
        <w:rPr>
          <w:rFonts w:ascii="Times New Roman" w:hAnsi="Times New Roman" w:cs="Times New Roman"/>
          <w:sz w:val="24"/>
          <w:szCs w:val="24"/>
          <w:vertAlign w:val="superscript"/>
        </w:rPr>
        <w:t>2</w:t>
      </w:r>
      <w:r w:rsidR="003727D6" w:rsidRPr="00DD33C9">
        <w:rPr>
          <w:rFonts w:ascii="Times New Roman" w:hAnsi="Times New Roman" w:cs="Times New Roman"/>
          <w:sz w:val="24"/>
          <w:szCs w:val="24"/>
        </w:rPr>
        <w:t xml:space="preserve"> beam spot was used. Instrumental broadening was 0.9 eV (Au 4f7/2, FWHM), and energy calibration was referenced to clean Au 4f7/2 at 84.0 eV. Survey and high-resolution scans were acquired at pass </w:t>
      </w:r>
      <w:r w:rsidR="003727D6" w:rsidRPr="00DD33C9">
        <w:rPr>
          <w:rFonts w:ascii="Times New Roman" w:hAnsi="Times New Roman" w:cs="Times New Roman"/>
          <w:sz w:val="24"/>
          <w:szCs w:val="24"/>
        </w:rPr>
        <w:lastRenderedPageBreak/>
        <w:t>energies of 200 and 50 eV, respectively. For UPS, He I excitation (21.22 eV, 1 × 1 mm</w:t>
      </w:r>
      <w:r w:rsidR="003727D6" w:rsidRPr="00DD33C9">
        <w:rPr>
          <w:rFonts w:ascii="Times New Roman" w:hAnsi="Times New Roman" w:cs="Times New Roman"/>
          <w:sz w:val="24"/>
          <w:szCs w:val="24"/>
          <w:vertAlign w:val="superscript"/>
        </w:rPr>
        <w:t>2</w:t>
      </w:r>
      <w:r w:rsidR="003727D6" w:rsidRPr="00DD33C9">
        <w:rPr>
          <w:rFonts w:ascii="Times New Roman" w:hAnsi="Times New Roman" w:cs="Times New Roman"/>
          <w:sz w:val="24"/>
          <w:szCs w:val="24"/>
        </w:rPr>
        <w:t xml:space="preserve"> spot) was used. Pass energies of 3.0 eV (work function, with –10 V bias) and 5.0 eV (valence band, 0 V bias) were employed. The instrumental broadening was 0.09 eV (Fermi edge onset, clean Au reference). All </w:t>
      </w:r>
      <w:r w:rsidR="00603E47" w:rsidRPr="00DD33C9">
        <w:rPr>
          <w:rFonts w:ascii="Times New Roman" w:hAnsi="Times New Roman" w:cs="Times New Roman"/>
          <w:sz w:val="24"/>
          <w:szCs w:val="24"/>
        </w:rPr>
        <w:t xml:space="preserve">the </w:t>
      </w:r>
      <w:r w:rsidR="003727D6" w:rsidRPr="00DD33C9">
        <w:rPr>
          <w:rFonts w:ascii="Times New Roman" w:hAnsi="Times New Roman" w:cs="Times New Roman"/>
          <w:sz w:val="24"/>
          <w:szCs w:val="24"/>
        </w:rPr>
        <w:t xml:space="preserve">spectra were acquired at normal emission (0°) with the charge neutralizer and external light turned off. </w:t>
      </w:r>
      <w:r w:rsidRPr="00DD33C9">
        <w:rPr>
          <w:rFonts w:ascii="Times New Roman" w:hAnsi="Times New Roman" w:cs="Times New Roman"/>
          <w:sz w:val="24"/>
          <w:szCs w:val="24"/>
        </w:rPr>
        <w:t>The specific surface area and pore distribution of all the samples were evaluated by Brunauer-Emmett-Teller (BET) and Barrett-Joyner-</w:t>
      </w:r>
      <w:proofErr w:type="spellStart"/>
      <w:r w:rsidRPr="00DD33C9">
        <w:rPr>
          <w:rFonts w:ascii="Times New Roman" w:hAnsi="Times New Roman" w:cs="Times New Roman"/>
          <w:sz w:val="24"/>
          <w:szCs w:val="24"/>
        </w:rPr>
        <w:t>Halenda</w:t>
      </w:r>
      <w:proofErr w:type="spellEnd"/>
      <w:r w:rsidRPr="00DD33C9">
        <w:rPr>
          <w:rFonts w:ascii="Times New Roman" w:hAnsi="Times New Roman" w:cs="Times New Roman"/>
          <w:sz w:val="24"/>
          <w:szCs w:val="24"/>
        </w:rPr>
        <w:t xml:space="preserve"> (BJH) adsorption methods, respectively. Raman spectroscopy was employed to further study the various vibrational and bending modes of the prepared materials. Functional groups on the surfaces of the materials were investigated using Fourier</w:t>
      </w:r>
      <w:r w:rsidR="00603E47" w:rsidRPr="00DD33C9">
        <w:rPr>
          <w:rFonts w:ascii="Times New Roman" w:hAnsi="Times New Roman" w:cs="Times New Roman"/>
          <w:sz w:val="24"/>
          <w:szCs w:val="24"/>
        </w:rPr>
        <w:t>-</w:t>
      </w:r>
      <w:r w:rsidRPr="00DD33C9">
        <w:rPr>
          <w:rFonts w:ascii="Times New Roman" w:hAnsi="Times New Roman" w:cs="Times New Roman"/>
          <w:sz w:val="24"/>
          <w:szCs w:val="24"/>
        </w:rPr>
        <w:t>transform infrared</w:t>
      </w:r>
      <w:r w:rsidR="00603E47" w:rsidRPr="00DD33C9">
        <w:rPr>
          <w:rFonts w:ascii="Times New Roman" w:hAnsi="Times New Roman" w:cs="Times New Roman"/>
          <w:sz w:val="24"/>
          <w:szCs w:val="24"/>
        </w:rPr>
        <w:t xml:space="preserve"> spectroscopy</w:t>
      </w:r>
      <w:r w:rsidRPr="00DD33C9">
        <w:rPr>
          <w:rFonts w:ascii="Times New Roman" w:hAnsi="Times New Roman" w:cs="Times New Roman"/>
          <w:sz w:val="24"/>
          <w:szCs w:val="24"/>
        </w:rPr>
        <w:t xml:space="preserve"> (FTIR, Spectrum One System (Perkin-Elmer)). The surface morphology of the materials was analyzed by field-emission scanning electron microscopy (FE-SEM, Carl Zeiss, LEO SUPRA 55, GENESIS 2000). The</w:t>
      </w:r>
      <w:r w:rsidR="00603E47" w:rsidRPr="00DD33C9">
        <w:rPr>
          <w:rFonts w:ascii="Times New Roman" w:hAnsi="Times New Roman" w:cs="Times New Roman"/>
          <w:sz w:val="24"/>
          <w:szCs w:val="24"/>
        </w:rPr>
        <w:t xml:space="preserve"> </w:t>
      </w:r>
      <w:r w:rsidRPr="00DD33C9">
        <w:rPr>
          <w:rFonts w:ascii="Times New Roman" w:hAnsi="Times New Roman" w:cs="Times New Roman"/>
          <w:sz w:val="24"/>
          <w:szCs w:val="24"/>
        </w:rPr>
        <w:t xml:space="preserve">transition electron microscopy (TEM, JEM-2100F) </w:t>
      </w:r>
      <w:r w:rsidR="00603E47" w:rsidRPr="00DD33C9">
        <w:rPr>
          <w:rFonts w:ascii="Times New Roman" w:hAnsi="Times New Roman" w:cs="Times New Roman"/>
          <w:sz w:val="24"/>
          <w:szCs w:val="24"/>
        </w:rPr>
        <w:t>wa</w:t>
      </w:r>
      <w:r w:rsidRPr="00DD33C9">
        <w:rPr>
          <w:rFonts w:ascii="Times New Roman" w:hAnsi="Times New Roman" w:cs="Times New Roman"/>
          <w:sz w:val="24"/>
          <w:szCs w:val="24"/>
        </w:rPr>
        <w:t xml:space="preserve">s equipped with an energy-dispersive X-ray spectroscopy (EDS) and elemental mapping. </w:t>
      </w:r>
      <w:r w:rsidR="006012BC" w:rsidRPr="00DD33C9">
        <w:rPr>
          <w:rFonts w:ascii="Times New Roman" w:hAnsi="Times New Roman" w:cs="Times New Roman"/>
          <w:sz w:val="24"/>
          <w:szCs w:val="24"/>
        </w:rPr>
        <w:t xml:space="preserve">High-resolution </w:t>
      </w:r>
      <w:r w:rsidR="00603E47" w:rsidRPr="00DD33C9">
        <w:rPr>
          <w:rFonts w:ascii="Times New Roman" w:hAnsi="Times New Roman" w:cs="Times New Roman"/>
          <w:sz w:val="24"/>
          <w:szCs w:val="24"/>
        </w:rPr>
        <w:t>TEM</w:t>
      </w:r>
      <w:r w:rsidR="006012BC" w:rsidRPr="00DD33C9">
        <w:rPr>
          <w:rFonts w:ascii="Times New Roman" w:hAnsi="Times New Roman" w:cs="Times New Roman"/>
          <w:sz w:val="24"/>
          <w:szCs w:val="24"/>
        </w:rPr>
        <w:t xml:space="preserve"> (HRTEM) and scanning TEM (S</w:t>
      </w:r>
      <w:r w:rsidR="0009606D" w:rsidRPr="00DD33C9">
        <w:rPr>
          <w:rFonts w:ascii="Times New Roman" w:hAnsi="Times New Roman" w:cs="Times New Roman"/>
          <w:sz w:val="24"/>
          <w:szCs w:val="24"/>
        </w:rPr>
        <w:t>-</w:t>
      </w:r>
      <w:r w:rsidR="006012BC" w:rsidRPr="00DD33C9">
        <w:rPr>
          <w:rFonts w:ascii="Times New Roman" w:hAnsi="Times New Roman" w:cs="Times New Roman"/>
          <w:sz w:val="24"/>
          <w:szCs w:val="24"/>
        </w:rPr>
        <w:t xml:space="preserve">TEM) analyses were performed using a JEOL Cs-corrected TEM operated at 200 kV. The instrument </w:t>
      </w:r>
      <w:r w:rsidR="00603E47" w:rsidRPr="00DD33C9">
        <w:rPr>
          <w:rFonts w:ascii="Times New Roman" w:hAnsi="Times New Roman" w:cs="Times New Roman"/>
          <w:sz w:val="24"/>
          <w:szCs w:val="24"/>
        </w:rPr>
        <w:t>wa</w:t>
      </w:r>
      <w:r w:rsidR="006012BC" w:rsidRPr="00DD33C9">
        <w:rPr>
          <w:rFonts w:ascii="Times New Roman" w:hAnsi="Times New Roman" w:cs="Times New Roman"/>
          <w:sz w:val="24"/>
          <w:szCs w:val="24"/>
        </w:rPr>
        <w:t>s equipped with a spherical aberration (Cs) corrector for the objective lens, enabling atomic-resolution imaging. High-angle annular dark-field S</w:t>
      </w:r>
      <w:r w:rsidR="0009606D" w:rsidRPr="00DD33C9">
        <w:rPr>
          <w:rFonts w:ascii="Times New Roman" w:hAnsi="Times New Roman" w:cs="Times New Roman"/>
          <w:sz w:val="24"/>
          <w:szCs w:val="24"/>
        </w:rPr>
        <w:t>-</w:t>
      </w:r>
      <w:r w:rsidR="006012BC" w:rsidRPr="00DD33C9">
        <w:rPr>
          <w:rFonts w:ascii="Times New Roman" w:hAnsi="Times New Roman" w:cs="Times New Roman"/>
          <w:sz w:val="24"/>
          <w:szCs w:val="24"/>
        </w:rPr>
        <w:t>TEM (HAADF-S</w:t>
      </w:r>
      <w:r w:rsidR="0009606D" w:rsidRPr="00DD33C9">
        <w:rPr>
          <w:rFonts w:ascii="Times New Roman" w:hAnsi="Times New Roman" w:cs="Times New Roman"/>
          <w:sz w:val="24"/>
          <w:szCs w:val="24"/>
        </w:rPr>
        <w:t>-</w:t>
      </w:r>
      <w:r w:rsidR="006012BC" w:rsidRPr="00DD33C9">
        <w:rPr>
          <w:rFonts w:ascii="Times New Roman" w:hAnsi="Times New Roman" w:cs="Times New Roman"/>
          <w:sz w:val="24"/>
          <w:szCs w:val="24"/>
        </w:rPr>
        <w:t>TEM), bright-field TEM (BF-TEM), and selected area electron diffraction (SAED) were conducted as required. Samples were prepared on carbon-coated copper grids.</w:t>
      </w:r>
      <w:r w:rsidR="000E4F66" w:rsidRPr="00DD33C9">
        <w:rPr>
          <w:rFonts w:ascii="Times New Roman" w:hAnsi="Times New Roman" w:cs="Times New Roman"/>
          <w:sz w:val="24"/>
          <w:szCs w:val="24"/>
        </w:rPr>
        <w:t xml:space="preserve"> Elemental analysis was performed using a </w:t>
      </w:r>
      <w:r w:rsidR="00603E47" w:rsidRPr="00DD33C9">
        <w:rPr>
          <w:rFonts w:ascii="Times New Roman" w:hAnsi="Times New Roman" w:cs="Times New Roman"/>
          <w:sz w:val="24"/>
          <w:szCs w:val="24"/>
        </w:rPr>
        <w:t>d</w:t>
      </w:r>
      <w:r w:rsidR="000E4F66" w:rsidRPr="00DD33C9">
        <w:rPr>
          <w:rFonts w:ascii="Times New Roman" w:hAnsi="Times New Roman" w:cs="Times New Roman"/>
          <w:sz w:val="24"/>
          <w:szCs w:val="24"/>
        </w:rPr>
        <w:t xml:space="preserve">irect </w:t>
      </w:r>
      <w:r w:rsidR="00603E47" w:rsidRPr="00DD33C9">
        <w:rPr>
          <w:rFonts w:ascii="Times New Roman" w:hAnsi="Times New Roman" w:cs="Times New Roman"/>
          <w:sz w:val="24"/>
          <w:szCs w:val="24"/>
        </w:rPr>
        <w:t>r</w:t>
      </w:r>
      <w:r w:rsidR="000E4F66" w:rsidRPr="00DD33C9">
        <w:rPr>
          <w:rFonts w:ascii="Times New Roman" w:hAnsi="Times New Roman" w:cs="Times New Roman"/>
          <w:sz w:val="24"/>
          <w:szCs w:val="24"/>
        </w:rPr>
        <w:t xml:space="preserve">eading </w:t>
      </w:r>
      <w:r w:rsidR="00603E47" w:rsidRPr="00DD33C9">
        <w:rPr>
          <w:rFonts w:ascii="Times New Roman" w:hAnsi="Times New Roman" w:cs="Times New Roman"/>
          <w:sz w:val="24"/>
          <w:szCs w:val="24"/>
        </w:rPr>
        <w:t>e</w:t>
      </w:r>
      <w:r w:rsidR="000E4F66" w:rsidRPr="00DD33C9">
        <w:rPr>
          <w:rFonts w:ascii="Times New Roman" w:hAnsi="Times New Roman" w:cs="Times New Roman"/>
          <w:sz w:val="24"/>
          <w:szCs w:val="24"/>
        </w:rPr>
        <w:t xml:space="preserve">chelle </w:t>
      </w:r>
      <w:r w:rsidR="00603E47" w:rsidRPr="00DD33C9">
        <w:rPr>
          <w:rFonts w:ascii="Times New Roman" w:hAnsi="Times New Roman" w:cs="Times New Roman"/>
          <w:sz w:val="24"/>
          <w:szCs w:val="24"/>
        </w:rPr>
        <w:t>i</w:t>
      </w:r>
      <w:r w:rsidR="000E4F66" w:rsidRPr="00DD33C9">
        <w:rPr>
          <w:rFonts w:ascii="Times New Roman" w:hAnsi="Times New Roman" w:cs="Times New Roman"/>
          <w:sz w:val="24"/>
          <w:szCs w:val="24"/>
        </w:rPr>
        <w:t xml:space="preserve">nductively </w:t>
      </w:r>
      <w:r w:rsidR="00603E47" w:rsidRPr="00DD33C9">
        <w:rPr>
          <w:rFonts w:ascii="Times New Roman" w:hAnsi="Times New Roman" w:cs="Times New Roman"/>
          <w:sz w:val="24"/>
          <w:szCs w:val="24"/>
        </w:rPr>
        <w:t>c</w:t>
      </w:r>
      <w:r w:rsidR="000E4F66" w:rsidRPr="00DD33C9">
        <w:rPr>
          <w:rFonts w:ascii="Times New Roman" w:hAnsi="Times New Roman" w:cs="Times New Roman"/>
          <w:sz w:val="24"/>
          <w:szCs w:val="24"/>
        </w:rPr>
        <w:t xml:space="preserve">oupled </w:t>
      </w:r>
      <w:r w:rsidR="00603E47" w:rsidRPr="00DD33C9">
        <w:rPr>
          <w:rFonts w:ascii="Times New Roman" w:hAnsi="Times New Roman" w:cs="Times New Roman"/>
          <w:sz w:val="24"/>
          <w:szCs w:val="24"/>
        </w:rPr>
        <w:t>p</w:t>
      </w:r>
      <w:r w:rsidR="000E4F66" w:rsidRPr="00DD33C9">
        <w:rPr>
          <w:rFonts w:ascii="Times New Roman" w:hAnsi="Times New Roman" w:cs="Times New Roman"/>
          <w:sz w:val="24"/>
          <w:szCs w:val="24"/>
        </w:rPr>
        <w:t xml:space="preserve">lasma </w:t>
      </w:r>
      <w:r w:rsidR="00603E47" w:rsidRPr="00DD33C9">
        <w:rPr>
          <w:rFonts w:ascii="Times New Roman" w:hAnsi="Times New Roman" w:cs="Times New Roman"/>
          <w:sz w:val="24"/>
          <w:szCs w:val="24"/>
        </w:rPr>
        <w:t>o</w:t>
      </w:r>
      <w:r w:rsidR="000E4F66" w:rsidRPr="00DD33C9">
        <w:rPr>
          <w:rFonts w:ascii="Times New Roman" w:hAnsi="Times New Roman" w:cs="Times New Roman"/>
          <w:sz w:val="24"/>
          <w:szCs w:val="24"/>
        </w:rPr>
        <w:t xml:space="preserve">ptical </w:t>
      </w:r>
      <w:r w:rsidR="00603E47" w:rsidRPr="00DD33C9">
        <w:rPr>
          <w:rFonts w:ascii="Times New Roman" w:hAnsi="Times New Roman" w:cs="Times New Roman"/>
          <w:sz w:val="24"/>
          <w:szCs w:val="24"/>
        </w:rPr>
        <w:t>e</w:t>
      </w:r>
      <w:r w:rsidR="000E4F66" w:rsidRPr="00DD33C9">
        <w:rPr>
          <w:rFonts w:ascii="Times New Roman" w:hAnsi="Times New Roman" w:cs="Times New Roman"/>
          <w:sz w:val="24"/>
          <w:szCs w:val="24"/>
        </w:rPr>
        <w:t xml:space="preserve">mission </w:t>
      </w:r>
      <w:r w:rsidR="00603E47" w:rsidRPr="00DD33C9">
        <w:rPr>
          <w:rFonts w:ascii="Times New Roman" w:hAnsi="Times New Roman" w:cs="Times New Roman"/>
          <w:sz w:val="24"/>
          <w:szCs w:val="24"/>
        </w:rPr>
        <w:t>s</w:t>
      </w:r>
      <w:r w:rsidR="000E4F66" w:rsidRPr="00DD33C9">
        <w:rPr>
          <w:rFonts w:ascii="Times New Roman" w:hAnsi="Times New Roman" w:cs="Times New Roman"/>
          <w:sz w:val="24"/>
          <w:szCs w:val="24"/>
        </w:rPr>
        <w:t>pectrometer (ICP-OES, Leeman Labs).</w:t>
      </w:r>
      <w:r w:rsidR="002847ED" w:rsidRPr="00DD33C9">
        <w:rPr>
          <w:rFonts w:ascii="Times New Roman" w:hAnsi="Times New Roman" w:cs="Times New Roman"/>
          <w:sz w:val="24"/>
          <w:szCs w:val="24"/>
        </w:rPr>
        <w:t xml:space="preserve"> The experiments were conducted </w:t>
      </w:r>
      <w:r w:rsidR="003727D6" w:rsidRPr="00DD33C9">
        <w:rPr>
          <w:rFonts w:ascii="Times New Roman" w:hAnsi="Times New Roman" w:cs="Times New Roman"/>
          <w:sz w:val="24"/>
          <w:szCs w:val="24"/>
        </w:rPr>
        <w:t>using a</w:t>
      </w:r>
      <w:r w:rsidR="002847ED" w:rsidRPr="00DD33C9">
        <w:rPr>
          <w:rFonts w:ascii="Times New Roman" w:hAnsi="Times New Roman" w:cs="Times New Roman"/>
          <w:sz w:val="24"/>
          <w:szCs w:val="24"/>
        </w:rPr>
        <w:t xml:space="preserve"> 600 MHz solid-state </w:t>
      </w:r>
      <w:r w:rsidR="00603E47" w:rsidRPr="00DD33C9">
        <w:rPr>
          <w:rFonts w:ascii="Times New Roman" w:hAnsi="Times New Roman" w:cs="Times New Roman"/>
          <w:sz w:val="24"/>
          <w:szCs w:val="24"/>
        </w:rPr>
        <w:t>nuclear magnetic resonance (</w:t>
      </w:r>
      <w:r w:rsidR="002847ED" w:rsidRPr="00DD33C9">
        <w:rPr>
          <w:rFonts w:ascii="Times New Roman" w:hAnsi="Times New Roman" w:cs="Times New Roman"/>
          <w:sz w:val="24"/>
          <w:szCs w:val="24"/>
        </w:rPr>
        <w:t>NMR</w:t>
      </w:r>
      <w:r w:rsidR="00603E47" w:rsidRPr="00DD33C9">
        <w:rPr>
          <w:rFonts w:ascii="Times New Roman" w:hAnsi="Times New Roman" w:cs="Times New Roman"/>
          <w:sz w:val="24"/>
          <w:szCs w:val="24"/>
        </w:rPr>
        <w:t>)</w:t>
      </w:r>
      <w:r w:rsidR="002847ED" w:rsidRPr="00DD33C9">
        <w:rPr>
          <w:rFonts w:ascii="Times New Roman" w:hAnsi="Times New Roman" w:cs="Times New Roman"/>
          <w:sz w:val="24"/>
          <w:szCs w:val="24"/>
        </w:rPr>
        <w:t xml:space="preserve"> with a MAS spinning rate of 12 kHz to find the V multiple environments</w:t>
      </w:r>
      <w:r w:rsidR="003727D6" w:rsidRPr="00DD33C9">
        <w:rPr>
          <w:rFonts w:ascii="Times New Roman" w:hAnsi="Times New Roman" w:cs="Times New Roman"/>
          <w:sz w:val="24"/>
          <w:szCs w:val="24"/>
        </w:rPr>
        <w:t xml:space="preserve"> (Agilent Technologies (DD2 600 MHz FT NMR))</w:t>
      </w:r>
      <w:r w:rsidR="002847ED" w:rsidRPr="00DD33C9">
        <w:rPr>
          <w:rFonts w:ascii="Times New Roman" w:hAnsi="Times New Roman" w:cs="Times New Roman"/>
          <w:sz w:val="24"/>
          <w:szCs w:val="24"/>
        </w:rPr>
        <w:t>.</w:t>
      </w:r>
    </w:p>
    <w:p w14:paraId="596BED30" w14:textId="233A83CB" w:rsidR="005A3107" w:rsidRPr="00DD33C9" w:rsidRDefault="005A3107" w:rsidP="005A3107">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t xml:space="preserve">3. Electrochemical </w:t>
      </w:r>
      <w:r w:rsidR="00603E47" w:rsidRPr="00DD33C9">
        <w:rPr>
          <w:rFonts w:ascii="Times New Roman" w:hAnsi="Times New Roman" w:cs="Times New Roman"/>
          <w:b/>
          <w:bCs/>
          <w:sz w:val="24"/>
          <w:szCs w:val="24"/>
        </w:rPr>
        <w:t>m</w:t>
      </w:r>
      <w:r w:rsidRPr="00DD33C9">
        <w:rPr>
          <w:rFonts w:ascii="Times New Roman" w:hAnsi="Times New Roman" w:cs="Times New Roman"/>
          <w:b/>
          <w:bCs/>
          <w:sz w:val="24"/>
          <w:szCs w:val="24"/>
        </w:rPr>
        <w:t>easurements</w:t>
      </w:r>
    </w:p>
    <w:p w14:paraId="2C3EBDAE" w14:textId="77777777" w:rsidR="00D76753" w:rsidRPr="00DD33C9" w:rsidRDefault="00D76753" w:rsidP="00D76753">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lastRenderedPageBreak/>
        <w:t xml:space="preserve">All the electrochemical properties were measured by using a </w:t>
      </w:r>
      <w:proofErr w:type="spellStart"/>
      <w:r w:rsidRPr="00DD33C9">
        <w:rPr>
          <w:rFonts w:ascii="Times New Roman" w:hAnsi="Times New Roman" w:cs="Times New Roman"/>
          <w:sz w:val="24"/>
          <w:szCs w:val="24"/>
        </w:rPr>
        <w:t>WonTech</w:t>
      </w:r>
      <w:proofErr w:type="spellEnd"/>
      <w:r w:rsidRPr="00DD33C9">
        <w:rPr>
          <w:rFonts w:ascii="Times New Roman" w:hAnsi="Times New Roman" w:cs="Times New Roman"/>
          <w:sz w:val="24"/>
          <w:szCs w:val="24"/>
        </w:rPr>
        <w:t xml:space="preserve"> battery workstation. </w:t>
      </w:r>
      <w:r w:rsidRPr="00DD33C9">
        <w:rPr>
          <w:rFonts w:ascii="Times New Roman" w:hAnsi="Times New Roman" w:cs="Times New Roman"/>
          <w:iCs/>
          <w:sz w:val="24"/>
          <w:szCs w:val="24"/>
        </w:rPr>
        <w:t>The electrochemical properties of the as-prepared samples were measured using CR2032 coin-type half-cell. The working electrode was prepared in the following manner. First, the active materials (</w:t>
      </w:r>
      <w:r w:rsidRPr="00DD33C9">
        <w:rPr>
          <w:rFonts w:ascii="Times New Roman" w:hAnsi="Times New Roman" w:cs="Times New Roman"/>
          <w:sz w:val="24"/>
          <w:szCs w:val="24"/>
        </w:rPr>
        <w:t>VO and CsVO/VO</w:t>
      </w:r>
      <w:r w:rsidRPr="00DD33C9">
        <w:rPr>
          <w:rFonts w:ascii="Times New Roman" w:hAnsi="Times New Roman" w:cs="Times New Roman"/>
          <w:iCs/>
          <w:sz w:val="24"/>
          <w:szCs w:val="24"/>
        </w:rPr>
        <w:t>), super-P carbon, and polyvinylidene fluoride (PVDF) were well mixed in a weight ratio of 7:2:1 using N-methyl-2-pyrrolidone (NMP) solvent. The slurry was coated on a carbon cloth current collector substrate using a brush coating technique and dried in a vacuum oven at 120 ºC for 12 h. After drying, the active material-coated carbon cloth was punched into a circular shape. The active material mass loading on the carbon cloth was around 1.5 to 2.3±0.2 mg cm</w:t>
      </w:r>
      <w:r w:rsidRPr="00DD33C9">
        <w:rPr>
          <w:rFonts w:ascii="Times New Roman" w:hAnsi="Times New Roman" w:cs="Times New Roman"/>
          <w:iCs/>
          <w:sz w:val="24"/>
          <w:szCs w:val="24"/>
          <w:vertAlign w:val="superscript"/>
        </w:rPr>
        <w:t>-2</w:t>
      </w:r>
      <w:r w:rsidRPr="00DD33C9">
        <w:rPr>
          <w:rFonts w:ascii="Times New Roman" w:hAnsi="Times New Roman" w:cs="Times New Roman"/>
          <w:iCs/>
          <w:sz w:val="24"/>
          <w:szCs w:val="24"/>
        </w:rPr>
        <w:t xml:space="preserve">. The coin cells were assembled in an open atmosphere using </w:t>
      </w:r>
      <w:bookmarkStart w:id="3" w:name="_Hlk204787305"/>
      <w:r w:rsidRPr="00DD33C9">
        <w:rPr>
          <w:rFonts w:ascii="Times New Roman" w:hAnsi="Times New Roman" w:cs="Times New Roman"/>
          <w:sz w:val="24"/>
          <w:szCs w:val="24"/>
        </w:rPr>
        <w:t xml:space="preserve">Whatman glass fiber membrane </w:t>
      </w:r>
      <w:bookmarkEnd w:id="3"/>
      <w:r w:rsidRPr="00DD33C9">
        <w:rPr>
          <w:rFonts w:ascii="Times New Roman" w:hAnsi="Times New Roman" w:cs="Times New Roman"/>
          <w:sz w:val="24"/>
          <w:szCs w:val="24"/>
        </w:rPr>
        <w:t xml:space="preserve">(GF/D, diameter 47 mm) as a separator and </w:t>
      </w:r>
      <w:r w:rsidRPr="00DD33C9">
        <w:rPr>
          <w:rFonts w:ascii="Times New Roman" w:hAnsi="Times New Roman" w:cs="Times New Roman"/>
          <w:iCs/>
          <w:sz w:val="24"/>
          <w:szCs w:val="24"/>
        </w:rPr>
        <w:t xml:space="preserve">Zn foil as a reference and counter electrode in 3 M zinc </w:t>
      </w:r>
      <w:proofErr w:type="spellStart"/>
      <w:r w:rsidRPr="00DD33C9">
        <w:rPr>
          <w:rFonts w:ascii="Times New Roman" w:hAnsi="Times New Roman" w:cs="Times New Roman"/>
          <w:iCs/>
          <w:sz w:val="24"/>
          <w:szCs w:val="24"/>
        </w:rPr>
        <w:t>trifluoromethane</w:t>
      </w:r>
      <w:proofErr w:type="spellEnd"/>
      <w:r w:rsidRPr="00DD33C9">
        <w:rPr>
          <w:rFonts w:ascii="Times New Roman" w:hAnsi="Times New Roman" w:cs="Times New Roman"/>
          <w:iCs/>
          <w:sz w:val="24"/>
          <w:szCs w:val="24"/>
        </w:rPr>
        <w:t xml:space="preserve"> sulfonate (3 M ZCF) aqueous electrolyte. </w:t>
      </w:r>
      <w:r w:rsidRPr="00DD33C9">
        <w:rPr>
          <w:rFonts w:ascii="Times New Roman" w:hAnsi="Times New Roman" w:cs="Times New Roman"/>
          <w:sz w:val="24"/>
          <w:szCs w:val="24"/>
        </w:rPr>
        <w:t xml:space="preserve">The coin cells were cycled under different current densities within the potential window of 0.2-1.8 V by using the </w:t>
      </w:r>
      <w:proofErr w:type="spellStart"/>
      <w:r w:rsidRPr="00DD33C9">
        <w:rPr>
          <w:rFonts w:ascii="Times New Roman" w:hAnsi="Times New Roman" w:cs="Times New Roman"/>
          <w:sz w:val="24"/>
          <w:szCs w:val="24"/>
        </w:rPr>
        <w:t>WonTech</w:t>
      </w:r>
      <w:proofErr w:type="spellEnd"/>
      <w:r w:rsidRPr="00DD33C9">
        <w:rPr>
          <w:rFonts w:ascii="Times New Roman" w:hAnsi="Times New Roman" w:cs="Times New Roman"/>
          <w:sz w:val="24"/>
          <w:szCs w:val="24"/>
        </w:rPr>
        <w:t xml:space="preserve"> battery workstation. The electrochemical measurements including cyclic voltammetry (CV), galvanostatic charge-discharge (GCD), and electrochemical impedance spectroscopy (EIS, at a frequency range of 0.01 Hz to 100 kHz with 5 mV amplitude) studies were performed at room temperature.</w:t>
      </w:r>
    </w:p>
    <w:p w14:paraId="50DF95D1" w14:textId="6C9DAB89" w:rsidR="00250C31" w:rsidRPr="00DD33C9" w:rsidRDefault="0092115B" w:rsidP="009D0A07">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t>4</w:t>
      </w:r>
      <w:r w:rsidR="00250C31" w:rsidRPr="00DD33C9">
        <w:rPr>
          <w:rFonts w:ascii="Times New Roman" w:hAnsi="Times New Roman" w:cs="Times New Roman"/>
          <w:b/>
          <w:bCs/>
          <w:sz w:val="24"/>
          <w:szCs w:val="24"/>
        </w:rPr>
        <w:t>. Crystal structure properties and stability analysis</w:t>
      </w:r>
    </w:p>
    <w:p w14:paraId="43C5F125" w14:textId="785FB798" w:rsidR="00250C31" w:rsidRPr="00DD33C9" w:rsidRDefault="00250C31" w:rsidP="009D0A07">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 xml:space="preserve">The crystalline structures of pure VO and </w:t>
      </w:r>
      <w:r w:rsidR="00FD6A1F" w:rsidRPr="00DD33C9">
        <w:rPr>
          <w:rFonts w:ascii="Times New Roman" w:hAnsi="Times New Roman" w:cs="Times New Roman"/>
        </w:rPr>
        <w:t>HH–CsVO/VO</w:t>
      </w:r>
      <w:r w:rsidR="00FD6A1F" w:rsidRPr="00DD33C9">
        <w:rPr>
          <w:rFonts w:ascii="Times New Roman" w:hAnsi="Times New Roman" w:cs="Times New Roman"/>
          <w:sz w:val="24"/>
          <w:szCs w:val="24"/>
        </w:rPr>
        <w:t xml:space="preserve"> </w:t>
      </w:r>
      <w:r w:rsidRPr="00DD33C9">
        <w:rPr>
          <w:rFonts w:ascii="Times New Roman" w:hAnsi="Times New Roman" w:cs="Times New Roman"/>
          <w:sz w:val="24"/>
          <w:szCs w:val="24"/>
        </w:rPr>
        <w:t>composite were analyzed using Rietveld refinement, shedding light on their structural configurations and stability. The structural features of the composite, particularly the interplay between the CsVO and VO phases, contribute to its superior stability compared to</w:t>
      </w:r>
      <w:r w:rsidR="00603E47" w:rsidRPr="00DD33C9">
        <w:rPr>
          <w:rFonts w:ascii="Times New Roman" w:hAnsi="Times New Roman" w:cs="Times New Roman"/>
          <w:sz w:val="24"/>
          <w:szCs w:val="24"/>
        </w:rPr>
        <w:t xml:space="preserve"> the</w:t>
      </w:r>
      <w:r w:rsidRPr="00DD33C9">
        <w:rPr>
          <w:rFonts w:ascii="Times New Roman" w:hAnsi="Times New Roman" w:cs="Times New Roman"/>
          <w:sz w:val="24"/>
          <w:szCs w:val="24"/>
        </w:rPr>
        <w:t xml:space="preserve"> pure VO.</w:t>
      </w:r>
    </w:p>
    <w:p w14:paraId="1BC0E060" w14:textId="50796AA2" w:rsidR="00250C31" w:rsidRPr="00DD33C9" w:rsidRDefault="00250C31" w:rsidP="009D0A07">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t xml:space="preserve">Pure </w:t>
      </w:r>
      <w:r w:rsidR="00FD6A1F" w:rsidRPr="00DD33C9">
        <w:rPr>
          <w:rFonts w:ascii="Times New Roman" w:hAnsi="Times New Roman" w:cs="Times New Roman"/>
          <w:b/>
          <w:bCs/>
          <w:sz w:val="24"/>
          <w:szCs w:val="24"/>
        </w:rPr>
        <w:t>VO</w:t>
      </w:r>
    </w:p>
    <w:p w14:paraId="516C84BC" w14:textId="1A5E25E9" w:rsidR="00250C31" w:rsidRPr="00DD33C9" w:rsidRDefault="00250C31" w:rsidP="009D0A07">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lastRenderedPageBreak/>
        <w:t xml:space="preserve">Pure </w:t>
      </w:r>
      <w:r w:rsidR="00FD6A1F" w:rsidRPr="00DD33C9">
        <w:rPr>
          <w:rFonts w:ascii="Times New Roman" w:hAnsi="Times New Roman" w:cs="Times New Roman"/>
          <w:sz w:val="24"/>
          <w:szCs w:val="24"/>
        </w:rPr>
        <w:t>VO</w:t>
      </w:r>
      <w:r w:rsidRPr="00DD33C9">
        <w:rPr>
          <w:rFonts w:ascii="Times New Roman" w:hAnsi="Times New Roman" w:cs="Times New Roman"/>
          <w:sz w:val="24"/>
          <w:szCs w:val="24"/>
        </w:rPr>
        <w:t xml:space="preserve"> crystallizes in an orthorhombic structure with the space group P m n m (No. 59). The lattice parameters are a = 11.510 Å, b = 4.372 Å, c = 3.564 Å, and the unit cell volume is 179.37</w:t>
      </w:r>
      <w:r w:rsidR="00FD6A1F" w:rsidRPr="00DD33C9">
        <w:rPr>
          <w:rFonts w:ascii="Times New Roman" w:hAnsi="Times New Roman" w:cs="Times New Roman"/>
          <w:b/>
          <w:bCs/>
          <w:sz w:val="24"/>
          <w:szCs w:val="24"/>
        </w:rPr>
        <w:t xml:space="preserve"> </w:t>
      </w:r>
      <w:r w:rsidR="00FD6A1F" w:rsidRPr="00DD33C9">
        <w:rPr>
          <w:rFonts w:ascii="Times New Roman" w:hAnsi="Times New Roman" w:cs="Times New Roman"/>
          <w:sz w:val="24"/>
          <w:szCs w:val="24"/>
        </w:rPr>
        <w:t>Å</w:t>
      </w:r>
      <w:r w:rsidR="00FD6A1F" w:rsidRPr="00DD33C9">
        <w:rPr>
          <w:rFonts w:ascii="Times New Roman" w:hAnsi="Times New Roman" w:cs="Times New Roman"/>
          <w:sz w:val="24"/>
          <w:szCs w:val="24"/>
          <w:vertAlign w:val="superscript"/>
        </w:rPr>
        <w:t>3</w:t>
      </w:r>
      <w:r w:rsidRPr="00DD33C9">
        <w:rPr>
          <w:rFonts w:ascii="Times New Roman" w:hAnsi="Times New Roman" w:cs="Times New Roman"/>
          <w:sz w:val="24"/>
          <w:szCs w:val="24"/>
        </w:rPr>
        <w:t>. This structure consists of layered VO</w:t>
      </w:r>
      <w:r w:rsidR="00FD6A1F" w:rsidRPr="00DD33C9">
        <w:rPr>
          <w:rFonts w:ascii="Times New Roman" w:hAnsi="Times New Roman" w:cs="Times New Roman"/>
          <w:sz w:val="24"/>
          <w:szCs w:val="24"/>
          <w:vertAlign w:val="subscript"/>
        </w:rPr>
        <w:t>6</w:t>
      </w:r>
      <w:r w:rsidRPr="00DD33C9">
        <w:rPr>
          <w:rFonts w:ascii="Times New Roman" w:hAnsi="Times New Roman" w:cs="Times New Roman"/>
          <w:sz w:val="24"/>
          <w:szCs w:val="24"/>
        </w:rPr>
        <w:t xml:space="preserve"> octahedra connected via edge-sharing and corner-sharing. While the layered structure facilitates ion intercalation and diffusion, it is prone to structural degradation under repeated electrochemical cycling, primarily due to stress and volume changes</w:t>
      </w:r>
      <w:r w:rsidR="00603E47" w:rsidRPr="00DD33C9">
        <w:rPr>
          <w:rFonts w:ascii="Times New Roman" w:hAnsi="Times New Roman" w:cs="Times New Roman"/>
          <w:sz w:val="24"/>
          <w:szCs w:val="24"/>
        </w:rPr>
        <w:t xml:space="preserve"> </w:t>
      </w:r>
      <w:r w:rsidR="00B8218D"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ADDIN CSL_CITATION {"citationItems":[{"id":"ITEM-1","itemData":{"DOI":"10.1021/acs.accounts.4c00484","ISSN":"15204898","abstract":"Conspectus Zinc-ion batteries (ZIBs) are highly promising for large-scale energy storage because of their safety, high energy/power density, low cost, and eco-friendliness. Vanadium-based compounds are attractive cathodes because of their versatile structures and multielectron redox processes (+5 to +3), leading to high capacity. Layered structures or 3-dimensional open tunnel frameworks allow easy movement of zinc-ions without breaking the structure apart, offering superior rate-performance. However, challenges such as dissolution and phase transformation hinder the long-term stability of vanadium-based cathodes in ZIBs. Although significant research has been dedicated to understanding the mechanisms and developing high-performance vanadium-based cathodes, uncertainties still exist regarding the critical mechanisms of energy storage and dissolution, the actual active phase and the specific optimization strategy. For example, it is unclear whether materials such as α-V2O5, VO2, and V2O3 serve as the active phase or undergo phase transformations during cycling. Additionally, the root cause of V-dissolution and the role of byproducts such as Zn3(OH)2V2O7·2H2O in ZIBs are debated. In this account, we aim to outline a clear and comprehensive roadmap for V-based cathodes in ZIBs. On the basis of our studies, we analyzed intrinsic crystal structures and their correlation with performance to guide the design of V-based materials with high-capacity and high-stability for ZIBs. Then, we revealed the underlying mechanisms of energy storage and instability, enabling more effective design and optimization of V-based cathodes. After identifying the key challenges, we proposed effective design principles to achieve high cycling performance of V-based cathodes and outlined future development directions toward their practical application. Vanadium-based compounds include [VO4] tetrahedrons, [VO5] square pyramids, and [VO6] octahedra, which are connected through a cocorner, coedge and coplane. The [VO4] tetrahedron is inactive, and the [VO5] square pyramid is unstable in aqueous solutions because water attacks the exposed vanadium, whereas stable [VO6] octahedra are desirable because of their ability to reduce from +5 to +3 with minimal structural distortion. Therefore, high-performance vanadium-based oxides in ZIBs should maintain intact [VO6] octahedra while avoiding [VO4] tetrahedra or [VO5] square pyramids. The energy storage mechanism involves H2O/H+/Zn2+ coinserti…","author":[{"dropping-particle":"","family":"Zhu","given":"Kaiyue","non-dropping-particle":"","parse-names":false,"suffix":""},{"dropping-particle":"","family":"Yang","given":"Weishen","non-dropping-particle":"","parse-names":false,"suffix":""}],"container-title":"Accounts of Chemical Research","id":"ITEM-1","issued":{"date-parts":[["2024"]]},"title":"Vanadium-Based Cathodes for Aqueous Zinc-Ion Batteries: Mechanisms, Challenges, and Strategies","type":"article-journal"},"uris":["http://www.mendeley.com/documents/?uuid=b3d84abb-8438-434f-9480-ba81ea1160a3"]}],"mendeley":{"formattedCitation":"[1]","plainTextFormattedCitation":"[1]","previouslyFormattedCitation":"[1]"},"properties":{"noteIndex":0},"schema":"https://github.com/citation-style-language/schema/raw/master/csl-citation.json"}</w:instrText>
      </w:r>
      <w:r w:rsidR="00B8218D" w:rsidRPr="00DD33C9">
        <w:rPr>
          <w:rFonts w:ascii="Times New Roman" w:hAnsi="Times New Roman" w:cs="Times New Roman"/>
          <w:sz w:val="24"/>
          <w:szCs w:val="24"/>
        </w:rPr>
        <w:fldChar w:fldCharType="separate"/>
      </w:r>
      <w:r w:rsidR="002470E5" w:rsidRPr="00C45123">
        <w:rPr>
          <w:rFonts w:ascii="Times New Roman" w:hAnsi="Times New Roman" w:cs="Times New Roman"/>
          <w:noProof/>
          <w:sz w:val="24"/>
          <w:szCs w:val="24"/>
        </w:rPr>
        <w:t>[1]</w:t>
      </w:r>
      <w:r w:rsidR="00B8218D" w:rsidRPr="00DD33C9">
        <w:rPr>
          <w:rFonts w:ascii="Times New Roman" w:hAnsi="Times New Roman" w:cs="Times New Roman"/>
          <w:sz w:val="24"/>
          <w:szCs w:val="24"/>
        </w:rPr>
        <w:fldChar w:fldCharType="end"/>
      </w:r>
      <w:r w:rsidRPr="00DD33C9">
        <w:rPr>
          <w:rFonts w:ascii="Times New Roman" w:hAnsi="Times New Roman" w:cs="Times New Roman"/>
          <w:sz w:val="24"/>
          <w:szCs w:val="24"/>
        </w:rPr>
        <w:t>.</w:t>
      </w:r>
    </w:p>
    <w:p w14:paraId="4B2D1389" w14:textId="7EDF3439" w:rsidR="00250C31" w:rsidRPr="00DD33C9" w:rsidRDefault="00250C31" w:rsidP="009D0A07">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t xml:space="preserve">CsVO </w:t>
      </w:r>
      <w:r w:rsidR="00603E47" w:rsidRPr="00DD33C9">
        <w:rPr>
          <w:rFonts w:ascii="Times New Roman" w:hAnsi="Times New Roman" w:cs="Times New Roman"/>
          <w:b/>
          <w:bCs/>
          <w:sz w:val="24"/>
          <w:szCs w:val="24"/>
        </w:rPr>
        <w:t>p</w:t>
      </w:r>
      <w:r w:rsidRPr="00DD33C9">
        <w:rPr>
          <w:rFonts w:ascii="Times New Roman" w:hAnsi="Times New Roman" w:cs="Times New Roman"/>
          <w:b/>
          <w:bCs/>
          <w:sz w:val="24"/>
          <w:szCs w:val="24"/>
        </w:rPr>
        <w:t xml:space="preserve">hase in </w:t>
      </w:r>
      <w:r w:rsidR="00603E47" w:rsidRPr="00DD33C9">
        <w:rPr>
          <w:rFonts w:ascii="Times New Roman" w:hAnsi="Times New Roman" w:cs="Times New Roman"/>
          <w:b/>
          <w:bCs/>
          <w:sz w:val="24"/>
          <w:szCs w:val="24"/>
        </w:rPr>
        <w:t>c</w:t>
      </w:r>
      <w:r w:rsidRPr="00DD33C9">
        <w:rPr>
          <w:rFonts w:ascii="Times New Roman" w:hAnsi="Times New Roman" w:cs="Times New Roman"/>
          <w:b/>
          <w:bCs/>
          <w:sz w:val="24"/>
          <w:szCs w:val="24"/>
        </w:rPr>
        <w:t>omposite</w:t>
      </w:r>
    </w:p>
    <w:p w14:paraId="672C0249" w14:textId="35AC0F2F" w:rsidR="00250C31" w:rsidRPr="00DD33C9" w:rsidRDefault="00250C31" w:rsidP="009D0A07">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The CsV</w:t>
      </w:r>
      <w:r w:rsidR="00FD6A1F" w:rsidRPr="00DD33C9">
        <w:rPr>
          <w:rFonts w:ascii="Times New Roman" w:hAnsi="Times New Roman" w:cs="Times New Roman"/>
          <w:sz w:val="24"/>
          <w:szCs w:val="24"/>
        </w:rPr>
        <w:t>O</w:t>
      </w:r>
      <w:r w:rsidRPr="00DD33C9">
        <w:rPr>
          <w:rFonts w:ascii="Times New Roman" w:hAnsi="Times New Roman" w:cs="Times New Roman"/>
          <w:sz w:val="24"/>
          <w:szCs w:val="24"/>
        </w:rPr>
        <w:t xml:space="preserve"> phase in the composite adopts a monoclinic structure with the space group P 21/m (No. 11), lattice parameters a = 8.206 Å, b = 8.546 Å, c = 5.005 Å, and β = 95.57°, with a unit cell volume of 349.32 </w:t>
      </w:r>
      <w:r w:rsidR="00FD6A1F" w:rsidRPr="00DD33C9">
        <w:rPr>
          <w:rFonts w:ascii="Times New Roman" w:hAnsi="Times New Roman" w:cs="Times New Roman"/>
          <w:sz w:val="24"/>
          <w:szCs w:val="24"/>
        </w:rPr>
        <w:t>Å</w:t>
      </w:r>
      <w:r w:rsidR="00FD6A1F" w:rsidRPr="00DD33C9">
        <w:rPr>
          <w:rFonts w:ascii="Times New Roman" w:hAnsi="Times New Roman" w:cs="Times New Roman"/>
          <w:sz w:val="24"/>
          <w:szCs w:val="24"/>
          <w:vertAlign w:val="superscript"/>
        </w:rPr>
        <w:t>3</w:t>
      </w:r>
      <w:r w:rsidRPr="00DD33C9">
        <w:rPr>
          <w:rFonts w:ascii="Times New Roman" w:hAnsi="Times New Roman" w:cs="Times New Roman"/>
          <w:sz w:val="24"/>
          <w:szCs w:val="24"/>
        </w:rPr>
        <w:t xml:space="preserve">. This phase </w:t>
      </w:r>
      <w:r w:rsidR="00603E47" w:rsidRPr="00DD33C9">
        <w:rPr>
          <w:rFonts w:ascii="Times New Roman" w:hAnsi="Times New Roman" w:cs="Times New Roman"/>
          <w:sz w:val="24"/>
          <w:szCs w:val="24"/>
        </w:rPr>
        <w:t>i</w:t>
      </w:r>
      <w:r w:rsidRPr="00DD33C9">
        <w:rPr>
          <w:rFonts w:ascii="Times New Roman" w:hAnsi="Times New Roman" w:cs="Times New Roman"/>
          <w:sz w:val="24"/>
          <w:szCs w:val="24"/>
        </w:rPr>
        <w:t>s characterized by a three-dimensional</w:t>
      </w:r>
      <w:r w:rsidR="00B62327" w:rsidRPr="00DD33C9">
        <w:rPr>
          <w:rFonts w:ascii="Times New Roman" w:hAnsi="Times New Roman" w:cs="Times New Roman"/>
          <w:sz w:val="24"/>
          <w:szCs w:val="24"/>
        </w:rPr>
        <w:t xml:space="preserve"> (3D)</w:t>
      </w:r>
      <w:r w:rsidRPr="00DD33C9">
        <w:rPr>
          <w:rFonts w:ascii="Times New Roman" w:hAnsi="Times New Roman" w:cs="Times New Roman"/>
          <w:sz w:val="24"/>
          <w:szCs w:val="24"/>
        </w:rPr>
        <w:t xml:space="preserve"> framework of VO</w:t>
      </w:r>
      <w:r w:rsidR="00FD6A1F" w:rsidRPr="00DD33C9">
        <w:rPr>
          <w:rFonts w:ascii="Times New Roman" w:hAnsi="Times New Roman" w:cs="Times New Roman"/>
          <w:sz w:val="24"/>
          <w:szCs w:val="24"/>
          <w:vertAlign w:val="subscript"/>
        </w:rPr>
        <w:t>4</w:t>
      </w:r>
      <w:r w:rsidRPr="00DD33C9">
        <w:rPr>
          <w:rFonts w:ascii="Times New Roman" w:hAnsi="Times New Roman" w:cs="Times New Roman"/>
          <w:sz w:val="24"/>
          <w:szCs w:val="24"/>
        </w:rPr>
        <w:t xml:space="preserve"> tetrahedra and VO</w:t>
      </w:r>
      <w:r w:rsidR="00FD6A1F" w:rsidRPr="00DD33C9">
        <w:rPr>
          <w:rFonts w:ascii="Times New Roman" w:hAnsi="Times New Roman" w:cs="Times New Roman"/>
          <w:sz w:val="24"/>
          <w:szCs w:val="24"/>
          <w:vertAlign w:val="subscript"/>
        </w:rPr>
        <w:t>6</w:t>
      </w:r>
      <w:r w:rsidRPr="00DD33C9">
        <w:rPr>
          <w:rFonts w:ascii="Times New Roman" w:hAnsi="Times New Roman" w:cs="Times New Roman"/>
          <w:sz w:val="24"/>
          <w:szCs w:val="24"/>
        </w:rPr>
        <w:t xml:space="preserve"> octahedra interconnected by cesium ions. Cesium plays a crucial role in stabilizing the structure by neutralizing the negative charge of the vanadate framework and reducing lattice strain</w:t>
      </w:r>
      <w:r w:rsidR="00B62327" w:rsidRPr="00DD33C9">
        <w:rPr>
          <w:rFonts w:ascii="Times New Roman" w:hAnsi="Times New Roman" w:cs="Times New Roman"/>
          <w:sz w:val="24"/>
          <w:szCs w:val="24"/>
        </w:rPr>
        <w:t xml:space="preserve"> </w:t>
      </w:r>
      <w:r w:rsidR="00B8218D"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ADDIN CSL_CITATION {"citationItems":[{"id":"ITEM-1","itemData":{"DOI":"10.1016/j.jlumin.2017.10.044","ISSN":"00222313","abstract":"Nano-sized V2O5 has been widely investigated as photocatalysis due to good chemical stability and smaller band gap than TiO2. However, it suffers some disadvantages such as narrow optical absorption, easy recombination of photo-generated charges. In this work, CsV3O8 was prepared by a facile hydrothermal synthesis without help of any additive inorganic chemicals. The samples developed into well-crystalized microplates with the length and width of about 1 and 3 µm, respectively. Phase formation and structure were investigated by XRD structure refinement. CsV3O8 has an unusual V–O framework consisting of VO6 octahedra, which constructs V2O5-like layer-structure. The samples were characterized with SEM, TEM, EDS and optical absorption. CsV3O8 has an indirect allowed electronic transition with band energy 2.18 eV. Efficient photo-degradation of Rhodamine B (RhB) solutions in presence of CsV3O8 was confirmed. The result suggests that vanadate semiconductor CsV3O8 is a potential candidate for photocatalytic application under visible-light irradiation.","author":[{"dropping-particle":"","family":"Mi","given":"Longqing","non-dropping-particle":"","parse-names":false,"suffix":""},{"dropping-particle":"","family":"Huang","given":"Yanlin","non-dropping-particle":"","parse-names":false,"suffix":""},{"dropping-particle":"","family":"Qin","given":"Chuanxiang","non-dropping-particle":"","parse-names":false,"suffix":""},{"dropping-particle":"","family":"Qin","given":"Lin","non-dropping-particle":"","parse-names":false,"suffix":""},{"dropping-particle":"","family":"Seo","given":"Hyo Jin","non-dropping-particle":"","parse-names":false,"suffix":""}],"container-title":"Journal of Luminescence","id":"ITEM-1","issue":"October 2017","issued":{"date-parts":[["2018"]]},"page":"414-419","publisher":"Elsevier B.V.","title":"Hydrothermal synthesis and optical properties of CsV3O8 microplates","type":"article-journal","volume":"194"},"uris":["http://www.mendeley.com/documents/?uuid=a28b2766-305f-44d5-8dd5-e580c2e30918"]}],"mendeley":{"formattedCitation":"[2]","plainTextFormattedCitation":"[2]","previouslyFormattedCitation":"[2]"},"properties":{"noteIndex":0},"schema":"https://github.com/citation-style-language/schema/raw/master/csl-citation.json"}</w:instrText>
      </w:r>
      <w:r w:rsidR="00B8218D" w:rsidRPr="00DD33C9">
        <w:rPr>
          <w:rFonts w:ascii="Times New Roman" w:hAnsi="Times New Roman" w:cs="Times New Roman"/>
          <w:sz w:val="24"/>
          <w:szCs w:val="24"/>
        </w:rPr>
        <w:fldChar w:fldCharType="separate"/>
      </w:r>
      <w:r w:rsidR="002470E5" w:rsidRPr="00C45123">
        <w:rPr>
          <w:rFonts w:ascii="Times New Roman" w:hAnsi="Times New Roman" w:cs="Times New Roman"/>
          <w:noProof/>
          <w:sz w:val="24"/>
          <w:szCs w:val="24"/>
        </w:rPr>
        <w:t>[2]</w:t>
      </w:r>
      <w:r w:rsidR="00B8218D" w:rsidRPr="00DD33C9">
        <w:rPr>
          <w:rFonts w:ascii="Times New Roman" w:hAnsi="Times New Roman" w:cs="Times New Roman"/>
          <w:sz w:val="24"/>
          <w:szCs w:val="24"/>
        </w:rPr>
        <w:fldChar w:fldCharType="end"/>
      </w:r>
      <w:r w:rsidRPr="00DD33C9">
        <w:rPr>
          <w:rFonts w:ascii="Times New Roman" w:hAnsi="Times New Roman" w:cs="Times New Roman"/>
          <w:sz w:val="24"/>
          <w:szCs w:val="24"/>
        </w:rPr>
        <w:t>. The open-channel structure of CsV</w:t>
      </w:r>
      <w:r w:rsidR="001A0180" w:rsidRPr="00DD33C9">
        <w:rPr>
          <w:rFonts w:ascii="Times New Roman" w:hAnsi="Times New Roman" w:cs="Times New Roman"/>
          <w:sz w:val="24"/>
          <w:szCs w:val="24"/>
        </w:rPr>
        <w:t>O</w:t>
      </w:r>
      <w:r w:rsidRPr="00DD33C9">
        <w:rPr>
          <w:rFonts w:ascii="Times New Roman" w:hAnsi="Times New Roman" w:cs="Times New Roman"/>
          <w:sz w:val="24"/>
          <w:szCs w:val="24"/>
        </w:rPr>
        <w:t xml:space="preserve">, facilitated by </w:t>
      </w:r>
      <w:r w:rsidR="001A0180" w:rsidRPr="00DD33C9">
        <w:rPr>
          <w:rFonts w:ascii="Times New Roman" w:hAnsi="Times New Roman" w:cs="Times New Roman"/>
          <w:sz w:val="24"/>
          <w:szCs w:val="24"/>
        </w:rPr>
        <w:t>Cs</w:t>
      </w:r>
      <w:r w:rsidR="001A0180" w:rsidRPr="00DD33C9">
        <w:rPr>
          <w:rFonts w:ascii="Times New Roman" w:hAnsi="Times New Roman" w:cs="Times New Roman"/>
          <w:sz w:val="24"/>
          <w:szCs w:val="24"/>
          <w:vertAlign w:val="superscript"/>
        </w:rPr>
        <w:t>+</w:t>
      </w:r>
      <w:r w:rsidR="001A0180" w:rsidRPr="00DD33C9">
        <w:rPr>
          <w:rFonts w:ascii="Times New Roman" w:hAnsi="Times New Roman" w:cs="Times New Roman"/>
          <w:sz w:val="24"/>
          <w:szCs w:val="24"/>
        </w:rPr>
        <w:t xml:space="preserve"> </w:t>
      </w:r>
      <w:r w:rsidRPr="00DD33C9">
        <w:rPr>
          <w:rFonts w:ascii="Times New Roman" w:hAnsi="Times New Roman" w:cs="Times New Roman"/>
          <w:sz w:val="24"/>
          <w:szCs w:val="24"/>
        </w:rPr>
        <w:t>ions, enhances ion mobility and provides additional diffusion pathways.</w:t>
      </w:r>
      <w:r w:rsidR="00B8218D" w:rsidRPr="00DD33C9">
        <w:rPr>
          <w:rFonts w:ascii="Times New Roman" w:hAnsi="Times New Roman" w:cs="Times New Roman"/>
          <w:sz w:val="24"/>
          <w:szCs w:val="24"/>
        </w:rPr>
        <w:t xml:space="preserve"> </w:t>
      </w:r>
      <w:r w:rsidRPr="00DD33C9">
        <w:rPr>
          <w:rFonts w:ascii="Times New Roman" w:hAnsi="Times New Roman" w:cs="Times New Roman"/>
          <w:sz w:val="24"/>
          <w:szCs w:val="24"/>
        </w:rPr>
        <w:t>The thermal displacement parameters for oxygen atoms in CsV</w:t>
      </w:r>
      <w:r w:rsidR="001A0180" w:rsidRPr="00DD33C9">
        <w:rPr>
          <w:rFonts w:ascii="Times New Roman" w:hAnsi="Times New Roman" w:cs="Times New Roman"/>
          <w:sz w:val="24"/>
          <w:szCs w:val="24"/>
        </w:rPr>
        <w:t>O</w:t>
      </w:r>
      <w:r w:rsidRPr="00DD33C9">
        <w:rPr>
          <w:rFonts w:ascii="Times New Roman" w:hAnsi="Times New Roman" w:cs="Times New Roman"/>
          <w:sz w:val="24"/>
          <w:szCs w:val="24"/>
        </w:rPr>
        <w:t>, especially O5 (B = 10.693 Å</w:t>
      </w:r>
      <w:r w:rsidR="001A0180" w:rsidRPr="00DD33C9">
        <w:rPr>
          <w:rFonts w:ascii="Times New Roman" w:hAnsi="Times New Roman" w:cs="Times New Roman"/>
          <w:sz w:val="24"/>
          <w:szCs w:val="24"/>
          <w:vertAlign w:val="superscript"/>
        </w:rPr>
        <w:t>2</w:t>
      </w:r>
      <w:r w:rsidRPr="00DD33C9">
        <w:rPr>
          <w:rFonts w:ascii="Times New Roman" w:hAnsi="Times New Roman" w:cs="Times New Roman"/>
          <w:sz w:val="24"/>
          <w:szCs w:val="24"/>
        </w:rPr>
        <w:t xml:space="preserve">), suggest the presence of oxygen vacancies. These vacancies improve ionic conductivity and electrochemical activity. Importantly, the </w:t>
      </w:r>
      <w:r w:rsidR="00B62327" w:rsidRPr="00DD33C9">
        <w:rPr>
          <w:rFonts w:ascii="Times New Roman" w:hAnsi="Times New Roman" w:cs="Times New Roman"/>
          <w:sz w:val="24"/>
          <w:szCs w:val="24"/>
        </w:rPr>
        <w:t>3D</w:t>
      </w:r>
      <w:r w:rsidRPr="00DD33C9">
        <w:rPr>
          <w:rFonts w:ascii="Times New Roman" w:hAnsi="Times New Roman" w:cs="Times New Roman"/>
          <w:sz w:val="24"/>
          <w:szCs w:val="24"/>
        </w:rPr>
        <w:t xml:space="preserve"> framework of CsV</w:t>
      </w:r>
      <w:r w:rsidR="001A0180" w:rsidRPr="00DD33C9">
        <w:rPr>
          <w:rFonts w:ascii="Times New Roman" w:hAnsi="Times New Roman" w:cs="Times New Roman"/>
          <w:sz w:val="24"/>
          <w:szCs w:val="24"/>
        </w:rPr>
        <w:t>O</w:t>
      </w:r>
      <w:r w:rsidRPr="00DD33C9">
        <w:rPr>
          <w:rFonts w:ascii="Times New Roman" w:hAnsi="Times New Roman" w:cs="Times New Roman"/>
          <w:sz w:val="24"/>
          <w:szCs w:val="24"/>
        </w:rPr>
        <w:t xml:space="preserve"> resists structural collapse, maintaining its integrity during cycling. This stability is a significant improvement compared to the layered structure of pure VO, which is more susceptible to stress-induced degradation.</w:t>
      </w:r>
    </w:p>
    <w:p w14:paraId="1E60AB06" w14:textId="1D8D3635" w:rsidR="00250C31" w:rsidRPr="00DD33C9" w:rsidRDefault="00250C31" w:rsidP="009D0A07">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t xml:space="preserve">VO </w:t>
      </w:r>
      <w:r w:rsidR="00B62327" w:rsidRPr="00DD33C9">
        <w:rPr>
          <w:rFonts w:ascii="Times New Roman" w:hAnsi="Times New Roman" w:cs="Times New Roman"/>
          <w:b/>
          <w:bCs/>
          <w:sz w:val="24"/>
          <w:szCs w:val="24"/>
        </w:rPr>
        <w:t>p</w:t>
      </w:r>
      <w:r w:rsidRPr="00DD33C9">
        <w:rPr>
          <w:rFonts w:ascii="Times New Roman" w:hAnsi="Times New Roman" w:cs="Times New Roman"/>
          <w:b/>
          <w:bCs/>
          <w:sz w:val="24"/>
          <w:szCs w:val="24"/>
        </w:rPr>
        <w:t xml:space="preserve">hase in </w:t>
      </w:r>
      <w:r w:rsidR="00B62327" w:rsidRPr="00DD33C9">
        <w:rPr>
          <w:rFonts w:ascii="Times New Roman" w:hAnsi="Times New Roman" w:cs="Times New Roman"/>
          <w:b/>
          <w:bCs/>
          <w:sz w:val="24"/>
          <w:szCs w:val="24"/>
        </w:rPr>
        <w:t>c</w:t>
      </w:r>
      <w:r w:rsidRPr="00DD33C9">
        <w:rPr>
          <w:rFonts w:ascii="Times New Roman" w:hAnsi="Times New Roman" w:cs="Times New Roman"/>
          <w:b/>
          <w:bCs/>
          <w:sz w:val="24"/>
          <w:szCs w:val="24"/>
        </w:rPr>
        <w:t>omposite</w:t>
      </w:r>
    </w:p>
    <w:p w14:paraId="7D8DCC5C" w14:textId="4C4636BC" w:rsidR="00250C31" w:rsidRPr="00DD33C9" w:rsidRDefault="00250C31" w:rsidP="009D0A07">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 xml:space="preserve">The VO phase in the composite retains its orthorhombic structure (space group P m n m) with slightly altered lattice parameters (a = 11.516 Å, b = 4.372 Å, c = 3.565 Å, unit cell volume 179.49 </w:t>
      </w:r>
      <w:r w:rsidRPr="00DD33C9">
        <w:rPr>
          <w:rFonts w:ascii="Times New Roman" w:hAnsi="Times New Roman" w:cs="Times New Roman"/>
          <w:sz w:val="24"/>
          <w:szCs w:val="24"/>
        </w:rPr>
        <w:lastRenderedPageBreak/>
        <w:t>Å</w:t>
      </w:r>
      <w:r w:rsidR="000C2974" w:rsidRPr="00DD33C9">
        <w:rPr>
          <w:rFonts w:ascii="Times New Roman" w:hAnsi="Times New Roman" w:cs="Times New Roman"/>
          <w:sz w:val="24"/>
          <w:szCs w:val="24"/>
          <w:vertAlign w:val="superscript"/>
        </w:rPr>
        <w:t>3</w:t>
      </w:r>
      <w:r w:rsidRPr="00DD33C9">
        <w:rPr>
          <w:rFonts w:ascii="Times New Roman" w:hAnsi="Times New Roman" w:cs="Times New Roman"/>
          <w:sz w:val="24"/>
          <w:szCs w:val="24"/>
        </w:rPr>
        <w:t xml:space="preserve">). The minor changes in lattice parameters reflect strain induced by the CsVO phase, which is beneficial for enhancing the composite’s mechanical stability. The oxygen atoms in the VO phase of the composite exhibit lower thermal displacement parameters than </w:t>
      </w:r>
      <w:r w:rsidR="00B62327" w:rsidRPr="00DD33C9">
        <w:rPr>
          <w:rFonts w:ascii="Times New Roman" w:hAnsi="Times New Roman" w:cs="Times New Roman"/>
          <w:sz w:val="24"/>
          <w:szCs w:val="24"/>
        </w:rPr>
        <w:t xml:space="preserve">those </w:t>
      </w:r>
      <w:r w:rsidRPr="00DD33C9">
        <w:rPr>
          <w:rFonts w:ascii="Times New Roman" w:hAnsi="Times New Roman" w:cs="Times New Roman"/>
          <w:sz w:val="24"/>
          <w:szCs w:val="24"/>
        </w:rPr>
        <w:t>in</w:t>
      </w:r>
      <w:r w:rsidR="00B62327" w:rsidRPr="00DD33C9">
        <w:rPr>
          <w:rFonts w:ascii="Times New Roman" w:hAnsi="Times New Roman" w:cs="Times New Roman"/>
          <w:sz w:val="24"/>
          <w:szCs w:val="24"/>
        </w:rPr>
        <w:t xml:space="preserve"> the</w:t>
      </w:r>
      <w:r w:rsidRPr="00DD33C9">
        <w:rPr>
          <w:rFonts w:ascii="Times New Roman" w:hAnsi="Times New Roman" w:cs="Times New Roman"/>
          <w:sz w:val="24"/>
          <w:szCs w:val="24"/>
        </w:rPr>
        <w:t xml:space="preserve"> pure VO, indicating reduced structural distortions. This suggests that the presence of CsVO mitigates the structural instabilities commonly observed in VO.</w:t>
      </w:r>
    </w:p>
    <w:p w14:paraId="43E5D4B1" w14:textId="1563EB25" w:rsidR="00250C31" w:rsidRPr="00DD33C9" w:rsidRDefault="00250C31" w:rsidP="009D0A07">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t xml:space="preserve">Stability </w:t>
      </w:r>
      <w:r w:rsidR="00B62327" w:rsidRPr="00DD33C9">
        <w:rPr>
          <w:rFonts w:ascii="Times New Roman" w:hAnsi="Times New Roman" w:cs="Times New Roman"/>
          <w:b/>
          <w:bCs/>
          <w:sz w:val="24"/>
          <w:szCs w:val="24"/>
        </w:rPr>
        <w:t>e</w:t>
      </w:r>
      <w:r w:rsidRPr="00DD33C9">
        <w:rPr>
          <w:rFonts w:ascii="Times New Roman" w:hAnsi="Times New Roman" w:cs="Times New Roman"/>
          <w:b/>
          <w:bCs/>
          <w:sz w:val="24"/>
          <w:szCs w:val="24"/>
        </w:rPr>
        <w:t xml:space="preserve">nhancement in </w:t>
      </w:r>
      <w:r w:rsidR="00BF7A1F" w:rsidRPr="00DD33C9">
        <w:rPr>
          <w:rFonts w:ascii="Times New Roman" w:hAnsi="Times New Roman" w:cs="Times New Roman"/>
          <w:b/>
          <w:bCs/>
          <w:sz w:val="24"/>
          <w:szCs w:val="24"/>
        </w:rPr>
        <w:t>CsVO/VO</w:t>
      </w:r>
      <w:r w:rsidRPr="00DD33C9">
        <w:rPr>
          <w:rFonts w:ascii="Times New Roman" w:hAnsi="Times New Roman" w:cs="Times New Roman"/>
          <w:b/>
          <w:bCs/>
          <w:sz w:val="24"/>
          <w:szCs w:val="24"/>
        </w:rPr>
        <w:t xml:space="preserve"> </w:t>
      </w:r>
      <w:r w:rsidR="00B62327" w:rsidRPr="00DD33C9">
        <w:rPr>
          <w:rFonts w:ascii="Times New Roman" w:hAnsi="Times New Roman" w:cs="Times New Roman"/>
          <w:b/>
          <w:bCs/>
          <w:sz w:val="24"/>
          <w:szCs w:val="24"/>
        </w:rPr>
        <w:t>c</w:t>
      </w:r>
      <w:r w:rsidRPr="00DD33C9">
        <w:rPr>
          <w:rFonts w:ascii="Times New Roman" w:hAnsi="Times New Roman" w:cs="Times New Roman"/>
          <w:b/>
          <w:bCs/>
          <w:sz w:val="24"/>
          <w:szCs w:val="24"/>
        </w:rPr>
        <w:t>omposite</w:t>
      </w:r>
    </w:p>
    <w:p w14:paraId="4FB2F0E6" w14:textId="0483A85A" w:rsidR="00A05F06" w:rsidRPr="00DD33C9" w:rsidRDefault="00250C31" w:rsidP="003A5050">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 xml:space="preserve">The superior stability of the </w:t>
      </w:r>
      <w:r w:rsidR="00B8218D" w:rsidRPr="00DD33C9">
        <w:rPr>
          <w:rFonts w:ascii="Times New Roman" w:hAnsi="Times New Roman" w:cs="Times New Roman"/>
          <w:sz w:val="24"/>
          <w:szCs w:val="24"/>
        </w:rPr>
        <w:t>HH–CsVO/VO</w:t>
      </w:r>
      <w:r w:rsidRPr="00DD33C9">
        <w:rPr>
          <w:rFonts w:ascii="Times New Roman" w:hAnsi="Times New Roman" w:cs="Times New Roman"/>
          <w:sz w:val="24"/>
          <w:szCs w:val="24"/>
        </w:rPr>
        <w:t xml:space="preserve"> composite compared to </w:t>
      </w:r>
      <w:r w:rsidR="00B62327" w:rsidRPr="00DD33C9">
        <w:rPr>
          <w:rFonts w:ascii="Times New Roman" w:hAnsi="Times New Roman" w:cs="Times New Roman"/>
          <w:sz w:val="24"/>
          <w:szCs w:val="24"/>
        </w:rPr>
        <w:t xml:space="preserve">the </w:t>
      </w:r>
      <w:r w:rsidRPr="00DD33C9">
        <w:rPr>
          <w:rFonts w:ascii="Times New Roman" w:hAnsi="Times New Roman" w:cs="Times New Roman"/>
          <w:sz w:val="24"/>
          <w:szCs w:val="24"/>
        </w:rPr>
        <w:t xml:space="preserve">pure VO arises from the complementary structural features of its two phases. The </w:t>
      </w:r>
      <w:r w:rsidR="00B62327" w:rsidRPr="00DD33C9">
        <w:rPr>
          <w:rFonts w:ascii="Times New Roman" w:hAnsi="Times New Roman" w:cs="Times New Roman"/>
          <w:sz w:val="24"/>
          <w:szCs w:val="24"/>
        </w:rPr>
        <w:t>3D</w:t>
      </w:r>
      <w:r w:rsidRPr="00DD33C9">
        <w:rPr>
          <w:rFonts w:ascii="Times New Roman" w:hAnsi="Times New Roman" w:cs="Times New Roman"/>
          <w:sz w:val="24"/>
          <w:szCs w:val="24"/>
        </w:rPr>
        <w:t xml:space="preserve"> framework of CsVO acts as a stabilizing matrix, reducing the susceptibility of the V</w:t>
      </w:r>
      <w:r w:rsidR="00BF7A1F" w:rsidRPr="00DD33C9">
        <w:rPr>
          <w:rFonts w:ascii="Times New Roman" w:hAnsi="Times New Roman" w:cs="Times New Roman"/>
          <w:sz w:val="24"/>
          <w:szCs w:val="24"/>
        </w:rPr>
        <w:t>O</w:t>
      </w:r>
      <w:r w:rsidRPr="00DD33C9">
        <w:rPr>
          <w:rFonts w:ascii="Times New Roman" w:hAnsi="Times New Roman" w:cs="Times New Roman"/>
          <w:sz w:val="24"/>
          <w:szCs w:val="24"/>
        </w:rPr>
        <w:t xml:space="preserve"> phase to volume changes and structural degradation during cycling. Additionally, the Cs</w:t>
      </w:r>
      <w:r w:rsidR="00BF7A1F" w:rsidRPr="00DD33C9">
        <w:rPr>
          <w:rFonts w:ascii="Times New Roman" w:hAnsi="Times New Roman" w:cs="Times New Roman"/>
          <w:sz w:val="24"/>
          <w:szCs w:val="24"/>
          <w:vertAlign w:val="superscript"/>
        </w:rPr>
        <w:t xml:space="preserve">+ </w:t>
      </w:r>
      <w:r w:rsidRPr="00DD33C9">
        <w:rPr>
          <w:rFonts w:ascii="Times New Roman" w:hAnsi="Times New Roman" w:cs="Times New Roman"/>
          <w:sz w:val="24"/>
          <w:szCs w:val="24"/>
        </w:rPr>
        <w:t>ions in CsVO enhance the composite ability to accommodate strain and maintain structural coherence. The presence of oxygen vacancies in CsVO improves ionic mobility and active site availability without compromising the lattice stability. Together, these factors contribute to the composite enhanced stability and performance. In contrast, pure VO, despite its layered structure and high theoretical capacity, is prone to delamination and structural collapse under prolonged cycling due to its limited ability to manage strain. The incorporation of CsVO not only improves the mechanical stability of the composite but also creates a synergistic interaction between the two phases, leading to superior electrochemical performance and structural resilience.</w:t>
      </w:r>
    </w:p>
    <w:p w14:paraId="63067E2A" w14:textId="77777777" w:rsidR="00603E47" w:rsidRPr="00DD33C9" w:rsidRDefault="00603E47" w:rsidP="003A5050">
      <w:pPr>
        <w:spacing w:line="480" w:lineRule="auto"/>
        <w:jc w:val="both"/>
        <w:rPr>
          <w:rFonts w:ascii="Times New Roman" w:hAnsi="Times New Roman" w:cs="Times New Roman"/>
          <w:sz w:val="24"/>
          <w:szCs w:val="24"/>
        </w:rPr>
      </w:pPr>
    </w:p>
    <w:p w14:paraId="41EF3B1F" w14:textId="0392C440" w:rsidR="00A05F06" w:rsidRPr="00DD33C9" w:rsidRDefault="0092115B" w:rsidP="003A5050">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t>5</w:t>
      </w:r>
      <w:r w:rsidR="00555720" w:rsidRPr="00DD33C9">
        <w:rPr>
          <w:rFonts w:ascii="Times New Roman" w:hAnsi="Times New Roman" w:cs="Times New Roman"/>
          <w:b/>
          <w:bCs/>
          <w:sz w:val="24"/>
          <w:szCs w:val="24"/>
        </w:rPr>
        <w:t xml:space="preserve">. </w:t>
      </w:r>
      <w:r w:rsidR="007C1DD6" w:rsidRPr="00DD33C9">
        <w:rPr>
          <w:rFonts w:ascii="Times New Roman" w:hAnsi="Times New Roman" w:cs="Times New Roman"/>
          <w:b/>
          <w:bCs/>
          <w:sz w:val="24"/>
          <w:szCs w:val="24"/>
        </w:rPr>
        <w:t>G</w:t>
      </w:r>
      <w:r w:rsidR="00B62327" w:rsidRPr="00DD33C9">
        <w:rPr>
          <w:rFonts w:ascii="Times New Roman" w:hAnsi="Times New Roman" w:cs="Times New Roman"/>
          <w:b/>
          <w:bCs/>
          <w:sz w:val="24"/>
          <w:szCs w:val="24"/>
        </w:rPr>
        <w:t>CD</w:t>
      </w:r>
      <w:r w:rsidR="007C1DD6" w:rsidRPr="00DD33C9">
        <w:rPr>
          <w:rFonts w:ascii="Times New Roman" w:hAnsi="Times New Roman" w:cs="Times New Roman"/>
          <w:b/>
          <w:bCs/>
          <w:sz w:val="24"/>
          <w:szCs w:val="24"/>
        </w:rPr>
        <w:t xml:space="preserve"> </w:t>
      </w:r>
      <w:r w:rsidR="00B62327" w:rsidRPr="00DD33C9">
        <w:rPr>
          <w:rFonts w:ascii="Times New Roman" w:hAnsi="Times New Roman" w:cs="Times New Roman"/>
          <w:b/>
          <w:bCs/>
          <w:sz w:val="24"/>
          <w:szCs w:val="24"/>
        </w:rPr>
        <w:t>p</w:t>
      </w:r>
      <w:r w:rsidR="007C1DD6" w:rsidRPr="00DD33C9">
        <w:rPr>
          <w:rFonts w:ascii="Times New Roman" w:hAnsi="Times New Roman" w:cs="Times New Roman"/>
          <w:b/>
          <w:bCs/>
          <w:sz w:val="24"/>
          <w:szCs w:val="24"/>
        </w:rPr>
        <w:t xml:space="preserve">olarization </w:t>
      </w:r>
      <w:r w:rsidR="00B62327" w:rsidRPr="00DD33C9">
        <w:rPr>
          <w:rFonts w:ascii="Times New Roman" w:hAnsi="Times New Roman" w:cs="Times New Roman"/>
          <w:b/>
          <w:bCs/>
          <w:sz w:val="24"/>
          <w:szCs w:val="24"/>
        </w:rPr>
        <w:t>a</w:t>
      </w:r>
      <w:r w:rsidR="007C1DD6" w:rsidRPr="00DD33C9">
        <w:rPr>
          <w:rFonts w:ascii="Times New Roman" w:hAnsi="Times New Roman" w:cs="Times New Roman"/>
          <w:b/>
          <w:bCs/>
          <w:sz w:val="24"/>
          <w:szCs w:val="24"/>
        </w:rPr>
        <w:t>nalysis</w:t>
      </w:r>
    </w:p>
    <w:p w14:paraId="11A0AFDF" w14:textId="36FA2992" w:rsidR="007C1DD6" w:rsidRPr="00DD33C9" w:rsidRDefault="007C1DD6" w:rsidP="007C1DD6">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 xml:space="preserve">To further understand the charge transport kinetics and polarization behavior of the VO and </w:t>
      </w:r>
      <w:r w:rsidR="00B8218D" w:rsidRPr="00DD33C9">
        <w:rPr>
          <w:rFonts w:ascii="Times New Roman" w:hAnsi="Times New Roman" w:cs="Times New Roman"/>
          <w:sz w:val="24"/>
          <w:szCs w:val="24"/>
        </w:rPr>
        <w:t>HH–CsVO/VO</w:t>
      </w:r>
      <w:r w:rsidRPr="00DD33C9">
        <w:rPr>
          <w:rFonts w:ascii="Times New Roman" w:hAnsi="Times New Roman" w:cs="Times New Roman"/>
          <w:sz w:val="24"/>
          <w:szCs w:val="24"/>
        </w:rPr>
        <w:t xml:space="preserve"> cathodes, the first charge–discharge profiles at each current density (from 0.3 to 1.8 A </w:t>
      </w:r>
      <w:r w:rsidRPr="00DD33C9">
        <w:rPr>
          <w:rFonts w:ascii="Times New Roman" w:hAnsi="Times New Roman" w:cs="Times New Roman"/>
          <w:sz w:val="24"/>
          <w:szCs w:val="24"/>
        </w:rPr>
        <w:lastRenderedPageBreak/>
        <w:t>g⁻¹) were extracted and analyzed (</w:t>
      </w:r>
      <w:r w:rsidRPr="00DD33C9">
        <w:rPr>
          <w:rFonts w:ascii="Times New Roman" w:hAnsi="Times New Roman" w:cs="Times New Roman"/>
          <w:b/>
          <w:bCs/>
          <w:sz w:val="24"/>
          <w:szCs w:val="24"/>
        </w:rPr>
        <w:t>Fig</w:t>
      </w:r>
      <w:r w:rsidR="00B8218D" w:rsidRPr="00DD33C9">
        <w:rPr>
          <w:rFonts w:ascii="Times New Roman" w:hAnsi="Times New Roman" w:cs="Times New Roman"/>
          <w:b/>
          <w:bCs/>
          <w:sz w:val="24"/>
          <w:szCs w:val="24"/>
        </w:rPr>
        <w:t>ure</w:t>
      </w:r>
      <w:r w:rsidRPr="00DD33C9">
        <w:rPr>
          <w:rFonts w:ascii="Times New Roman" w:hAnsi="Times New Roman" w:cs="Times New Roman"/>
          <w:b/>
          <w:bCs/>
          <w:sz w:val="24"/>
          <w:szCs w:val="24"/>
        </w:rPr>
        <w:t xml:space="preserve"> S</w:t>
      </w:r>
      <w:r w:rsidR="00E257A9" w:rsidRPr="00DD33C9">
        <w:rPr>
          <w:rFonts w:ascii="Times New Roman" w:hAnsi="Times New Roman" w:cs="Times New Roman"/>
          <w:b/>
          <w:bCs/>
          <w:sz w:val="24"/>
          <w:szCs w:val="24"/>
        </w:rPr>
        <w:t>7</w:t>
      </w:r>
      <w:r w:rsidR="00B8218D" w:rsidRPr="00DD33C9">
        <w:rPr>
          <w:rFonts w:ascii="Times New Roman" w:hAnsi="Times New Roman" w:cs="Times New Roman"/>
          <w:b/>
          <w:bCs/>
          <w:sz w:val="24"/>
          <w:szCs w:val="24"/>
        </w:rPr>
        <w:t>(</w:t>
      </w:r>
      <w:proofErr w:type="spellStart"/>
      <w:proofErr w:type="gramStart"/>
      <w:r w:rsidRPr="00DD33C9">
        <w:rPr>
          <w:rFonts w:ascii="Times New Roman" w:hAnsi="Times New Roman" w:cs="Times New Roman"/>
          <w:b/>
          <w:bCs/>
          <w:sz w:val="24"/>
          <w:szCs w:val="24"/>
        </w:rPr>
        <w:t>a</w:t>
      </w:r>
      <w:r w:rsidR="00B62327" w:rsidRPr="00DD33C9">
        <w:rPr>
          <w:rFonts w:ascii="Times New Roman" w:hAnsi="Times New Roman" w:cs="Times New Roman"/>
          <w:b/>
          <w:bCs/>
          <w:sz w:val="24"/>
          <w:szCs w:val="24"/>
        </w:rPr>
        <w:t>,</w:t>
      </w:r>
      <w:r w:rsidRPr="00DD33C9">
        <w:rPr>
          <w:rFonts w:ascii="Times New Roman" w:hAnsi="Times New Roman" w:cs="Times New Roman"/>
          <w:b/>
          <w:bCs/>
          <w:sz w:val="24"/>
          <w:szCs w:val="24"/>
        </w:rPr>
        <w:t>b</w:t>
      </w:r>
      <w:proofErr w:type="spellEnd"/>
      <w:proofErr w:type="gramEnd"/>
      <w:r w:rsidRPr="00DD33C9">
        <w:rPr>
          <w:rFonts w:ascii="Times New Roman" w:hAnsi="Times New Roman" w:cs="Times New Roman"/>
          <w:sz w:val="24"/>
          <w:szCs w:val="24"/>
        </w:rPr>
        <w:t>)</w:t>
      </w:r>
      <w:r w:rsidR="00B8218D" w:rsidRPr="00DD33C9">
        <w:rPr>
          <w:rFonts w:ascii="Times New Roman" w:hAnsi="Times New Roman" w:cs="Times New Roman"/>
          <w:sz w:val="24"/>
          <w:szCs w:val="24"/>
        </w:rPr>
        <w:t>)</w:t>
      </w:r>
      <w:r w:rsidRPr="00DD33C9">
        <w:rPr>
          <w:rFonts w:ascii="Times New Roman" w:hAnsi="Times New Roman" w:cs="Times New Roman"/>
          <w:sz w:val="24"/>
          <w:szCs w:val="24"/>
        </w:rPr>
        <w:t>. The polarization was estimated by measuring the voltage gap between the charge and discharge plateaus at each current. These values were then plotted against the corresponding current densities to obtain linear fits (</w:t>
      </w:r>
      <w:r w:rsidRPr="00DD33C9">
        <w:rPr>
          <w:rFonts w:ascii="Times New Roman" w:hAnsi="Times New Roman" w:cs="Times New Roman"/>
          <w:b/>
          <w:bCs/>
          <w:sz w:val="24"/>
          <w:szCs w:val="24"/>
        </w:rPr>
        <w:t>Fig</w:t>
      </w:r>
      <w:r w:rsidR="00B8218D" w:rsidRPr="00DD33C9">
        <w:rPr>
          <w:rFonts w:ascii="Times New Roman" w:hAnsi="Times New Roman" w:cs="Times New Roman"/>
          <w:b/>
          <w:bCs/>
          <w:sz w:val="24"/>
          <w:szCs w:val="24"/>
        </w:rPr>
        <w:t>ure</w:t>
      </w:r>
      <w:r w:rsidR="00E257A9" w:rsidRPr="00DD33C9">
        <w:rPr>
          <w:rFonts w:ascii="Times New Roman" w:hAnsi="Times New Roman" w:cs="Times New Roman"/>
          <w:b/>
          <w:bCs/>
          <w:sz w:val="24"/>
          <w:szCs w:val="24"/>
        </w:rPr>
        <w:t xml:space="preserve"> </w:t>
      </w:r>
      <w:r w:rsidRPr="00DD33C9">
        <w:rPr>
          <w:rFonts w:ascii="Times New Roman" w:hAnsi="Times New Roman" w:cs="Times New Roman"/>
          <w:b/>
          <w:bCs/>
          <w:sz w:val="24"/>
          <w:szCs w:val="24"/>
        </w:rPr>
        <w:t>S</w:t>
      </w:r>
      <w:r w:rsidR="00E257A9" w:rsidRPr="00DD33C9">
        <w:rPr>
          <w:rFonts w:ascii="Times New Roman" w:hAnsi="Times New Roman" w:cs="Times New Roman"/>
          <w:b/>
          <w:bCs/>
          <w:sz w:val="24"/>
          <w:szCs w:val="24"/>
        </w:rPr>
        <w:t>7</w:t>
      </w:r>
      <w:r w:rsidR="00B8218D" w:rsidRPr="00DD33C9">
        <w:rPr>
          <w:rFonts w:ascii="Times New Roman" w:hAnsi="Times New Roman" w:cs="Times New Roman"/>
          <w:b/>
          <w:bCs/>
          <w:sz w:val="24"/>
          <w:szCs w:val="24"/>
        </w:rPr>
        <w:t>(</w:t>
      </w:r>
      <w:r w:rsidRPr="00DD33C9">
        <w:rPr>
          <w:rFonts w:ascii="Times New Roman" w:hAnsi="Times New Roman" w:cs="Times New Roman"/>
          <w:b/>
          <w:bCs/>
          <w:sz w:val="24"/>
          <w:szCs w:val="24"/>
        </w:rPr>
        <w:t>c</w:t>
      </w:r>
      <w:r w:rsidR="00B8218D" w:rsidRPr="00DD33C9">
        <w:rPr>
          <w:rFonts w:ascii="Times New Roman" w:hAnsi="Times New Roman" w:cs="Times New Roman"/>
          <w:b/>
          <w:bCs/>
          <w:sz w:val="24"/>
          <w:szCs w:val="24"/>
        </w:rPr>
        <w:t>)</w:t>
      </w:r>
      <w:r w:rsidRPr="00DD33C9">
        <w:rPr>
          <w:rFonts w:ascii="Times New Roman" w:hAnsi="Times New Roman" w:cs="Times New Roman"/>
          <w:sz w:val="24"/>
          <w:szCs w:val="24"/>
        </w:rPr>
        <w:t>).</w:t>
      </w:r>
    </w:p>
    <w:p w14:paraId="4C30887B" w14:textId="4825845E" w:rsidR="007C1DD6" w:rsidRPr="00DD33C9" w:rsidRDefault="007C1DD6" w:rsidP="00B62327">
      <w:pPr>
        <w:tabs>
          <w:tab w:val="num" w:pos="720"/>
        </w:tabs>
        <w:spacing w:line="480" w:lineRule="auto"/>
        <w:ind w:firstLineChars="200" w:firstLine="480"/>
        <w:jc w:val="both"/>
        <w:rPr>
          <w:rFonts w:ascii="Times New Roman" w:hAnsi="Times New Roman" w:cs="Times New Roman"/>
          <w:sz w:val="24"/>
          <w:szCs w:val="24"/>
        </w:rPr>
      </w:pPr>
      <w:r w:rsidRPr="00DD33C9">
        <w:rPr>
          <w:rFonts w:ascii="Times New Roman" w:hAnsi="Times New Roman" w:cs="Times New Roman"/>
          <w:sz w:val="24"/>
          <w:szCs w:val="24"/>
        </w:rPr>
        <w:t>The pristine VO electrode displayed a polarization slope of 0.211 V A</w:t>
      </w:r>
      <w:r w:rsidR="00E257A9" w:rsidRPr="00DD33C9">
        <w:rPr>
          <w:rFonts w:ascii="Times New Roman" w:hAnsi="Times New Roman" w:cs="Times New Roman"/>
          <w:sz w:val="24"/>
          <w:szCs w:val="24"/>
          <w:vertAlign w:val="superscript"/>
        </w:rPr>
        <w:t>-1</w:t>
      </w:r>
      <w:r w:rsidRPr="00DD33C9">
        <w:rPr>
          <w:rFonts w:ascii="Times New Roman" w:hAnsi="Times New Roman" w:cs="Times New Roman"/>
          <w:sz w:val="24"/>
          <w:szCs w:val="24"/>
        </w:rPr>
        <w:t xml:space="preserve"> g, reflecting </w:t>
      </w:r>
      <w:r w:rsidR="00E257A9" w:rsidRPr="00DD33C9">
        <w:rPr>
          <w:rFonts w:ascii="Times New Roman" w:hAnsi="Times New Roman" w:cs="Times New Roman"/>
          <w:sz w:val="24"/>
          <w:szCs w:val="24"/>
        </w:rPr>
        <w:t xml:space="preserve">high </w:t>
      </w:r>
      <w:r w:rsidRPr="00DD33C9">
        <w:rPr>
          <w:rFonts w:ascii="Times New Roman" w:hAnsi="Times New Roman" w:cs="Times New Roman"/>
          <w:sz w:val="24"/>
          <w:szCs w:val="24"/>
        </w:rPr>
        <w:t>internal resistance and slower Zn</w:t>
      </w:r>
      <w:r w:rsidR="00E257A9" w:rsidRPr="00DD33C9">
        <w:rPr>
          <w:rFonts w:ascii="Times New Roman" w:hAnsi="Times New Roman" w:cs="Times New Roman"/>
          <w:sz w:val="24"/>
          <w:szCs w:val="24"/>
          <w:vertAlign w:val="superscript"/>
        </w:rPr>
        <w:t>2+</w:t>
      </w:r>
      <w:r w:rsidRPr="00DD33C9">
        <w:rPr>
          <w:rFonts w:ascii="Times New Roman" w:hAnsi="Times New Roman" w:cs="Times New Roman"/>
          <w:sz w:val="24"/>
          <w:szCs w:val="24"/>
        </w:rPr>
        <w:t xml:space="preserve"> transport kinetics under elevated rates. In contrast, the </w:t>
      </w:r>
      <w:r w:rsidR="00B8218D" w:rsidRPr="00DD33C9">
        <w:rPr>
          <w:rFonts w:ascii="Times New Roman" w:hAnsi="Times New Roman" w:cs="Times New Roman"/>
          <w:sz w:val="24"/>
          <w:szCs w:val="24"/>
        </w:rPr>
        <w:t>HH–CsVO/VO</w:t>
      </w:r>
      <w:r w:rsidRPr="00DD33C9">
        <w:rPr>
          <w:rFonts w:ascii="Times New Roman" w:hAnsi="Times New Roman" w:cs="Times New Roman"/>
          <w:sz w:val="24"/>
          <w:szCs w:val="24"/>
        </w:rPr>
        <w:t xml:space="preserve"> composite exhibited a much lower polarization slope of 0.107 V A</w:t>
      </w:r>
      <w:r w:rsidR="00E257A9" w:rsidRPr="00DD33C9">
        <w:rPr>
          <w:rFonts w:ascii="Times New Roman" w:hAnsi="Times New Roman" w:cs="Times New Roman"/>
          <w:sz w:val="24"/>
          <w:szCs w:val="24"/>
          <w:vertAlign w:val="superscript"/>
        </w:rPr>
        <w:t>-1</w:t>
      </w:r>
      <w:r w:rsidRPr="00DD33C9">
        <w:rPr>
          <w:rFonts w:ascii="Times New Roman" w:hAnsi="Times New Roman" w:cs="Times New Roman"/>
          <w:sz w:val="24"/>
          <w:szCs w:val="24"/>
        </w:rPr>
        <w:t xml:space="preserve"> g, suggesting enhanced charge-transfer properties and reduced kinetic hindrance. The lower overpotential in CsVO/VO is attributed to multiple synergistic factors, including</w:t>
      </w:r>
      <w:r w:rsidR="00EF1314" w:rsidRPr="00DD33C9">
        <w:rPr>
          <w:rFonts w:ascii="Times New Roman" w:hAnsi="Times New Roman" w:cs="Times New Roman"/>
          <w:sz w:val="24"/>
          <w:szCs w:val="24"/>
        </w:rPr>
        <w:t xml:space="preserve"> 1) </w:t>
      </w:r>
      <w:r w:rsidR="00B62327" w:rsidRPr="00DD33C9">
        <w:rPr>
          <w:rFonts w:ascii="Times New Roman" w:hAnsi="Times New Roman" w:cs="Times New Roman"/>
          <w:sz w:val="24"/>
          <w:szCs w:val="24"/>
        </w:rPr>
        <w:t>i</w:t>
      </w:r>
      <w:r w:rsidRPr="00DD33C9">
        <w:rPr>
          <w:rFonts w:ascii="Times New Roman" w:hAnsi="Times New Roman" w:cs="Times New Roman"/>
          <w:sz w:val="24"/>
          <w:szCs w:val="24"/>
        </w:rPr>
        <w:t>mproved electronic conductivity induced by Cs incorporation</w:t>
      </w:r>
      <w:r w:rsidR="005C669C" w:rsidRPr="00DD33C9">
        <w:rPr>
          <w:rFonts w:ascii="Times New Roman" w:hAnsi="Times New Roman" w:cs="Times New Roman"/>
          <w:sz w:val="24"/>
          <w:szCs w:val="24"/>
        </w:rPr>
        <w:t xml:space="preserve"> and formation of heterostructure</w:t>
      </w:r>
      <w:r w:rsidR="00441669" w:rsidRPr="00DD33C9">
        <w:rPr>
          <w:rFonts w:ascii="Times New Roman" w:hAnsi="Times New Roman" w:cs="Times New Roman"/>
          <w:sz w:val="24"/>
          <w:szCs w:val="24"/>
        </w:rPr>
        <w:t>, which leads to high surface area</w:t>
      </w:r>
      <w:r w:rsidRPr="00DD33C9">
        <w:rPr>
          <w:rFonts w:ascii="Times New Roman" w:hAnsi="Times New Roman" w:cs="Times New Roman"/>
          <w:sz w:val="24"/>
          <w:szCs w:val="24"/>
        </w:rPr>
        <w:t>,</w:t>
      </w:r>
      <w:r w:rsidR="00EF1314" w:rsidRPr="00DD33C9">
        <w:rPr>
          <w:rFonts w:ascii="Times New Roman" w:hAnsi="Times New Roman" w:cs="Times New Roman"/>
          <w:sz w:val="24"/>
          <w:szCs w:val="24"/>
        </w:rPr>
        <w:t xml:space="preserve"> 2) </w:t>
      </w:r>
      <w:r w:rsidR="00B62327" w:rsidRPr="00DD33C9">
        <w:rPr>
          <w:rFonts w:ascii="Times New Roman" w:hAnsi="Times New Roman" w:cs="Times New Roman"/>
          <w:sz w:val="24"/>
          <w:szCs w:val="24"/>
        </w:rPr>
        <w:t>h</w:t>
      </w:r>
      <w:r w:rsidRPr="00DD33C9">
        <w:rPr>
          <w:rFonts w:ascii="Times New Roman" w:hAnsi="Times New Roman" w:cs="Times New Roman"/>
          <w:sz w:val="24"/>
          <w:szCs w:val="24"/>
        </w:rPr>
        <w:t>ierarchical porous structure promoting faster Zn²⁺ diffusion,</w:t>
      </w:r>
      <w:r w:rsidR="00EF1314" w:rsidRPr="00DD33C9">
        <w:rPr>
          <w:rFonts w:ascii="Times New Roman" w:hAnsi="Times New Roman" w:cs="Times New Roman"/>
          <w:sz w:val="24"/>
          <w:szCs w:val="24"/>
        </w:rPr>
        <w:t xml:space="preserve"> </w:t>
      </w:r>
      <w:r w:rsidR="00B62327" w:rsidRPr="00DD33C9">
        <w:rPr>
          <w:rFonts w:ascii="Times New Roman" w:hAnsi="Times New Roman" w:cs="Times New Roman"/>
          <w:sz w:val="24"/>
          <w:szCs w:val="24"/>
        </w:rPr>
        <w:t xml:space="preserve">and </w:t>
      </w:r>
      <w:r w:rsidR="00EF1314" w:rsidRPr="00DD33C9">
        <w:rPr>
          <w:rFonts w:ascii="Times New Roman" w:hAnsi="Times New Roman" w:cs="Times New Roman"/>
          <w:sz w:val="24"/>
          <w:szCs w:val="24"/>
        </w:rPr>
        <w:t xml:space="preserve">3) </w:t>
      </w:r>
      <w:r w:rsidR="00B62327" w:rsidRPr="00DD33C9">
        <w:rPr>
          <w:rFonts w:ascii="Times New Roman" w:hAnsi="Times New Roman" w:cs="Times New Roman"/>
          <w:sz w:val="24"/>
          <w:szCs w:val="24"/>
        </w:rPr>
        <w:t>s</w:t>
      </w:r>
      <w:r w:rsidRPr="00DD33C9">
        <w:rPr>
          <w:rFonts w:ascii="Times New Roman" w:hAnsi="Times New Roman" w:cs="Times New Roman"/>
          <w:sz w:val="24"/>
          <w:szCs w:val="24"/>
        </w:rPr>
        <w:t>tabilized vanadium oxidation states facilitating multivalent redox processes</w:t>
      </w:r>
      <w:r w:rsidR="00441669" w:rsidRPr="00DD33C9">
        <w:rPr>
          <w:rFonts w:ascii="Times New Roman" w:hAnsi="Times New Roman" w:cs="Times New Roman"/>
          <w:sz w:val="24"/>
          <w:szCs w:val="24"/>
        </w:rPr>
        <w:t xml:space="preserve"> </w:t>
      </w:r>
      <w:r w:rsidR="00441669"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 xml:space="preserve">ADDIN CSL_CITATION {"citationItems":[{"id":"ITEM-1","itemData":{"DOI":"10.1016/j.cej.2025.160748","ISSN":"13858947","abstract":"Conversion reaction-based electrode materials have exceptional energy and power densities in lithium-ion batteries (LIBs). Nevertheless, the extensive use of LIBs is restricted by their inclination to experience significant fluctuations in volume and their sluggish kinetics. This study utilizes an environmental-friendly green synthesis approach to create heterostructures of CoMoO4–silver (Ag) (CMO–Ag). Due to the high conductivity and large size of Ag, the flow of electrons to the CMO is facilitated by the design of these CMO–Ag heterostructures, consequently enhancing the energy band gap and accommodating volumetric variability during cycling. Additionally, the ability of Ag to form a heterojunction results in the generation of an electric field that establishes a firm interface between the CMO and Ag, thereby enhancing the efficiency of the charge/discharge process and the energy storage capacity. The CMO and CMO–Ag nanostructures exhibit discharge capabilities of </w:instrText>
      </w:r>
      <w:r w:rsidR="00D112B2">
        <w:rPr>
          <w:rFonts w:ascii="Times New Roman" w:hAnsi="Times New Roman" w:cs="Times New Roman" w:hint="eastAsia"/>
          <w:sz w:val="24"/>
          <w:szCs w:val="24"/>
        </w:rPr>
        <w:instrText>∼</w:instrText>
      </w:r>
      <w:r w:rsidR="00D112B2">
        <w:rPr>
          <w:rFonts w:ascii="Times New Roman" w:hAnsi="Times New Roman" w:cs="Times New Roman"/>
          <w:sz w:val="24"/>
          <w:szCs w:val="24"/>
        </w:rPr>
        <w:instrText xml:space="preserve">314 mAh g−1 (after 1,000 cycles) and 1,135 mAh g−1 (after 2,100 cycles), respectively, when subjected to a current density of 1 A g−1. Following 7,700 cycles at a current density of 2 A g−1, the CMO–Ag heterostructure demonstrates exceptional long-term stability, maintaining a discharge capacity of approximately </w:instrText>
      </w:r>
      <w:r w:rsidR="00D112B2">
        <w:rPr>
          <w:rFonts w:ascii="Times New Roman" w:hAnsi="Times New Roman" w:cs="Times New Roman" w:hint="eastAsia"/>
          <w:sz w:val="24"/>
          <w:szCs w:val="24"/>
        </w:rPr>
        <w:instrText>∼</w:instrText>
      </w:r>
      <w:r w:rsidR="00D112B2">
        <w:rPr>
          <w:rFonts w:ascii="Times New Roman" w:hAnsi="Times New Roman" w:cs="Times New Roman"/>
          <w:sz w:val="24"/>
          <w:szCs w:val="24"/>
        </w:rPr>
        <w:instrText xml:space="preserve">341 mAh g−1. In comparison, the untreated CMO exhibits a capacity retention of only </w:instrText>
      </w:r>
      <w:r w:rsidR="00D112B2">
        <w:rPr>
          <w:rFonts w:ascii="Times New Roman" w:hAnsi="Times New Roman" w:cs="Times New Roman" w:hint="eastAsia"/>
          <w:sz w:val="24"/>
          <w:szCs w:val="24"/>
        </w:rPr>
        <w:instrText>∼</w:instrText>
      </w:r>
      <w:r w:rsidR="00D112B2">
        <w:rPr>
          <w:rFonts w:ascii="Times New Roman" w:hAnsi="Times New Roman" w:cs="Times New Roman"/>
          <w:sz w:val="24"/>
          <w:szCs w:val="24"/>
        </w:rPr>
        <w:instrText xml:space="preserve">215 mAh g−1. Moreover, density functional theory calculations indicate that the CMO–Ag structure exhibits a decreased energy band gap and work function, which is consistent with the experimental results. Therefore, the synthesis of CMO–Ag using heterostructure engineering and test results reported herein are expected to guide future advancements in energy storage devices.","author":[{"dropping-particle":"","family":"Bandi","given":"Hari","non-dropping-particle":"","parse-names":false,"suffix":""},{"dropping-particle":"","family":"Dahule","given":"Rohit","non-dropping-particle":"","parse-names":false,"suffix":""},{"dropping-particle":"","family":"Kakarla","given":"Ashok Kumar","non-dropping-particle":"","parse-names":false,"suffix":""},{"dropping-particle":"","family":"Maezono","given":"Ryo","non-dropping-particle":"","parse-names":false,"suffix":""},{"dropping-particle":"","family":"Narsimulu","given":"D.","non-dropping-particle":"","parse-names":false,"suffix":""},{"dropping-particle":"","family":"Akram","given":"Syed Wasim","non-dropping-particle":"","parse-names":false,"suffix":""},{"dropping-particle":"","family":"Shanthappa","given":"R.","non-dropping-particle":"","parse-names":false,"suffix":""},{"dropping-particle":"","family":"Yu","given":"Jae Su","non-dropping-particle":"","parse-names":false,"suffix":""}],"container-title":"Chemical Engineering Journal","id":"ITEM-1","issue":"February","issued":{"date-parts":[["2025"]]},"title":"Green synthesis and interface engineering of CoMoO4–Ag heterostructures: Enhanced electrochemical performance for lithium-ion batteries","type":"article-journal","volume":"508"},"uris":["http://www.mendeley.com/documents/?uuid=eb5721bf-d1ad-4f34-9a30-335039e6d56d"]},{"id":"ITEM-2","itemData":{"DOI":"10.1002/elps.201800303","ISSN":"15222683","abstract":"Electrode polarization (EP) is inevitable in high conductivity buffers at low AC frequencies due to the accumulation of free charges at the electrode/electrolyte interface. Electrode miniaturization increases EP effect on impedance measurements. In this paper, six gold planar (GP) electrodes having different diameters (100 μm </w:instrText>
      </w:r>
      <w:r w:rsidR="00D112B2">
        <w:rPr>
          <w:rFonts w:ascii="Times New Roman" w:hAnsi="Times New Roman" w:cs="Times New Roman" w:hint="eastAsia"/>
          <w:sz w:val="24"/>
          <w:szCs w:val="24"/>
        </w:rPr>
        <w:instrText>≤</w:instrText>
      </w:r>
      <w:r w:rsidR="00D112B2">
        <w:rPr>
          <w:rFonts w:ascii="Times New Roman" w:hAnsi="Times New Roman" w:cs="Times New Roman"/>
          <w:sz w:val="24"/>
          <w:szCs w:val="24"/>
        </w:rPr>
        <w:instrText xml:space="preserve"> ϕ </w:instrText>
      </w:r>
      <w:r w:rsidR="00D112B2">
        <w:rPr>
          <w:rFonts w:ascii="Times New Roman" w:hAnsi="Times New Roman" w:cs="Times New Roman" w:hint="eastAsia"/>
          <w:sz w:val="24"/>
          <w:szCs w:val="24"/>
        </w:rPr>
        <w:instrText>≤</w:instrText>
      </w:r>
      <w:r w:rsidR="00D112B2">
        <w:rPr>
          <w:rFonts w:ascii="Times New Roman" w:hAnsi="Times New Roman" w:cs="Times New Roman"/>
          <w:sz w:val="24"/>
          <w:szCs w:val="24"/>
        </w:rPr>
        <w:instrText xml:space="preserve"> 4000 μm)) were used to investigate the size effect on EP with parallel plate electrode geometry. GP electrode surface was electrochemically deposited with gold nanostructures (GNs) to minimize the EP effect. Equivalent circuit model was used to attain electrode/electrolyte interfacial impedance. Constant phase element model was used to analyze the relation between the size and morphology of electrodes on EP. The surface morphology of gold nanostructured electrodes was examined using SEM, and the influence of different applied potential on the growth of GNs was elucidated with Nernst equilibrium condition. Surface roughness and wettability characteristics were examined performing surface roughness and contact angle measurements, respectively. The improvement of GNs deposited electrode performance was investigated by analytically generated Jurkat cell suspension spectra. The results show that the error in estimating the subcellular properties can be drastically reduced by using GNs deposited electrodes.","author":[{"dropping-particle":"","family":"Koklu","given":"Anil","non-dropping-particle":"","parse-names":false,"suffix":""},{"dropping-particle":"","family":"Mansoorifar","given":"Amin","non-dropping-particle":"","parse-names":false,"suffix":""},{"dropping-particle":"","family":"Beskok","given":"Ali","non-dropping-particle":"","parse-names":false,"suffix":""}],"container-title":"Electrophoresis","id":"ITEM-2","issue":"5","issued":{"date-parts":[["2019"]]},"page":"766-775","title":"Effects of electrode size and surface morphology on electrode polarization in physiological buffers","type":"article-journal","volume":"40"},"uris":["http://www.mendeley.com/documents/?uuid=a40bf655-713b-4b8a-b173-23d0aa712a63"]},{"id":"ITEM-3","itemData":{"DOI":"https://doi.org/10.1016/j.apsusc.2016.01.244","abstract":"Zr doped sample of Li4Ti4.99Zr0.01O12 (LZTO) and Li2ZrO3 (LZO) coated Li4Ti5O12 (LTO) are prepared by a solid-state method. The lattice structure of LTO is remained after doping element of Zr and coating layer of LZO. The crystal structure and electrochemical performance of the material are investigated by X-ray diffractometry (XRD), high-resolution transmission electron microscopy (HRTEM), cyclic voltammetry (CV), galvanostatic intermittent titration technique (GITT) and charge-discharge tests, respectively. Zr-doping and LZO coating play the positive role in improving the diffusion ability of lithium cations. LZTO and LZO-LTO show much improved specific capacity and rate capability compared with pristine sample of LTO. LZO-LTO has the smallest voltage differential (ΔV) of the redox peaks because the coating of Li2ZrO3 is helpful for the diffusion ability of lithium ions during charge/discharge processes. LZTO and LZO-LTO as electrode deliver the initial capacities of 164.8, 168.1 mAh g−1, respectively, which are much higher than 150.2 mAh g−1 of intrinsic sample of LTO. Even at the current density of 2 A g−1, LTZO and LZO-LTO offer capacity of 96 and 106 mAh g−1, which are much higher than 33 mAh g−1 of LTO. The improved electrochemical performance is attributed to the improved diffusion ability of lithium. During the whole discharge process, the lowest value of LTO is 5.97 × 10−17 cm2 s−1 that is much lower than 7.80 × 10−16 cm2 s−1 in LZTO and 1.85 × 10−15 cm2 s−1 in LZO-LTO, respectively","author":[{"dropping-particle":"","family":"Han Zhang, Yang Liu, Ting Wang, Yang Yang, Shaojun Shi","given":"Gang Yang","non-dropping-particle":"","parse-names":false,"suffix":""}],"id":"ITEM-3","issued":{"date-parts":[["2016"]]},"page":"368 56-62","title":"Li2ZrO3-coated Li4Ti5O12 with nanoscale interface for high performance lithium-ion batteries","type":"article"},"uris":["http://www.mendeley.com/documents/?uuid=0407239d-1951-4182-abff-24313e53acfb"]}],"mendeley":{"formattedCitation":"[3–5]","plainTextFormattedCitation":"[3–5]","previouslyFormattedCitation":"[3–5]"},"properties":{"noteIndex":0},"schema":"https://github.com/citation-style-language/schema/raw/master/csl-citation.json"}</w:instrText>
      </w:r>
      <w:r w:rsidR="00441669" w:rsidRPr="00DD33C9">
        <w:rPr>
          <w:rFonts w:ascii="Times New Roman" w:hAnsi="Times New Roman" w:cs="Times New Roman"/>
          <w:sz w:val="24"/>
          <w:szCs w:val="24"/>
        </w:rPr>
        <w:fldChar w:fldCharType="separate"/>
      </w:r>
      <w:r w:rsidR="00C45123" w:rsidRPr="00C45123">
        <w:rPr>
          <w:rFonts w:ascii="Times New Roman" w:hAnsi="Times New Roman" w:cs="Times New Roman"/>
          <w:noProof/>
          <w:sz w:val="24"/>
          <w:szCs w:val="24"/>
        </w:rPr>
        <w:t>[3–5]</w:t>
      </w:r>
      <w:r w:rsidR="00441669" w:rsidRPr="00DD33C9">
        <w:rPr>
          <w:rFonts w:ascii="Times New Roman" w:hAnsi="Times New Roman" w:cs="Times New Roman"/>
          <w:sz w:val="24"/>
          <w:szCs w:val="24"/>
        </w:rPr>
        <w:fldChar w:fldCharType="end"/>
      </w:r>
      <w:r w:rsidRPr="00DD33C9">
        <w:rPr>
          <w:rFonts w:ascii="Times New Roman" w:hAnsi="Times New Roman" w:cs="Times New Roman"/>
          <w:sz w:val="24"/>
          <w:szCs w:val="24"/>
        </w:rPr>
        <w:t>.</w:t>
      </w:r>
      <w:r w:rsidR="00D04A83" w:rsidRPr="00DD33C9">
        <w:rPr>
          <w:rFonts w:ascii="Times New Roman" w:hAnsi="Times New Roman" w:cs="Times New Roman"/>
          <w:sz w:val="24"/>
          <w:szCs w:val="24"/>
        </w:rPr>
        <w:t xml:space="preserve"> </w:t>
      </w:r>
      <w:r w:rsidRPr="00DD33C9">
        <w:rPr>
          <w:rFonts w:ascii="Times New Roman" w:hAnsi="Times New Roman" w:cs="Times New Roman"/>
          <w:sz w:val="24"/>
          <w:szCs w:val="24"/>
        </w:rPr>
        <w:t>These polarization results are in excellent agreement with the rate performance data (</w:t>
      </w:r>
      <w:r w:rsidRPr="00DD33C9">
        <w:rPr>
          <w:rFonts w:ascii="Times New Roman" w:hAnsi="Times New Roman" w:cs="Times New Roman"/>
          <w:b/>
          <w:bCs/>
          <w:sz w:val="24"/>
          <w:szCs w:val="24"/>
        </w:rPr>
        <w:t>Fig</w:t>
      </w:r>
      <w:r w:rsidR="00B62327" w:rsidRPr="00DD33C9">
        <w:rPr>
          <w:rFonts w:ascii="Times New Roman" w:hAnsi="Times New Roman" w:cs="Times New Roman"/>
          <w:b/>
          <w:bCs/>
          <w:sz w:val="24"/>
          <w:szCs w:val="24"/>
        </w:rPr>
        <w:t>ure</w:t>
      </w:r>
      <w:r w:rsidRPr="00DD33C9">
        <w:rPr>
          <w:rFonts w:ascii="Times New Roman" w:hAnsi="Times New Roman" w:cs="Times New Roman"/>
          <w:b/>
          <w:bCs/>
          <w:sz w:val="24"/>
          <w:szCs w:val="24"/>
        </w:rPr>
        <w:t xml:space="preserve"> 4d</w:t>
      </w:r>
      <w:r w:rsidRPr="00DD33C9">
        <w:rPr>
          <w:rFonts w:ascii="Times New Roman" w:hAnsi="Times New Roman" w:cs="Times New Roman"/>
          <w:sz w:val="24"/>
          <w:szCs w:val="24"/>
        </w:rPr>
        <w:t>, main text), where CsVO/VO showed superior capacity retention at higher current densities. The lower polarization confirms that CsVO/VO enables more efficient electrochemical reactions and preserves structural and redox reversibility even under fast charge/discharge conditions.</w:t>
      </w:r>
    </w:p>
    <w:p w14:paraId="6C11CE3C" w14:textId="77777777" w:rsidR="0092115B" w:rsidRPr="00DD33C9" w:rsidRDefault="0092115B" w:rsidP="00D04A83">
      <w:pPr>
        <w:tabs>
          <w:tab w:val="num" w:pos="720"/>
        </w:tabs>
        <w:spacing w:line="480" w:lineRule="auto"/>
        <w:jc w:val="both"/>
        <w:rPr>
          <w:rFonts w:ascii="Times New Roman" w:hAnsi="Times New Roman" w:cs="Times New Roman"/>
          <w:sz w:val="24"/>
          <w:szCs w:val="24"/>
        </w:rPr>
      </w:pPr>
    </w:p>
    <w:p w14:paraId="0F17F0F1" w14:textId="1C6127A3" w:rsidR="00555720" w:rsidRPr="00DD33C9" w:rsidRDefault="0092115B" w:rsidP="003A5050">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t>6</w:t>
      </w:r>
      <w:r w:rsidR="00555720" w:rsidRPr="00DD33C9">
        <w:rPr>
          <w:rFonts w:ascii="Times New Roman" w:hAnsi="Times New Roman" w:cs="Times New Roman"/>
          <w:b/>
          <w:bCs/>
          <w:sz w:val="24"/>
          <w:szCs w:val="24"/>
        </w:rPr>
        <w:t>. GITT analysis</w:t>
      </w:r>
    </w:p>
    <w:p w14:paraId="3A020177" w14:textId="198B9EEB" w:rsidR="00555720" w:rsidRPr="00DD33C9" w:rsidRDefault="00555720" w:rsidP="00555720">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For measuring diffusion coefficient and overpotential, we employed the galvanostatic intermittent titration technique (GITT). During the GITT experiment, it was alternated between discharging and charging the cell at a controlled rate of 0.1 A g</w:t>
      </w:r>
      <w:r w:rsidRPr="00DD33C9">
        <w:rPr>
          <w:rFonts w:ascii="Times New Roman" w:hAnsi="Times New Roman" w:cs="Times New Roman"/>
          <w:sz w:val="24"/>
          <w:szCs w:val="24"/>
          <w:vertAlign w:val="superscript"/>
        </w:rPr>
        <w:t>-1</w:t>
      </w:r>
      <w:r w:rsidRPr="00DD33C9">
        <w:rPr>
          <w:rFonts w:ascii="Times New Roman" w:hAnsi="Times New Roman" w:cs="Times New Roman"/>
          <w:sz w:val="24"/>
          <w:szCs w:val="24"/>
        </w:rPr>
        <w:t xml:space="preserve"> for 10 min. Subsequently, we allowed the cell to rest for 5 h to allow the voltage to reach equilibrium. This discharge/charge cycle was repeated </w:t>
      </w:r>
      <w:r w:rsidRPr="00DD33C9">
        <w:rPr>
          <w:rFonts w:ascii="Times New Roman" w:hAnsi="Times New Roman" w:cs="Times New Roman"/>
          <w:sz w:val="24"/>
          <w:szCs w:val="24"/>
        </w:rPr>
        <w:lastRenderedPageBreak/>
        <w:t>throughout the entire charge/discharge process. By employing this method, we calculated the ionic diffusivity of Zn</w:t>
      </w:r>
      <w:r w:rsidRPr="00DD33C9">
        <w:rPr>
          <w:rFonts w:ascii="Times New Roman" w:hAnsi="Times New Roman" w:cs="Times New Roman"/>
          <w:sz w:val="24"/>
          <w:szCs w:val="24"/>
          <w:vertAlign w:val="superscript"/>
        </w:rPr>
        <w:t>2+</w:t>
      </w:r>
      <w:r w:rsidRPr="00DD33C9">
        <w:rPr>
          <w:rFonts w:ascii="Times New Roman" w:hAnsi="Times New Roman" w:cs="Times New Roman"/>
          <w:sz w:val="24"/>
          <w:szCs w:val="24"/>
        </w:rPr>
        <w:t xml:space="preserve"> using the following equation</w:t>
      </w:r>
      <w:r w:rsidR="00B8218D" w:rsidRPr="00DD33C9">
        <w:rPr>
          <w:rFonts w:ascii="Times New Roman" w:hAnsi="Times New Roman" w:cs="Times New Roman"/>
          <w:sz w:val="24"/>
          <w:szCs w:val="24"/>
        </w:rPr>
        <w:t xml:space="preserve"> </w:t>
      </w:r>
      <w:r w:rsidR="00B8218D"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ADDIN CSL_CITATION {"citationItems":[{"id":"ITEM-1","itemData":{"DOI":"10.1002/anie.202207779","ISSN":"15213773","PMID":"35697661","abstract":"Developing cathode materials integrating good rate performance and sufficient cycle life is the key to commercialization of aqueous zinc-ion batteries. The hyperstable Zn0.52V2O5−a</w:instrText>
      </w:r>
      <w:r w:rsidR="00D112B2">
        <w:rPr>
          <w:rFonts w:ascii="Cambria Math" w:hAnsi="Cambria Math" w:cs="Cambria Math"/>
          <w:sz w:val="24"/>
          <w:szCs w:val="24"/>
        </w:rPr>
        <w:instrText>⋅</w:instrText>
      </w:r>
      <w:r w:rsidR="00D112B2">
        <w:rPr>
          <w:rFonts w:ascii="Times New Roman" w:hAnsi="Times New Roman" w:cs="Times New Roman"/>
          <w:sz w:val="24"/>
          <w:szCs w:val="24"/>
        </w:rPr>
        <w:instrText>1.8 H2O (ZVOH) cathode with excellent rate performance has been successfully developed via an in situ self-transformation from zinc-rich Zn3V3O8 (ZVO) in this study. Different from the common synthetic method of additional Zn2+ pre-insertion, ZVOH is obtained from the insertion of structural H2O and the removal of excess Zn2+ in ZVO, ensuring the lattice structure of ZVOH remains relatively intact during the phase transition and rendering good structural stabilities. The ZVOH delivers a reversible capacity of 286.2 mAh g−1 at 0.2 A g−1 and of 161.5 mAh g−1 at 20 A g−1 over 18 000 cycles with a retention of 95.4 %, demonstrating excellent rate performance and cyclic stability. We also provide new insights on the structural self-optimization of Znx(CF3SO3)y(OH)2x−y</w:instrText>
      </w:r>
      <w:r w:rsidR="00D112B2">
        <w:rPr>
          <w:rFonts w:ascii="Cambria Math" w:hAnsi="Cambria Math" w:cs="Cambria Math"/>
          <w:sz w:val="24"/>
          <w:szCs w:val="24"/>
        </w:rPr>
        <w:instrText>⋅</w:instrText>
      </w:r>
      <w:r w:rsidR="00D112B2">
        <w:rPr>
          <w:rFonts w:ascii="Times New Roman" w:hAnsi="Times New Roman" w:cs="Times New Roman"/>
          <w:sz w:val="24"/>
          <w:szCs w:val="24"/>
        </w:rPr>
        <w:instrText>n H2O byproducts and the effect on the mobility of Zn2+ by theoretical calculations and experimental evidence.","author":[{"dropping-particle":"","family":"Liang","given":"Wenhao","non-dropping-particle":"","parse-names":false,"suffix":""},{"dropping-particle":"","family":"Rao","given":"Dewei","non-dropping-particle":"","parse-names":false,"suffix":""},{"dropping-particle":"","family":"Chen","given":"Tao","non-dropping-particle":"","parse-names":false,"suffix":""},{"dropping-particle":"","family":"Tang","given":"Rongfeng","non-dropping-particle":"","parse-names":false,"suffix":""},{"dropping-particle":"","family":"Li","given":"Jun","non-dropping-particle":"","parse-names":false,"suffix":""},{"dropping-particle":"","family":"Jin","given":"Huile","non-dropping-particle":"","parse-names":false,"suffix":""}],"container-title":"Angewandte Chemie - International Edition","id":"ITEM-1","issue":"35","issued":{"date-parts":[["2022"]]},"page":"1-11","title":"Zn0.52V2O5−a</w:instrText>
      </w:r>
      <w:r w:rsidR="00D112B2">
        <w:rPr>
          <w:rFonts w:ascii="Cambria Math" w:hAnsi="Cambria Math" w:cs="Cambria Math"/>
          <w:sz w:val="24"/>
          <w:szCs w:val="24"/>
        </w:rPr>
        <w:instrText>⋅</w:instrText>
      </w:r>
      <w:r w:rsidR="00D112B2">
        <w:rPr>
          <w:rFonts w:ascii="Times New Roman" w:hAnsi="Times New Roman" w:cs="Times New Roman"/>
          <w:sz w:val="24"/>
          <w:szCs w:val="24"/>
        </w:rPr>
        <w:instrText>1.8 H2O Cathode Stabilized by In Situ Phase Transformation for Aqueous Zinc-Ion Batteries with Ultra-Long Cyclability","type":"article-journal","volume":"61"},"uris":["http://www.mendeley.com/documents/?uuid=38fdbc6a-8cbf-43a6-aaf0-78352f98004e"]}],"mendeley":{"formattedCitation":"[6]","plainTextFormattedCitation":"[6]","previouslyFormattedCitation":"[6]"},"properties":{"noteIndex":0},"schema":"https://github.com/citation-style-language/schema/raw/master/csl-citation.json"}</w:instrText>
      </w:r>
      <w:r w:rsidR="00B8218D" w:rsidRPr="00DD33C9">
        <w:rPr>
          <w:rFonts w:ascii="Times New Roman" w:hAnsi="Times New Roman" w:cs="Times New Roman"/>
          <w:sz w:val="24"/>
          <w:szCs w:val="24"/>
        </w:rPr>
        <w:fldChar w:fldCharType="separate"/>
      </w:r>
      <w:r w:rsidR="002470E5" w:rsidRPr="00C45123">
        <w:rPr>
          <w:rFonts w:ascii="Times New Roman" w:hAnsi="Times New Roman" w:cs="Times New Roman"/>
          <w:noProof/>
          <w:sz w:val="24"/>
          <w:szCs w:val="24"/>
        </w:rPr>
        <w:t>[6]</w:t>
      </w:r>
      <w:r w:rsidR="00B8218D" w:rsidRPr="00DD33C9">
        <w:rPr>
          <w:rFonts w:ascii="Times New Roman" w:hAnsi="Times New Roman" w:cs="Times New Roman"/>
          <w:sz w:val="24"/>
          <w:szCs w:val="24"/>
        </w:rPr>
        <w:fldChar w:fldCharType="end"/>
      </w:r>
      <w:r w:rsidRPr="00DD33C9">
        <w:rPr>
          <w:rFonts w:ascii="Times New Roman" w:hAnsi="Times New Roman" w:cs="Times New Roman"/>
          <w:sz w:val="24"/>
          <w:szCs w:val="24"/>
        </w:rPr>
        <w:t>:</w:t>
      </w:r>
    </w:p>
    <w:p w14:paraId="79FEF896" w14:textId="4BA16453" w:rsidR="00555720" w:rsidRPr="00DD33C9" w:rsidRDefault="00555720" w:rsidP="0055572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D=</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πτ</m:t>
            </m:r>
          </m:den>
        </m:f>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 xml:space="preserve">m </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m</m:t>
                        </m:r>
                      </m:sub>
                    </m:sSub>
                  </m:num>
                  <m:den>
                    <m:r>
                      <m:rPr>
                        <m:sty m:val="p"/>
                      </m:rPr>
                      <w:rPr>
                        <w:rFonts w:ascii="Cambria Math" w:hAnsi="Cambria Math" w:cs="Times New Roman"/>
                        <w:sz w:val="24"/>
                        <w:szCs w:val="24"/>
                      </w:rPr>
                      <m:t>M s</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Δ</m:t>
                    </m:r>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s</m:t>
                        </m:r>
                      </m:sub>
                    </m:sSub>
                  </m:num>
                  <m:den>
                    <m:r>
                      <m:rPr>
                        <m:sty m:val="p"/>
                      </m:rPr>
                      <w:rPr>
                        <w:rFonts w:ascii="Cambria Math" w:hAnsi="Cambria Math" w:cs="Times New Roman"/>
                        <w:sz w:val="24"/>
                        <w:szCs w:val="24"/>
                      </w:rPr>
                      <m:t>Δ</m:t>
                    </m:r>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τ</m:t>
                        </m:r>
                      </m:sub>
                    </m:sSub>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r>
          <w:rPr>
            <w:rFonts w:ascii="Cambria Math" w:hAnsi="Cambria Math" w:cs="Times New Roman"/>
            <w:sz w:val="24"/>
            <w:szCs w:val="24"/>
          </w:rPr>
          <m:t xml:space="preserve">                                                                 </m:t>
        </m:r>
      </m:oMath>
      <w:r w:rsidRPr="00DD33C9">
        <w:rPr>
          <w:rFonts w:ascii="Times New Roman" w:hAnsi="Times New Roman" w:cs="Times New Roman"/>
          <w:sz w:val="24"/>
          <w:szCs w:val="24"/>
        </w:rPr>
        <w:t xml:space="preserve">                                              (1)</w:t>
      </w:r>
    </w:p>
    <w:p w14:paraId="459381D6" w14:textId="657D9A34" w:rsidR="00555720" w:rsidRPr="00DD33C9" w:rsidRDefault="00555720" w:rsidP="00555720">
      <w:pPr>
        <w:spacing w:line="480" w:lineRule="auto"/>
        <w:jc w:val="both"/>
        <w:rPr>
          <w:rFonts w:ascii="Times New Roman" w:hAnsi="Times New Roman" w:cs="Times New Roman"/>
          <w:sz w:val="24"/>
          <w:szCs w:val="24"/>
          <w:lang w:val="en-IN"/>
        </w:rPr>
      </w:pPr>
      <w:r w:rsidRPr="00DD33C9">
        <w:rPr>
          <w:rFonts w:ascii="Times New Roman" w:hAnsi="Times New Roman" w:cs="Times New Roman"/>
          <w:sz w:val="24"/>
          <w:szCs w:val="24"/>
          <w:lang w:val="en-IN"/>
        </w:rPr>
        <w:t>where D is the diffusion coefficient of the Zn</w:t>
      </w:r>
      <w:r w:rsidRPr="00DD33C9">
        <w:rPr>
          <w:rFonts w:ascii="Times New Roman" w:hAnsi="Times New Roman" w:cs="Times New Roman"/>
          <w:sz w:val="24"/>
          <w:szCs w:val="24"/>
          <w:vertAlign w:val="superscript"/>
          <w:lang w:val="en-IN"/>
        </w:rPr>
        <w:t>2+</w:t>
      </w:r>
      <w:r w:rsidRPr="00DD33C9">
        <w:rPr>
          <w:rFonts w:ascii="Times New Roman" w:hAnsi="Times New Roman" w:cs="Times New Roman"/>
          <w:sz w:val="24"/>
          <w:szCs w:val="24"/>
          <w:lang w:val="en-IN"/>
        </w:rPr>
        <w:t xml:space="preserve"> ions, </w:t>
      </w:r>
      <m:oMath>
        <m:r>
          <m:rPr>
            <m:sty m:val="p"/>
          </m:rPr>
          <w:rPr>
            <w:rFonts w:ascii="Cambria Math" w:hAnsi="Cambria Math" w:cs="Times New Roman"/>
            <w:sz w:val="24"/>
            <w:szCs w:val="24"/>
            <w:lang w:val="en-IN"/>
          </w:rPr>
          <m:t>τ</m:t>
        </m:r>
      </m:oMath>
      <w:r w:rsidRPr="00DD33C9">
        <w:rPr>
          <w:rFonts w:ascii="Times New Roman" w:hAnsi="Times New Roman" w:cs="Times New Roman"/>
          <w:sz w:val="24"/>
          <w:szCs w:val="24"/>
          <w:lang w:val="en-IN"/>
        </w:rPr>
        <w:t xml:space="preserve"> is the rest time; m is the active mass loaded, V</w:t>
      </w:r>
      <w:r w:rsidRPr="00DD33C9">
        <w:rPr>
          <w:rFonts w:ascii="Times New Roman" w:hAnsi="Times New Roman" w:cs="Times New Roman"/>
          <w:sz w:val="24"/>
          <w:szCs w:val="24"/>
          <w:vertAlign w:val="subscript"/>
          <w:lang w:val="en-IN"/>
        </w:rPr>
        <w:t>M</w:t>
      </w:r>
      <w:r w:rsidRPr="00DD33C9">
        <w:rPr>
          <w:rFonts w:ascii="Times New Roman" w:hAnsi="Times New Roman" w:cs="Times New Roman"/>
          <w:sz w:val="24"/>
          <w:szCs w:val="24"/>
          <w:lang w:val="en-IN"/>
        </w:rPr>
        <w:t xml:space="preserve"> is the molar volume of electrode material, M is the molar mass, and S is the electrochemically active surface area of the electrode.  </w:t>
      </w:r>
      <w:r w:rsidR="00B62327" w:rsidRPr="00DD33C9">
        <w:rPr>
          <w:rFonts w:ascii="Times New Roman" w:hAnsi="Times New Roman" w:cs="Times New Roman"/>
          <w:sz w:val="24"/>
          <w:szCs w:val="24"/>
          <w:lang w:val="en-IN"/>
        </w:rPr>
        <w:t xml:space="preserve">And, </w:t>
      </w:r>
      <w:r w:rsidRPr="00DD33C9">
        <w:rPr>
          <w:rFonts w:ascii="Times New Roman" w:hAnsi="Times New Roman" w:cs="Times New Roman"/>
          <w:sz w:val="24"/>
          <w:szCs w:val="24"/>
          <w:lang w:val="en-IN"/>
        </w:rPr>
        <w:t>ΔE</w:t>
      </w:r>
      <w:r w:rsidRPr="00DD33C9">
        <w:rPr>
          <w:rFonts w:ascii="Times New Roman" w:hAnsi="Times New Roman" w:cs="Times New Roman"/>
          <w:sz w:val="24"/>
          <w:szCs w:val="24"/>
          <w:vertAlign w:val="subscript"/>
          <w:lang w:val="en-IN"/>
        </w:rPr>
        <w:t>s</w:t>
      </w:r>
      <w:r w:rsidRPr="00DD33C9">
        <w:rPr>
          <w:rFonts w:ascii="Times New Roman" w:hAnsi="Times New Roman" w:cs="Times New Roman"/>
          <w:sz w:val="24"/>
          <w:szCs w:val="24"/>
          <w:lang w:val="en-IN"/>
        </w:rPr>
        <w:t xml:space="preserve"> is the steady-state voltage change (V) by the current pulse and </w:t>
      </w:r>
      <w:proofErr w:type="spellStart"/>
      <w:r w:rsidRPr="00DD33C9">
        <w:rPr>
          <w:rFonts w:ascii="Times New Roman" w:hAnsi="Times New Roman" w:cs="Times New Roman"/>
          <w:sz w:val="24"/>
          <w:szCs w:val="24"/>
          <w:lang w:val="en-IN"/>
        </w:rPr>
        <w:t>ΔE</w:t>
      </w:r>
      <w:r w:rsidRPr="00DD33C9">
        <w:rPr>
          <w:rFonts w:ascii="Times New Roman" w:hAnsi="Times New Roman" w:cs="Times New Roman"/>
          <w:sz w:val="24"/>
          <w:szCs w:val="24"/>
          <w:vertAlign w:val="subscript"/>
          <w:lang w:val="en-IN"/>
        </w:rPr>
        <w:t>t</w:t>
      </w:r>
      <w:proofErr w:type="spellEnd"/>
      <w:r w:rsidRPr="00DD33C9">
        <w:rPr>
          <w:rFonts w:ascii="Times New Roman" w:hAnsi="Times New Roman" w:cs="Times New Roman"/>
          <w:sz w:val="24"/>
          <w:szCs w:val="24"/>
          <w:lang w:val="en-IN"/>
        </w:rPr>
        <w:t xml:space="preserve"> is the voltage change (V) during the constant current pulse after eliminating the </w:t>
      </w:r>
      <w:proofErr w:type="spellStart"/>
      <w:r w:rsidRPr="00DD33C9">
        <w:rPr>
          <w:rFonts w:ascii="Times New Roman" w:hAnsi="Times New Roman" w:cs="Times New Roman"/>
          <w:sz w:val="24"/>
          <w:szCs w:val="24"/>
          <w:lang w:val="en-IN"/>
        </w:rPr>
        <w:t>iR</w:t>
      </w:r>
      <w:proofErr w:type="spellEnd"/>
      <w:r w:rsidRPr="00DD33C9">
        <w:rPr>
          <w:rFonts w:ascii="Times New Roman" w:hAnsi="Times New Roman" w:cs="Times New Roman"/>
          <w:sz w:val="24"/>
          <w:szCs w:val="24"/>
          <w:lang w:val="en-IN"/>
        </w:rPr>
        <w:t xml:space="preserve"> drop.</w:t>
      </w:r>
    </w:p>
    <w:p w14:paraId="6CB17DAE" w14:textId="33344525" w:rsidR="00D76753" w:rsidRPr="00DD33C9" w:rsidRDefault="00D76753" w:rsidP="00D76753">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t>7. EIS analysis</w:t>
      </w:r>
    </w:p>
    <w:p w14:paraId="702F6A21" w14:textId="2E4767C2" w:rsidR="00D76753" w:rsidRPr="00DD33C9" w:rsidRDefault="00D76753" w:rsidP="00D76753">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t xml:space="preserve">Equivalent </w:t>
      </w:r>
      <w:r w:rsidR="00671921" w:rsidRPr="00DD33C9">
        <w:rPr>
          <w:rFonts w:ascii="Times New Roman" w:hAnsi="Times New Roman" w:cs="Times New Roman"/>
          <w:b/>
          <w:bCs/>
          <w:sz w:val="24"/>
          <w:szCs w:val="24"/>
          <w:lang w:eastAsia="ko-KR"/>
        </w:rPr>
        <w:t>c</w:t>
      </w:r>
      <w:r w:rsidRPr="00DD33C9">
        <w:rPr>
          <w:rFonts w:ascii="Times New Roman" w:hAnsi="Times New Roman" w:cs="Times New Roman"/>
          <w:b/>
          <w:bCs/>
          <w:sz w:val="24"/>
          <w:szCs w:val="24"/>
        </w:rPr>
        <w:t xml:space="preserve">ircuit </w:t>
      </w:r>
      <w:r w:rsidR="00671921" w:rsidRPr="00DD33C9">
        <w:rPr>
          <w:rFonts w:ascii="Times New Roman" w:hAnsi="Times New Roman" w:cs="Times New Roman"/>
          <w:b/>
          <w:bCs/>
          <w:sz w:val="24"/>
          <w:szCs w:val="24"/>
        </w:rPr>
        <w:t>f</w:t>
      </w:r>
      <w:r w:rsidRPr="00DD33C9">
        <w:rPr>
          <w:rFonts w:ascii="Times New Roman" w:hAnsi="Times New Roman" w:cs="Times New Roman"/>
          <w:b/>
          <w:bCs/>
          <w:sz w:val="24"/>
          <w:szCs w:val="24"/>
        </w:rPr>
        <w:t xml:space="preserve">itting and </w:t>
      </w:r>
      <w:r w:rsidR="00671921" w:rsidRPr="00DD33C9">
        <w:rPr>
          <w:rFonts w:ascii="Times New Roman" w:hAnsi="Times New Roman" w:cs="Times New Roman"/>
          <w:b/>
          <w:bCs/>
          <w:sz w:val="24"/>
          <w:szCs w:val="24"/>
        </w:rPr>
        <w:t>p</w:t>
      </w:r>
      <w:r w:rsidRPr="00DD33C9">
        <w:rPr>
          <w:rFonts w:ascii="Times New Roman" w:hAnsi="Times New Roman" w:cs="Times New Roman"/>
          <w:b/>
          <w:bCs/>
          <w:sz w:val="24"/>
          <w:szCs w:val="24"/>
        </w:rPr>
        <w:t>arameters:</w:t>
      </w:r>
    </w:p>
    <w:p w14:paraId="66075FCF" w14:textId="0C79A055" w:rsidR="00D76753" w:rsidRPr="00DD33C9" w:rsidRDefault="00D76753" w:rsidP="00D76753">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EIS data were fitted using the equivalent circuit shown in Figure S14. The circuit comprises R</w:t>
      </w:r>
      <w:r w:rsidRPr="00DD33C9">
        <w:rPr>
          <w:rFonts w:ascii="Times New Roman" w:hAnsi="Times New Roman" w:cs="Times New Roman"/>
          <w:sz w:val="24"/>
          <w:szCs w:val="24"/>
          <w:vertAlign w:val="subscript"/>
        </w:rPr>
        <w:t>1</w:t>
      </w:r>
      <w:r w:rsidRPr="00DD33C9">
        <w:rPr>
          <w:rFonts w:ascii="Times New Roman" w:hAnsi="Times New Roman" w:cs="Times New Roman"/>
          <w:sz w:val="24"/>
          <w:szCs w:val="24"/>
        </w:rPr>
        <w:t>, R</w:t>
      </w:r>
      <w:r w:rsidRPr="00DD33C9">
        <w:rPr>
          <w:rFonts w:ascii="Times New Roman" w:hAnsi="Times New Roman" w:cs="Times New Roman"/>
          <w:sz w:val="24"/>
          <w:szCs w:val="24"/>
          <w:vertAlign w:val="subscript"/>
        </w:rPr>
        <w:t>2</w:t>
      </w:r>
      <w:r w:rsidR="00671921" w:rsidRPr="00DD33C9">
        <w:rPr>
          <w:rFonts w:ascii="Times New Roman" w:hAnsi="Times New Roman" w:cs="Times New Roman"/>
          <w:sz w:val="24"/>
          <w:szCs w:val="24"/>
        </w:rPr>
        <w:t xml:space="preserve">, </w:t>
      </w:r>
      <w:r w:rsidRPr="00DD33C9">
        <w:rPr>
          <w:rFonts w:ascii="Times New Roman" w:hAnsi="Times New Roman" w:cs="Times New Roman"/>
          <w:sz w:val="24"/>
          <w:szCs w:val="24"/>
        </w:rPr>
        <w:t>CPE</w:t>
      </w:r>
      <w:r w:rsidRPr="00DD33C9">
        <w:rPr>
          <w:rFonts w:ascii="Times New Roman" w:hAnsi="Times New Roman" w:cs="Times New Roman"/>
          <w:sz w:val="24"/>
          <w:szCs w:val="24"/>
          <w:vertAlign w:val="subscript"/>
        </w:rPr>
        <w:t>1</w:t>
      </w:r>
      <w:r w:rsidRPr="00DD33C9">
        <w:rPr>
          <w:rFonts w:ascii="Times New Roman" w:hAnsi="Times New Roman" w:cs="Times New Roman"/>
          <w:sz w:val="24"/>
          <w:szCs w:val="24"/>
        </w:rPr>
        <w:t xml:space="preserve"> and Warburg</w:t>
      </w:r>
      <w:r w:rsidR="00671921" w:rsidRPr="00DD33C9">
        <w:rPr>
          <w:rFonts w:ascii="Times New Roman" w:hAnsi="Times New Roman" w:cs="Times New Roman"/>
          <w:sz w:val="24"/>
          <w:szCs w:val="24"/>
        </w:rPr>
        <w:t xml:space="preserve"> element</w:t>
      </w:r>
      <w:r w:rsidRPr="00DD33C9">
        <w:rPr>
          <w:rFonts w:ascii="Times New Roman" w:hAnsi="Times New Roman" w:cs="Times New Roman"/>
          <w:sz w:val="24"/>
          <w:szCs w:val="24"/>
        </w:rPr>
        <w:t xml:space="preserve"> corresponding to </w:t>
      </w:r>
      <w:r w:rsidR="00671921" w:rsidRPr="00DD33C9">
        <w:rPr>
          <w:rFonts w:ascii="Times New Roman" w:hAnsi="Times New Roman" w:cs="Times New Roman"/>
          <w:sz w:val="24"/>
          <w:szCs w:val="24"/>
        </w:rPr>
        <w:t>s</w:t>
      </w:r>
      <w:r w:rsidRPr="00DD33C9">
        <w:rPr>
          <w:rFonts w:ascii="Times New Roman" w:hAnsi="Times New Roman" w:cs="Times New Roman"/>
          <w:sz w:val="24"/>
          <w:szCs w:val="24"/>
        </w:rPr>
        <w:t xml:space="preserve">olution resistance, </w:t>
      </w:r>
      <w:r w:rsidR="00671921" w:rsidRPr="00DD33C9">
        <w:rPr>
          <w:rFonts w:ascii="Times New Roman" w:hAnsi="Times New Roman" w:cs="Times New Roman"/>
          <w:sz w:val="24"/>
          <w:szCs w:val="24"/>
        </w:rPr>
        <w:t>c</w:t>
      </w:r>
      <w:r w:rsidRPr="00DD33C9">
        <w:rPr>
          <w:rFonts w:ascii="Times New Roman" w:hAnsi="Times New Roman" w:cs="Times New Roman"/>
          <w:sz w:val="24"/>
          <w:szCs w:val="24"/>
        </w:rPr>
        <w:t xml:space="preserve">harge transfer resistance at the electrode–electrolyte interface, </w:t>
      </w:r>
      <w:r w:rsidR="00671921" w:rsidRPr="00DD33C9">
        <w:rPr>
          <w:rFonts w:ascii="Times New Roman" w:hAnsi="Times New Roman" w:cs="Times New Roman"/>
          <w:sz w:val="24"/>
          <w:szCs w:val="24"/>
        </w:rPr>
        <w:t>c</w:t>
      </w:r>
      <w:r w:rsidRPr="00DD33C9">
        <w:rPr>
          <w:rFonts w:ascii="Times New Roman" w:hAnsi="Times New Roman" w:cs="Times New Roman"/>
          <w:sz w:val="24"/>
          <w:szCs w:val="24"/>
        </w:rPr>
        <w:t>onstant phase element representing the non-ideal double-layer capacitance, and Warburg impedance representing ion diffusion. The fitting was carried out using IVIUMSTAT software, and the extracted fitted parameters are tabulated below (Table S</w:t>
      </w:r>
      <w:r w:rsidR="00DD33C9" w:rsidRPr="00DD33C9">
        <w:rPr>
          <w:rFonts w:ascii="Times New Roman" w:hAnsi="Times New Roman" w:cs="Times New Roman"/>
          <w:sz w:val="24"/>
          <w:szCs w:val="24"/>
        </w:rPr>
        <w:t>2</w:t>
      </w:r>
      <w:r w:rsidRPr="00DD33C9">
        <w:rPr>
          <w:rFonts w:ascii="Times New Roman" w:hAnsi="Times New Roman" w:cs="Times New Roman"/>
          <w:sz w:val="24"/>
          <w:szCs w:val="24"/>
        </w:rPr>
        <w:t>). The CsVO/VO composite exhibits a significantly lower R</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 xml:space="preserve"> value (121.3 Ω) compared to </w:t>
      </w:r>
      <w:r w:rsidR="00671921" w:rsidRPr="00DD33C9">
        <w:rPr>
          <w:rFonts w:ascii="Times New Roman" w:hAnsi="Times New Roman" w:cs="Times New Roman"/>
          <w:sz w:val="24"/>
          <w:szCs w:val="24"/>
        </w:rPr>
        <w:t xml:space="preserve">the </w:t>
      </w:r>
      <w:r w:rsidRPr="00DD33C9">
        <w:rPr>
          <w:rFonts w:ascii="Times New Roman" w:hAnsi="Times New Roman" w:cs="Times New Roman"/>
          <w:sz w:val="24"/>
          <w:szCs w:val="24"/>
        </w:rPr>
        <w:t>pristine VO (499.5 Ω), confirming faster charge transfer kinetics due to the dual-phase structure.</w:t>
      </w:r>
      <w:r w:rsidRPr="00DD33C9">
        <w:rPr>
          <w:rFonts w:ascii="Times New Roman" w:eastAsia="Times New Roman" w:hAnsi="Times New Roman" w:cs="Times New Roman"/>
          <w:kern w:val="0"/>
          <w:sz w:val="24"/>
          <w:szCs w:val="24"/>
          <w14:ligatures w14:val="none"/>
        </w:rPr>
        <w:t xml:space="preserve"> </w:t>
      </w:r>
      <w:r w:rsidRPr="00DD33C9">
        <w:rPr>
          <w:rFonts w:ascii="Times New Roman" w:hAnsi="Times New Roman" w:cs="Times New Roman"/>
          <w:sz w:val="24"/>
          <w:szCs w:val="24"/>
        </w:rPr>
        <w:t>Moreover, the lower Warburg impedance of CsVO/VO (0.015 Ω·s</w:t>
      </w:r>
      <w:r w:rsidRPr="00DD33C9">
        <w:rPr>
          <w:rFonts w:ascii="Times New Roman" w:hAnsi="Times New Roman" w:cs="Times New Roman"/>
          <w:sz w:val="24"/>
          <w:szCs w:val="24"/>
          <w:vertAlign w:val="superscript"/>
        </w:rPr>
        <w:t>-1/2</w:t>
      </w:r>
      <w:r w:rsidRPr="00DD33C9">
        <w:rPr>
          <w:rFonts w:ascii="Times New Roman" w:hAnsi="Times New Roman" w:cs="Times New Roman"/>
          <w:sz w:val="24"/>
          <w:szCs w:val="24"/>
        </w:rPr>
        <w:t>) compared to VO (0.018 Ω·s</w:t>
      </w:r>
      <w:r w:rsidRPr="00DD33C9">
        <w:rPr>
          <w:rFonts w:ascii="Times New Roman" w:hAnsi="Times New Roman" w:cs="Times New Roman"/>
          <w:sz w:val="24"/>
          <w:szCs w:val="24"/>
          <w:vertAlign w:val="superscript"/>
        </w:rPr>
        <w:t>-1/2</w:t>
      </w:r>
      <w:r w:rsidRPr="00DD33C9">
        <w:rPr>
          <w:rFonts w:ascii="Times New Roman" w:hAnsi="Times New Roman" w:cs="Times New Roman"/>
          <w:sz w:val="24"/>
          <w:szCs w:val="24"/>
        </w:rPr>
        <w:t>) further confirms improved ion diffusion, likely facilitated by the composite’s hierarchical porosity and charge redistribution at the CsVO/VO interface.</w:t>
      </w:r>
    </w:p>
    <w:p w14:paraId="386EF121" w14:textId="398A95EE" w:rsidR="00D76753" w:rsidRPr="00DD33C9" w:rsidRDefault="00D76753" w:rsidP="00D76753">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 xml:space="preserve">Conductivity </w:t>
      </w:r>
      <w:r w:rsidR="00671921" w:rsidRPr="00DD33C9">
        <w:rPr>
          <w:rFonts w:ascii="Times New Roman" w:hAnsi="Times New Roman" w:cs="Times New Roman"/>
          <w:b/>
          <w:bCs/>
          <w:sz w:val="24"/>
          <w:szCs w:val="24"/>
        </w:rPr>
        <w:t>c</w:t>
      </w:r>
      <w:r w:rsidRPr="00DD33C9">
        <w:rPr>
          <w:rFonts w:ascii="Times New Roman" w:hAnsi="Times New Roman" w:cs="Times New Roman"/>
          <w:b/>
          <w:bCs/>
          <w:sz w:val="24"/>
          <w:szCs w:val="24"/>
        </w:rPr>
        <w:t>alculation:</w:t>
      </w:r>
    </w:p>
    <w:p w14:paraId="13253F48" w14:textId="431C457D" w:rsidR="00D76753" w:rsidRPr="00DD33C9" w:rsidRDefault="00D76753" w:rsidP="00D76753">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lastRenderedPageBreak/>
        <w:t>The bulk resistances (R) obtained from the equivalent circuit fitting were used to calculate the electrical conductivity (</w:t>
      </w:r>
      <m:oMath>
        <m:r>
          <m:rPr>
            <m:sty m:val="p"/>
          </m:rPr>
          <w:rPr>
            <w:rFonts w:ascii="Cambria Math" w:hAnsi="Cambria Math" w:cs="Times New Roman"/>
            <w:sz w:val="24"/>
            <w:szCs w:val="24"/>
          </w:rPr>
          <m:t>σ</m:t>
        </m:r>
      </m:oMath>
      <w:r w:rsidRPr="00DD33C9">
        <w:rPr>
          <w:rFonts w:ascii="Times New Roman" w:hAnsi="Times New Roman" w:cs="Times New Roman"/>
          <w:sz w:val="24"/>
          <w:szCs w:val="24"/>
        </w:rPr>
        <w:t xml:space="preserve">) of the electrodes using the relation </w:t>
      </w:r>
      <w:r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 xml:space="preserve">ADDIN CSL_CITATION {"citationItems":[{"id":"ITEM-1","itemData":{"DOI":"10.1016/j.cej.2025.160748","ISSN":"13858947","abstract":"Conversion reaction-based electrode materials have exceptional energy and power densities in lithium-ion batteries (LIBs). Nevertheless, the extensive use of LIBs is restricted by their inclination to experience significant fluctuations in volume and their sluggish kinetics. This study utilizes an environmental-friendly green synthesis approach to create heterostructures of CoMoO4–silver (Ag) (CMO–Ag). Due to the high conductivity and large size of Ag, the flow of electrons to the CMO is facilitated by the design of these CMO–Ag heterostructures, consequently enhancing the energy band gap and accommodating volumetric variability during cycling. Additionally, the ability of Ag to form a heterojunction results in the generation of an electric field that establishes a firm interface between the CMO and Ag, thereby enhancing the efficiency of the charge/discharge process and the energy storage capacity. The CMO and CMO–Ag nanostructures exhibit discharge capabilities of </w:instrText>
      </w:r>
      <w:r w:rsidR="00D112B2">
        <w:rPr>
          <w:rFonts w:ascii="Times New Roman" w:hAnsi="Times New Roman" w:cs="Times New Roman" w:hint="eastAsia"/>
          <w:sz w:val="24"/>
          <w:szCs w:val="24"/>
        </w:rPr>
        <w:instrText>∼</w:instrText>
      </w:r>
      <w:r w:rsidR="00D112B2">
        <w:rPr>
          <w:rFonts w:ascii="Times New Roman" w:hAnsi="Times New Roman" w:cs="Times New Roman"/>
          <w:sz w:val="24"/>
          <w:szCs w:val="24"/>
        </w:rPr>
        <w:instrText xml:space="preserve">314 mAh g−1 (after 1,000 cycles) and 1,135 mAh g−1 (after 2,100 cycles), respectively, when subjected to a current density of 1 A g−1. Following 7,700 cycles at a current density of 2 A g−1, the CMO–Ag heterostructure demonstrates exceptional long-term stability, maintaining a discharge capacity of approximately </w:instrText>
      </w:r>
      <w:r w:rsidR="00D112B2">
        <w:rPr>
          <w:rFonts w:ascii="Times New Roman" w:hAnsi="Times New Roman" w:cs="Times New Roman" w:hint="eastAsia"/>
          <w:sz w:val="24"/>
          <w:szCs w:val="24"/>
        </w:rPr>
        <w:instrText>∼</w:instrText>
      </w:r>
      <w:r w:rsidR="00D112B2">
        <w:rPr>
          <w:rFonts w:ascii="Times New Roman" w:hAnsi="Times New Roman" w:cs="Times New Roman"/>
          <w:sz w:val="24"/>
          <w:szCs w:val="24"/>
        </w:rPr>
        <w:instrText xml:space="preserve">341 mAh g−1. In comparison, the untreated CMO exhibits a capacity retention of only </w:instrText>
      </w:r>
      <w:r w:rsidR="00D112B2">
        <w:rPr>
          <w:rFonts w:ascii="Times New Roman" w:hAnsi="Times New Roman" w:cs="Times New Roman" w:hint="eastAsia"/>
          <w:sz w:val="24"/>
          <w:szCs w:val="24"/>
        </w:rPr>
        <w:instrText>∼</w:instrText>
      </w:r>
      <w:r w:rsidR="00D112B2">
        <w:rPr>
          <w:rFonts w:ascii="Times New Roman" w:hAnsi="Times New Roman" w:cs="Times New Roman"/>
          <w:sz w:val="24"/>
          <w:szCs w:val="24"/>
        </w:rPr>
        <w:instrText>215 mAh g−1. Moreover, density functional theory calculations indicate that the CMO–Ag structure exhibits a decreased energy band gap and work function, which is consistent with the experimental results. Therefore, the synthesis of CMO–Ag using heterostructure engineering and test results reported herein are expected to guide future advancements in energy storage devices.","author":[{"dropping-particle":"","family":"Bandi","given":"Hari","non-dropping-particle":"","parse-names":false,"suffix":""},{"dropping-particle":"","family":"Dahule","given":"Rohit","non-dropping-particle":"","parse-names":false,"suffix":""},{"dropping-particle":"","family":"Kakarla","given":"Ashok Kumar","non-dropping-particle":"","parse-names":false,"suffix":""},{"dropping-particle":"","family":"Maezono","given":"Ryo","non-dropping-particle":"","parse-names":false,"suffix":""},{"dropping-particle":"","family":"Narsimulu","given":"D.","non-dropping-particle":"","parse-names":false,"suffix":""},{"dropping-particle":"","family":"Akram","given":"Syed Wasim","non-dropping-particle":"","parse-names":false,"suffix":""},{"dropping-particle":"","family":"Shanthappa","given":"R.","non-dropping-particle":"","parse-names":false,"suffix":""},{"dropping-particle":"","family":"Yu","given":"Jae Su","non-dropping-particle":"","parse-names":false,"suffix":""}],"container-title":"Chemical Engineering Journal","id":"ITEM-1","issue":"February","issued":{"date-parts":[["2025"]]},"title":"Green synthesis and interface engineering of CoMoO4–Ag heterostructures: Enhanced electrochemical performance for lithium-ion batteries","type":"article-journal","volume":"508"},"uris":["http://www.mendeley.com/documents/?uuid=eb5721bf-d1ad-4f34-9a30-335039e6d56d"]}],"mendeley":{"formattedCitation":"[3]","plainTextFormattedCitation":"[3]","previouslyFormattedCitation":"[3]"},"properties":{"noteIndex":0},"schema":"https://github.com/citation-style-language/schema/raw/master/csl-citation.json"}</w:instrText>
      </w:r>
      <w:r w:rsidRPr="00DD33C9">
        <w:rPr>
          <w:rFonts w:ascii="Times New Roman" w:hAnsi="Times New Roman" w:cs="Times New Roman"/>
          <w:sz w:val="24"/>
          <w:szCs w:val="24"/>
        </w:rPr>
        <w:fldChar w:fldCharType="separate"/>
      </w:r>
      <w:r w:rsidR="005114AD" w:rsidRPr="00C45123">
        <w:rPr>
          <w:rFonts w:ascii="Times New Roman" w:hAnsi="Times New Roman" w:cs="Times New Roman"/>
          <w:noProof/>
          <w:sz w:val="24"/>
          <w:szCs w:val="24"/>
        </w:rPr>
        <w:t>[3]</w:t>
      </w:r>
      <w:r w:rsidRPr="00DD33C9">
        <w:rPr>
          <w:rFonts w:ascii="Times New Roman" w:hAnsi="Times New Roman" w:cs="Times New Roman"/>
          <w:sz w:val="24"/>
          <w:szCs w:val="24"/>
        </w:rPr>
        <w:fldChar w:fldCharType="end"/>
      </w:r>
      <w:r w:rsidRPr="00DD33C9">
        <w:rPr>
          <w:rFonts w:ascii="Times New Roman" w:hAnsi="Times New Roman" w:cs="Times New Roman"/>
          <w:sz w:val="24"/>
          <w:szCs w:val="24"/>
        </w:rPr>
        <w:t>:</w:t>
      </w:r>
    </w:p>
    <w:p w14:paraId="16F95ACA" w14:textId="77777777" w:rsidR="00D76753" w:rsidRPr="00DD33C9" w:rsidRDefault="00D76753" w:rsidP="00D76753">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σ</m:t>
        </m:r>
      </m:oMath>
      <w:r w:rsidRPr="00DD33C9">
        <w:rPr>
          <w:rFonts w:ascii="Times New Roman" w:hAnsi="Times New Roman" w:cs="Times New Roman"/>
          <w:sz w:val="24"/>
          <w:szCs w:val="24"/>
        </w:rPr>
        <w:t xml:space="preserve"> = L / (R </w:t>
      </w:r>
      <m:oMath>
        <m:r>
          <m:rPr>
            <m:sty m:val="p"/>
          </m:rPr>
          <w:rPr>
            <w:rFonts w:ascii="Cambria Math" w:hAnsi="Cambria Math" w:cs="Times New Roman"/>
            <w:sz w:val="24"/>
            <w:szCs w:val="24"/>
          </w:rPr>
          <m:t>×</m:t>
        </m:r>
      </m:oMath>
      <w:r w:rsidRPr="00DD33C9">
        <w:rPr>
          <w:rFonts w:ascii="Times New Roman" w:hAnsi="Times New Roman" w:cs="Times New Roman"/>
          <w:sz w:val="24"/>
          <w:szCs w:val="24"/>
        </w:rPr>
        <w:t xml:space="preserve"> </w:t>
      </w:r>
      <w:proofErr w:type="gramStart"/>
      <w:r w:rsidRPr="00DD33C9">
        <w:rPr>
          <w:rFonts w:ascii="Times New Roman" w:hAnsi="Times New Roman" w:cs="Times New Roman"/>
          <w:sz w:val="24"/>
          <w:szCs w:val="24"/>
        </w:rPr>
        <w:t xml:space="preserve">A)   </w:t>
      </w:r>
      <w:proofErr w:type="gramEnd"/>
      <w:r w:rsidRPr="00DD33C9">
        <w:rPr>
          <w:rFonts w:ascii="Times New Roman" w:hAnsi="Times New Roman" w:cs="Times New Roman"/>
          <w:sz w:val="24"/>
          <w:szCs w:val="24"/>
        </w:rPr>
        <w:t xml:space="preserve">                                                                                                                       </w:t>
      </w:r>
      <w:proofErr w:type="gramStart"/>
      <w:r w:rsidRPr="00DD33C9">
        <w:rPr>
          <w:rFonts w:ascii="Times New Roman" w:hAnsi="Times New Roman" w:cs="Times New Roman"/>
          <w:sz w:val="24"/>
          <w:szCs w:val="24"/>
        </w:rPr>
        <w:t xml:space="preserve">   (</w:t>
      </w:r>
      <w:proofErr w:type="gramEnd"/>
      <w:r w:rsidRPr="00DD33C9">
        <w:rPr>
          <w:rFonts w:ascii="Times New Roman" w:hAnsi="Times New Roman" w:cs="Times New Roman"/>
          <w:sz w:val="24"/>
          <w:szCs w:val="24"/>
        </w:rPr>
        <w:t>2)</w:t>
      </w:r>
    </w:p>
    <w:p w14:paraId="771CC29C" w14:textId="2B772991" w:rsidR="00D76753" w:rsidRPr="00DD33C9" w:rsidRDefault="00D76753" w:rsidP="00D76753">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 xml:space="preserve">where </w:t>
      </w:r>
      <w:r w:rsidRPr="00DD33C9">
        <w:rPr>
          <w:rFonts w:ascii="Times New Roman" w:hAnsi="Times New Roman" w:cs="Times New Roman"/>
          <w:i/>
          <w:iCs/>
          <w:sz w:val="24"/>
          <w:szCs w:val="24"/>
        </w:rPr>
        <w:t>L</w:t>
      </w:r>
      <w:r w:rsidRPr="00DD33C9">
        <w:rPr>
          <w:rFonts w:ascii="Times New Roman" w:hAnsi="Times New Roman" w:cs="Times New Roman"/>
          <w:sz w:val="24"/>
          <w:szCs w:val="24"/>
        </w:rPr>
        <w:t xml:space="preserve"> is the electrode thickness (0.033 cm), </w:t>
      </w:r>
      <w:r w:rsidRPr="00DD33C9">
        <w:rPr>
          <w:rFonts w:ascii="Times New Roman" w:hAnsi="Times New Roman" w:cs="Times New Roman"/>
          <w:i/>
          <w:iCs/>
          <w:sz w:val="24"/>
          <w:szCs w:val="24"/>
        </w:rPr>
        <w:t>A</w:t>
      </w:r>
      <w:r w:rsidRPr="00DD33C9">
        <w:rPr>
          <w:rFonts w:ascii="Times New Roman" w:hAnsi="Times New Roman" w:cs="Times New Roman"/>
          <w:sz w:val="24"/>
          <w:szCs w:val="24"/>
        </w:rPr>
        <w:t xml:space="preserve"> is the electrode area (1.13 cm</w:t>
      </w:r>
      <w:r w:rsidRPr="00DD33C9">
        <w:rPr>
          <w:rFonts w:ascii="Times New Roman" w:hAnsi="Times New Roman" w:cs="Times New Roman"/>
          <w:sz w:val="24"/>
          <w:szCs w:val="24"/>
          <w:vertAlign w:val="superscript"/>
        </w:rPr>
        <w:t>2</w:t>
      </w:r>
      <w:r w:rsidRPr="00DD33C9">
        <w:rPr>
          <w:rFonts w:ascii="Times New Roman" w:hAnsi="Times New Roman" w:cs="Times New Roman"/>
          <w:sz w:val="24"/>
          <w:szCs w:val="24"/>
        </w:rPr>
        <w:t xml:space="preserve">), and </w:t>
      </w:r>
      <w:r w:rsidRPr="00DD33C9">
        <w:rPr>
          <w:rFonts w:ascii="Times New Roman" w:hAnsi="Times New Roman" w:cs="Times New Roman"/>
          <w:i/>
          <w:iCs/>
          <w:sz w:val="24"/>
          <w:szCs w:val="24"/>
        </w:rPr>
        <w:t>R</w:t>
      </w:r>
      <w:r w:rsidRPr="00DD33C9">
        <w:rPr>
          <w:rFonts w:ascii="Times New Roman" w:hAnsi="Times New Roman" w:cs="Times New Roman"/>
          <w:sz w:val="24"/>
          <w:szCs w:val="24"/>
        </w:rPr>
        <w:t xml:space="preserve"> is the total resistance, taken as the sum of R</w:t>
      </w:r>
      <w:r w:rsidRPr="00DD33C9">
        <w:rPr>
          <w:rFonts w:ascii="Times New Roman" w:hAnsi="Times New Roman" w:cs="Times New Roman"/>
          <w:sz w:val="24"/>
          <w:szCs w:val="24"/>
          <w:vertAlign w:val="subscript"/>
        </w:rPr>
        <w:t>1</w:t>
      </w:r>
      <w:r w:rsidRPr="00DD33C9">
        <w:rPr>
          <w:rFonts w:ascii="Times New Roman" w:hAnsi="Times New Roman" w:cs="Times New Roman"/>
          <w:sz w:val="24"/>
          <w:szCs w:val="24"/>
        </w:rPr>
        <w:t xml:space="preserve"> and R</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 Based on this, the calculated conductivities are 2.3 × 10</w:t>
      </w:r>
      <w:r w:rsidR="007B196C" w:rsidRPr="00DD33C9">
        <w:rPr>
          <w:rFonts w:ascii="Times New Roman" w:hAnsi="Times New Roman" w:cs="Times New Roman"/>
          <w:sz w:val="24"/>
          <w:szCs w:val="24"/>
          <w:vertAlign w:val="superscript"/>
        </w:rPr>
        <w:t>-4</w:t>
      </w:r>
      <w:r w:rsidRPr="00DD33C9">
        <w:rPr>
          <w:rFonts w:ascii="Times New Roman" w:hAnsi="Times New Roman" w:cs="Times New Roman"/>
          <w:sz w:val="24"/>
          <w:szCs w:val="24"/>
        </w:rPr>
        <w:t xml:space="preserve"> S cm</w:t>
      </w:r>
      <w:r w:rsidRPr="00DD33C9">
        <w:rPr>
          <w:rFonts w:ascii="Times New Roman" w:hAnsi="Times New Roman" w:cs="Times New Roman"/>
          <w:sz w:val="24"/>
          <w:szCs w:val="24"/>
          <w:vertAlign w:val="superscript"/>
        </w:rPr>
        <w:t>-1</w:t>
      </w:r>
      <w:r w:rsidRPr="00DD33C9">
        <w:rPr>
          <w:rFonts w:ascii="Times New Roman" w:hAnsi="Times New Roman" w:cs="Times New Roman"/>
          <w:sz w:val="24"/>
          <w:szCs w:val="24"/>
        </w:rPr>
        <w:t xml:space="preserve"> for the CsVO/VO composite and 5.7 × 10</w:t>
      </w:r>
      <w:r w:rsidR="007B196C" w:rsidRPr="00DD33C9">
        <w:rPr>
          <w:rFonts w:ascii="Times New Roman" w:hAnsi="Times New Roman" w:cs="Times New Roman"/>
          <w:sz w:val="24"/>
          <w:szCs w:val="24"/>
          <w:vertAlign w:val="superscript"/>
        </w:rPr>
        <w:t>-5</w:t>
      </w:r>
      <w:r w:rsidRPr="00DD33C9">
        <w:rPr>
          <w:rFonts w:ascii="Times New Roman" w:hAnsi="Times New Roman" w:cs="Times New Roman"/>
          <w:sz w:val="24"/>
          <w:szCs w:val="24"/>
        </w:rPr>
        <w:t xml:space="preserve"> S cm</w:t>
      </w:r>
      <w:r w:rsidRPr="00DD33C9">
        <w:rPr>
          <w:rFonts w:ascii="Times New Roman" w:hAnsi="Times New Roman" w:cs="Times New Roman"/>
          <w:sz w:val="24"/>
          <w:szCs w:val="24"/>
          <w:vertAlign w:val="superscript"/>
        </w:rPr>
        <w:t>-1</w:t>
      </w:r>
      <w:r w:rsidRPr="00DD33C9">
        <w:rPr>
          <w:rFonts w:ascii="Times New Roman" w:hAnsi="Times New Roman" w:cs="Times New Roman"/>
          <w:sz w:val="24"/>
          <w:szCs w:val="24"/>
        </w:rPr>
        <w:t xml:space="preserve"> for </w:t>
      </w:r>
      <w:r w:rsidR="00671921" w:rsidRPr="00DD33C9">
        <w:rPr>
          <w:rFonts w:ascii="Times New Roman" w:hAnsi="Times New Roman" w:cs="Times New Roman"/>
          <w:sz w:val="24"/>
          <w:szCs w:val="24"/>
        </w:rPr>
        <w:t xml:space="preserve">the </w:t>
      </w:r>
      <w:r w:rsidRPr="00DD33C9">
        <w:rPr>
          <w:rFonts w:ascii="Times New Roman" w:hAnsi="Times New Roman" w:cs="Times New Roman"/>
          <w:sz w:val="24"/>
          <w:szCs w:val="24"/>
        </w:rPr>
        <w:t>pristine VO. These results clearly demonstrate that the CsVO/VO composite exhibits nearly five times higher conductivity than</w:t>
      </w:r>
      <w:r w:rsidR="00671921" w:rsidRPr="00DD33C9">
        <w:rPr>
          <w:rFonts w:ascii="Times New Roman" w:hAnsi="Times New Roman" w:cs="Times New Roman"/>
          <w:sz w:val="24"/>
          <w:szCs w:val="24"/>
        </w:rPr>
        <w:t xml:space="preserve"> the</w:t>
      </w:r>
      <w:r w:rsidRPr="00DD33C9">
        <w:rPr>
          <w:rFonts w:ascii="Times New Roman" w:hAnsi="Times New Roman" w:cs="Times New Roman"/>
          <w:sz w:val="24"/>
          <w:szCs w:val="24"/>
        </w:rPr>
        <w:t xml:space="preserve"> pristine VO, which aligns well with its lower charge transfer resistance and enhanced electrochemical kinetics.</w:t>
      </w:r>
    </w:p>
    <w:p w14:paraId="42505A0A" w14:textId="77777777" w:rsidR="00D76753" w:rsidRPr="00DD33C9" w:rsidRDefault="00D76753" w:rsidP="00D76753">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t>Capacitance calculations from the EIS data:</w:t>
      </w:r>
    </w:p>
    <w:p w14:paraId="1F9B04E1" w14:textId="77777777" w:rsidR="00D76753" w:rsidRPr="00DD33C9" w:rsidRDefault="00D76753" w:rsidP="00D76753">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 Relationship Between Impedance and Complex Capacitance</w:t>
      </w:r>
    </w:p>
    <w:p w14:paraId="1916FE03" w14:textId="77777777" w:rsidR="00D76753" w:rsidRPr="00DD33C9" w:rsidRDefault="00D76753" w:rsidP="00D76753">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Complex capacitance (C) is derived from impedance (Z) using:</w:t>
      </w:r>
    </w:p>
    <w:p w14:paraId="221B7D80" w14:textId="77777777" w:rsidR="00D76753" w:rsidRPr="00DD33C9" w:rsidRDefault="00D76753" w:rsidP="00D76753">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C</w:t>
      </w:r>
      <w:r w:rsidRPr="00DD33C9">
        <w:rPr>
          <w:rFonts w:ascii="Cambria Math" w:hAnsi="Cambria Math" w:cs="Cambria Math"/>
          <w:sz w:val="24"/>
          <w:szCs w:val="24"/>
          <w:vertAlign w:val="superscript"/>
        </w:rPr>
        <w:t>∗</w:t>
      </w:r>
      <w:r w:rsidRPr="00DD33C9">
        <w:rPr>
          <w:rFonts w:ascii="Times New Roman" w:hAnsi="Times New Roman" w:cs="Times New Roman"/>
          <w:sz w:val="24"/>
          <w:szCs w:val="24"/>
        </w:rPr>
        <w:t xml:space="preserve"> = C′−</w:t>
      </w:r>
      <w:proofErr w:type="spellStart"/>
      <w:r w:rsidRPr="00DD33C9">
        <w:rPr>
          <w:rFonts w:ascii="Times New Roman" w:hAnsi="Times New Roman" w:cs="Times New Roman"/>
          <w:sz w:val="24"/>
          <w:szCs w:val="24"/>
        </w:rPr>
        <w:t>jC</w:t>
      </w:r>
      <w:proofErr w:type="spellEnd"/>
      <w:r w:rsidRPr="00DD33C9">
        <w:rPr>
          <w:rFonts w:ascii="Times New Roman" w:hAnsi="Times New Roman" w:cs="Times New Roman"/>
          <w:sz w:val="24"/>
          <w:szCs w:val="24"/>
        </w:rPr>
        <w:t>′′ = 1/</w:t>
      </w:r>
      <w:proofErr w:type="spellStart"/>
      <w:r w:rsidRPr="00DD33C9">
        <w:rPr>
          <w:rFonts w:ascii="Times New Roman" w:hAnsi="Times New Roman" w:cs="Times New Roman"/>
          <w:sz w:val="24"/>
          <w:szCs w:val="24"/>
        </w:rPr>
        <w:t>jωZ</w:t>
      </w:r>
      <w:proofErr w:type="spellEnd"/>
    </w:p>
    <w:p w14:paraId="13AA6B1F" w14:textId="77777777" w:rsidR="00D76753" w:rsidRPr="00DD33C9" w:rsidRDefault="00D76753" w:rsidP="00D76753">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Where, ω = 2πf (angular frequency) and Z = Z′+</w:t>
      </w:r>
      <w:proofErr w:type="spellStart"/>
      <w:r w:rsidRPr="00DD33C9">
        <w:rPr>
          <w:rFonts w:ascii="Times New Roman" w:hAnsi="Times New Roman" w:cs="Times New Roman"/>
          <w:sz w:val="24"/>
          <w:szCs w:val="24"/>
        </w:rPr>
        <w:t>jZ</w:t>
      </w:r>
      <w:proofErr w:type="spellEnd"/>
      <w:r w:rsidRPr="00DD33C9">
        <w:rPr>
          <w:rFonts w:ascii="Times New Roman" w:hAnsi="Times New Roman" w:cs="Times New Roman"/>
          <w:sz w:val="24"/>
          <w:szCs w:val="24"/>
        </w:rPr>
        <w:t>′′ (complex impedance)</w:t>
      </w:r>
    </w:p>
    <w:p w14:paraId="0BDC5304" w14:textId="77777777" w:rsidR="00D76753" w:rsidRPr="00DD33C9" w:rsidRDefault="00D76753" w:rsidP="00D76753">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Formulas for </w:t>
      </w:r>
      <w:r w:rsidRPr="00DD33C9">
        <w:rPr>
          <w:rFonts w:ascii="Times New Roman" w:hAnsi="Times New Roman" w:cs="Times New Roman"/>
          <w:b/>
          <w:bCs/>
          <w:i/>
          <w:iCs/>
          <w:sz w:val="24"/>
          <w:szCs w:val="24"/>
        </w:rPr>
        <w:t>C</w:t>
      </w:r>
      <w:r w:rsidRPr="00DD33C9">
        <w:rPr>
          <w:rFonts w:ascii="Times New Roman" w:hAnsi="Times New Roman" w:cs="Times New Roman"/>
          <w:b/>
          <w:bCs/>
          <w:sz w:val="24"/>
          <w:szCs w:val="24"/>
        </w:rPr>
        <w:t>′ and C′′</w:t>
      </w:r>
    </w:p>
    <w:p w14:paraId="1E697042" w14:textId="77777777" w:rsidR="00D76753" w:rsidRPr="00DD33C9" w:rsidRDefault="00D76753" w:rsidP="00D76753">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C ′= −Z′′/ω</w:t>
      </w:r>
      <w:r w:rsidRPr="00DD33C9">
        <w:rPr>
          <w:rFonts w:ascii="Cambria Math" w:hAnsi="Cambria Math" w:cs="Cambria Math"/>
          <w:sz w:val="24"/>
          <w:szCs w:val="24"/>
        </w:rPr>
        <w:t>∣</w:t>
      </w:r>
      <w:r w:rsidRPr="00DD33C9">
        <w:rPr>
          <w:rFonts w:ascii="Times New Roman" w:hAnsi="Times New Roman" w:cs="Times New Roman"/>
          <w:sz w:val="24"/>
          <w:szCs w:val="24"/>
        </w:rPr>
        <w:t>Z</w:t>
      </w:r>
      <w:r w:rsidRPr="00DD33C9">
        <w:rPr>
          <w:rFonts w:ascii="Cambria Math" w:hAnsi="Cambria Math" w:cs="Cambria Math"/>
          <w:sz w:val="24"/>
          <w:szCs w:val="24"/>
        </w:rPr>
        <w:t>∣</w:t>
      </w:r>
      <w:r w:rsidRPr="00DD33C9">
        <w:rPr>
          <w:rFonts w:ascii="Times New Roman" w:hAnsi="Times New Roman" w:cs="Times New Roman"/>
          <w:sz w:val="24"/>
          <w:szCs w:val="24"/>
          <w:vertAlign w:val="superscript"/>
        </w:rPr>
        <w:t>2</w:t>
      </w:r>
      <w:r w:rsidRPr="00DD33C9">
        <w:rPr>
          <w:rFonts w:ascii="Times New Roman" w:hAnsi="Times New Roman" w:cs="Times New Roman"/>
          <w:sz w:val="24"/>
          <w:szCs w:val="24"/>
        </w:rPr>
        <w:t>, C′′ = Z′/ω</w:t>
      </w:r>
      <w:r w:rsidRPr="00DD33C9">
        <w:rPr>
          <w:rFonts w:ascii="Cambria Math" w:hAnsi="Cambria Math" w:cs="Cambria Math"/>
          <w:sz w:val="24"/>
          <w:szCs w:val="24"/>
        </w:rPr>
        <w:t>∣</w:t>
      </w:r>
      <w:r w:rsidRPr="00DD33C9">
        <w:rPr>
          <w:rFonts w:ascii="Times New Roman" w:hAnsi="Times New Roman" w:cs="Times New Roman"/>
          <w:sz w:val="24"/>
          <w:szCs w:val="24"/>
        </w:rPr>
        <w:t>Z</w:t>
      </w:r>
      <w:r w:rsidRPr="00DD33C9">
        <w:rPr>
          <w:rFonts w:ascii="Cambria Math" w:hAnsi="Cambria Math" w:cs="Cambria Math"/>
          <w:sz w:val="24"/>
          <w:szCs w:val="24"/>
        </w:rPr>
        <w:t>∣</w:t>
      </w:r>
      <w:r w:rsidRPr="00DD33C9">
        <w:rPr>
          <w:rFonts w:ascii="Times New Roman" w:hAnsi="Times New Roman" w:cs="Times New Roman"/>
          <w:sz w:val="24"/>
          <w:szCs w:val="24"/>
          <w:vertAlign w:val="superscript"/>
        </w:rPr>
        <w:t>2</w:t>
      </w:r>
    </w:p>
    <w:p w14:paraId="4E046978" w14:textId="085D875C" w:rsidR="00D76753" w:rsidRPr="00DD33C9" w:rsidRDefault="00D76753" w:rsidP="00D76753">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t>Here, </w:t>
      </w:r>
      <w:r w:rsidRPr="00DD33C9">
        <w:rPr>
          <w:rFonts w:ascii="Cambria Math" w:hAnsi="Cambria Math" w:cs="Cambria Math"/>
          <w:sz w:val="24"/>
          <w:szCs w:val="24"/>
        </w:rPr>
        <w:t>∣</w:t>
      </w:r>
      <w:r w:rsidRPr="00DD33C9">
        <w:rPr>
          <w:rFonts w:ascii="Times New Roman" w:hAnsi="Times New Roman" w:cs="Times New Roman"/>
          <w:sz w:val="24"/>
          <w:szCs w:val="24"/>
        </w:rPr>
        <w:t>Z</w:t>
      </w:r>
      <w:r w:rsidRPr="00DD33C9">
        <w:rPr>
          <w:rFonts w:ascii="Cambria Math" w:hAnsi="Cambria Math" w:cs="Cambria Math"/>
          <w:sz w:val="24"/>
          <w:szCs w:val="24"/>
        </w:rPr>
        <w:t>∣</w:t>
      </w:r>
      <w:r w:rsidRPr="00DD33C9">
        <w:rPr>
          <w:rFonts w:ascii="Times New Roman" w:hAnsi="Times New Roman" w:cs="Times New Roman"/>
          <w:sz w:val="24"/>
          <w:szCs w:val="24"/>
        </w:rPr>
        <w:t xml:space="preserve"> = </w:t>
      </w:r>
      <m:oMath>
        <m:r>
          <w:rPr>
            <w:rFonts w:ascii="Cambria Math" w:hAnsi="Cambria Math" w:cs="Times New Roman"/>
            <w:sz w:val="24"/>
            <w:szCs w:val="24"/>
          </w:rPr>
          <m:t>√</m:t>
        </m:r>
      </m:oMath>
      <w:r w:rsidRPr="00DD33C9">
        <w:rPr>
          <w:rFonts w:ascii="Times New Roman" w:hAnsi="Times New Roman" w:cs="Times New Roman"/>
          <w:sz w:val="24"/>
          <w:szCs w:val="24"/>
        </w:rPr>
        <w:t>(Z′)</w:t>
      </w:r>
      <w:r w:rsidRPr="00DD33C9">
        <w:rPr>
          <w:rFonts w:ascii="Times New Roman" w:hAnsi="Times New Roman" w:cs="Times New Roman"/>
          <w:sz w:val="24"/>
          <w:szCs w:val="24"/>
          <w:vertAlign w:val="superscript"/>
        </w:rPr>
        <w:t>2</w:t>
      </w:r>
      <w:r w:rsidRPr="00DD33C9">
        <w:rPr>
          <w:rFonts w:ascii="Times New Roman" w:hAnsi="Times New Roman" w:cs="Times New Roman"/>
          <w:sz w:val="24"/>
          <w:szCs w:val="24"/>
        </w:rPr>
        <w:t>+(Z′′)</w:t>
      </w:r>
      <w:r w:rsidRPr="00DD33C9">
        <w:rPr>
          <w:rFonts w:ascii="Times New Roman" w:hAnsi="Times New Roman" w:cs="Times New Roman"/>
          <w:sz w:val="24"/>
          <w:szCs w:val="24"/>
          <w:vertAlign w:val="superscript"/>
        </w:rPr>
        <w:t>2</w:t>
      </w:r>
      <w:r w:rsidRPr="00DD33C9">
        <w:rPr>
          <w:rFonts w:ascii="Times New Roman" w:hAnsi="Times New Roman" w:cs="Times New Roman"/>
          <w:sz w:val="24"/>
          <w:szCs w:val="24"/>
        </w:rPr>
        <w:t xml:space="preserve"> is the impedance magnitude </w:t>
      </w:r>
      <w:r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ADDIN CSL_CITATION {"citationItems":[{"id":"ITEM-1","itemData":{"DOI":"10.1016/j.jechem.2024.03.022","ISSN":"20954956","abstract":"Exploring suitable high-capacity V2O5-based cathode materials is essential for the rapid advancement of aqueous zinc ion batteries (ZIBs). However, the typical problem of slow Zn2+ diffusion kinetics has severely limited the feasibility of such materials. In this work, unique hydrated vanadates (CaVO, BaVO) were obtained by intercalation of Ca2+ or Ba2+ into hydrated vanadium pentoxide. In the CaVO//Zn and BaVO//Zn batteries systems, the former delivered up to a 489.8 mAh g−1 discharge specific capacity at 0.1 A g−1. Moreover, the remarkable energy density of 370.07 Wh kg−1 and favorable cycling stability yard outperform BaVO, pure V2O5, and many reported cathodes of similar ionic intercalation compounds. In addition, pseudocapacitance analysis, galvanostatic intermittent titration (GITT) tests, and Trasatti analysis revealed the high capacitance contribution and Zn2+ diffusion coefficient of CaVO, while an in-depth investigation based on EIS elucidated the reasons for the better electrochemical performance of CaVO. Notably, ex-situ XRD, XPS, and TEM tests further demonstrated the Zn2+ insertion/extraction and Zn-storage mechanism that occurred during the cycle in the CaVO//Zn battery system. This work provides new insights into the intercalation of similar divalent cations in vanadium oxides and offers new solutions for designing cathodes for high-capacity aqueous ZIBs.","author":[{"dropping-particle":"","family":"Zhou","given":"Tao","non-dropping-particle":"","parse-names":false,"suffix":""},{"dropping-particle":"","family":"Du","given":"Xuan","non-dropping-particle":"","parse-names":false,"suffix":""},{"dropping-particle":"","family":"Gao","given":"Guo","non-dropping-particle":"","parse-names":false,"suffix":""}],"container-title":"Journal of Energy Chemistry","id":"ITEM-1","issued":{"date-parts":[["2024","8","1"]]},"page":"9-19","publisher":"Elsevier","title":"Revealing the role of calcium ion intercalation of hydrated vanadium oxides for aqueous zinc-ion batteries","type":"article-journal","volume":"95"},"uris":["http://www.mendeley.com/documents/?uuid=7259f4fd-4969-3604-a45a-d81eda9fe175"]}],"mendeley":{"formattedCitation":"[7]","plainTextFormattedCitation":"[7]","previouslyFormattedCitation":"[7]"},"properties":{"noteIndex":0},"schema":"https://github.com/citation-style-language/schema/raw/master/csl-citation.json"}</w:instrText>
      </w:r>
      <w:r w:rsidRPr="00DD33C9">
        <w:rPr>
          <w:rFonts w:ascii="Times New Roman" w:hAnsi="Times New Roman" w:cs="Times New Roman"/>
          <w:sz w:val="24"/>
          <w:szCs w:val="24"/>
        </w:rPr>
        <w:fldChar w:fldCharType="separate"/>
      </w:r>
      <w:r w:rsidR="005114AD" w:rsidRPr="00C45123">
        <w:rPr>
          <w:rFonts w:ascii="Times New Roman" w:hAnsi="Times New Roman" w:cs="Times New Roman"/>
          <w:noProof/>
          <w:sz w:val="24"/>
          <w:szCs w:val="24"/>
        </w:rPr>
        <w:t>[7]</w:t>
      </w:r>
      <w:r w:rsidRPr="00DD33C9">
        <w:rPr>
          <w:rFonts w:ascii="Times New Roman" w:hAnsi="Times New Roman" w:cs="Times New Roman"/>
          <w:sz w:val="24"/>
          <w:szCs w:val="24"/>
        </w:rPr>
        <w:fldChar w:fldCharType="end"/>
      </w:r>
    </w:p>
    <w:p w14:paraId="4F40BC6D" w14:textId="77777777" w:rsidR="00D76753" w:rsidRPr="00DD33C9" w:rsidRDefault="00D76753" w:rsidP="003A5050">
      <w:pPr>
        <w:spacing w:line="480" w:lineRule="auto"/>
        <w:jc w:val="both"/>
        <w:rPr>
          <w:rFonts w:ascii="Times New Roman" w:hAnsi="Times New Roman" w:cs="Times New Roman"/>
          <w:sz w:val="24"/>
          <w:szCs w:val="24"/>
        </w:rPr>
      </w:pPr>
    </w:p>
    <w:p w14:paraId="07A18075" w14:textId="77777777" w:rsidR="005114AD" w:rsidRPr="00DD33C9" w:rsidRDefault="005114AD" w:rsidP="003A5050">
      <w:pPr>
        <w:spacing w:line="480" w:lineRule="auto"/>
        <w:jc w:val="both"/>
        <w:rPr>
          <w:rFonts w:ascii="Times New Roman" w:hAnsi="Times New Roman" w:cs="Times New Roman"/>
          <w:sz w:val="24"/>
          <w:szCs w:val="24"/>
        </w:rPr>
      </w:pPr>
    </w:p>
    <w:p w14:paraId="2B34BE3F" w14:textId="77777777" w:rsidR="005114AD" w:rsidRPr="00DD33C9" w:rsidRDefault="005114AD" w:rsidP="003A5050">
      <w:pPr>
        <w:spacing w:line="480" w:lineRule="auto"/>
        <w:jc w:val="both"/>
        <w:rPr>
          <w:rFonts w:ascii="Times New Roman" w:hAnsi="Times New Roman" w:cs="Times New Roman"/>
          <w:sz w:val="24"/>
          <w:szCs w:val="24"/>
        </w:rPr>
      </w:pPr>
    </w:p>
    <w:p w14:paraId="10096B71" w14:textId="28A54BD1" w:rsidR="002847ED" w:rsidRPr="00DD33C9" w:rsidRDefault="002847ED" w:rsidP="002847ED">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lastRenderedPageBreak/>
        <w:t>Table S1</w:t>
      </w:r>
      <w:r w:rsidRPr="00DD33C9">
        <w:rPr>
          <w:rFonts w:ascii="Times New Roman" w:hAnsi="Times New Roman" w:cs="Times New Roman"/>
          <w:b/>
          <w:sz w:val="24"/>
          <w:szCs w:val="24"/>
        </w:rPr>
        <w:t>.</w:t>
      </w:r>
      <w:r w:rsidRPr="00DD33C9">
        <w:rPr>
          <w:rFonts w:ascii="Times New Roman" w:hAnsi="Times New Roman" w:cs="Times New Roman"/>
          <w:sz w:val="24"/>
          <w:szCs w:val="24"/>
        </w:rPr>
        <w:t xml:space="preserve"> Summary of electrochemical performance metrics for </w:t>
      </w:r>
      <w:r w:rsidR="006B7539" w:rsidRPr="00DD33C9">
        <w:rPr>
          <w:rFonts w:ascii="Times New Roman" w:hAnsi="Times New Roman" w:cs="Times New Roman"/>
          <w:sz w:val="24"/>
          <w:szCs w:val="24"/>
        </w:rPr>
        <w:t xml:space="preserve">HH–CsVO/VO </w:t>
      </w:r>
      <w:r w:rsidRPr="00DD33C9">
        <w:rPr>
          <w:rFonts w:ascii="Times New Roman" w:hAnsi="Times New Roman" w:cs="Times New Roman"/>
          <w:sz w:val="24"/>
          <w:szCs w:val="24"/>
        </w:rPr>
        <w:t xml:space="preserve">and literature-reported </w:t>
      </w:r>
      <w:r w:rsidR="00B62327" w:rsidRPr="00DD33C9">
        <w:rPr>
          <w:rFonts w:ascii="Times New Roman" w:hAnsi="Times New Roman" w:cs="Times New Roman"/>
          <w:sz w:val="24"/>
          <w:szCs w:val="24"/>
        </w:rPr>
        <w:t>V</w:t>
      </w:r>
      <w:r w:rsidRPr="00DD33C9">
        <w:rPr>
          <w:rFonts w:ascii="Times New Roman" w:hAnsi="Times New Roman" w:cs="Times New Roman"/>
          <w:sz w:val="24"/>
          <w:szCs w:val="24"/>
        </w:rPr>
        <w:t>-based ZIB cathodes.</w:t>
      </w:r>
    </w:p>
    <w:tbl>
      <w:tblPr>
        <w:tblW w:w="0" w:type="auto"/>
        <w:tblLook w:val="04A0" w:firstRow="1" w:lastRow="0" w:firstColumn="1" w:lastColumn="0" w:noHBand="0" w:noVBand="1"/>
      </w:tblPr>
      <w:tblGrid>
        <w:gridCol w:w="2183"/>
        <w:gridCol w:w="1459"/>
        <w:gridCol w:w="1136"/>
        <w:gridCol w:w="1743"/>
        <w:gridCol w:w="1843"/>
        <w:gridCol w:w="992"/>
      </w:tblGrid>
      <w:tr w:rsidR="00DD33C9" w:rsidRPr="00DD33C9" w14:paraId="375801F5" w14:textId="77777777" w:rsidTr="008E3321">
        <w:tc>
          <w:tcPr>
            <w:tcW w:w="2183" w:type="dxa"/>
            <w:tcBorders>
              <w:top w:val="single" w:sz="4" w:space="0" w:color="auto"/>
              <w:bottom w:val="single" w:sz="4" w:space="0" w:color="auto"/>
            </w:tcBorders>
          </w:tcPr>
          <w:p w14:paraId="546B92C2" w14:textId="77777777" w:rsidR="002847ED" w:rsidRPr="00DD33C9" w:rsidRDefault="002847ED" w:rsidP="00B62327">
            <w:pPr>
              <w:jc w:val="center"/>
              <w:rPr>
                <w:rFonts w:ascii="Times New Roman" w:hAnsi="Times New Roman" w:cs="Times New Roman"/>
                <w:b/>
                <w:bCs/>
                <w:sz w:val="24"/>
                <w:szCs w:val="24"/>
              </w:rPr>
            </w:pPr>
            <w:r w:rsidRPr="00DD33C9">
              <w:rPr>
                <w:rFonts w:ascii="Times New Roman" w:hAnsi="Times New Roman" w:cs="Times New Roman"/>
                <w:b/>
                <w:bCs/>
                <w:sz w:val="24"/>
                <w:szCs w:val="24"/>
              </w:rPr>
              <w:t>Cathode Material</w:t>
            </w:r>
          </w:p>
        </w:tc>
        <w:tc>
          <w:tcPr>
            <w:tcW w:w="1459" w:type="dxa"/>
            <w:tcBorders>
              <w:top w:val="single" w:sz="4" w:space="0" w:color="auto"/>
              <w:bottom w:val="single" w:sz="4" w:space="0" w:color="auto"/>
            </w:tcBorders>
          </w:tcPr>
          <w:p w14:paraId="3DEA0BF8" w14:textId="77777777" w:rsidR="002847ED" w:rsidRPr="00DD33C9" w:rsidRDefault="002847ED" w:rsidP="00B62327">
            <w:pPr>
              <w:jc w:val="center"/>
              <w:rPr>
                <w:rFonts w:ascii="Times New Roman" w:hAnsi="Times New Roman" w:cs="Times New Roman"/>
                <w:b/>
                <w:bCs/>
                <w:sz w:val="24"/>
                <w:szCs w:val="24"/>
              </w:rPr>
            </w:pPr>
            <w:r w:rsidRPr="00DD33C9">
              <w:rPr>
                <w:rFonts w:ascii="Times New Roman" w:hAnsi="Times New Roman" w:cs="Times New Roman"/>
                <w:b/>
                <w:bCs/>
                <w:sz w:val="24"/>
                <w:szCs w:val="24"/>
              </w:rPr>
              <w:t>Electrolyte</w:t>
            </w:r>
          </w:p>
        </w:tc>
        <w:tc>
          <w:tcPr>
            <w:tcW w:w="1136" w:type="dxa"/>
            <w:tcBorders>
              <w:top w:val="single" w:sz="4" w:space="0" w:color="auto"/>
              <w:bottom w:val="single" w:sz="4" w:space="0" w:color="auto"/>
            </w:tcBorders>
          </w:tcPr>
          <w:p w14:paraId="56DA0DB9" w14:textId="77777777" w:rsidR="002847ED" w:rsidRPr="00DD33C9" w:rsidRDefault="002847ED" w:rsidP="00B62327">
            <w:pPr>
              <w:jc w:val="center"/>
              <w:rPr>
                <w:rFonts w:ascii="Times New Roman" w:hAnsi="Times New Roman" w:cs="Times New Roman"/>
                <w:b/>
                <w:bCs/>
                <w:sz w:val="24"/>
                <w:szCs w:val="24"/>
              </w:rPr>
            </w:pPr>
            <w:r w:rsidRPr="00DD33C9">
              <w:rPr>
                <w:rFonts w:ascii="Times New Roman" w:hAnsi="Times New Roman" w:cs="Times New Roman"/>
                <w:b/>
                <w:bCs/>
                <w:sz w:val="24"/>
                <w:szCs w:val="24"/>
              </w:rPr>
              <w:t>Capacity (mAh g⁻¹)</w:t>
            </w:r>
          </w:p>
        </w:tc>
        <w:tc>
          <w:tcPr>
            <w:tcW w:w="1743" w:type="dxa"/>
            <w:tcBorders>
              <w:top w:val="single" w:sz="4" w:space="0" w:color="auto"/>
              <w:bottom w:val="single" w:sz="4" w:space="0" w:color="auto"/>
            </w:tcBorders>
          </w:tcPr>
          <w:p w14:paraId="064D49E1" w14:textId="685A5EC6" w:rsidR="002847ED" w:rsidRPr="00DD33C9" w:rsidRDefault="002847ED" w:rsidP="00B62327">
            <w:pPr>
              <w:jc w:val="center"/>
              <w:rPr>
                <w:rFonts w:ascii="Times New Roman" w:hAnsi="Times New Roman" w:cs="Times New Roman"/>
                <w:b/>
                <w:bCs/>
                <w:sz w:val="24"/>
                <w:szCs w:val="24"/>
              </w:rPr>
            </w:pPr>
            <w:r w:rsidRPr="00DD33C9">
              <w:rPr>
                <w:rFonts w:ascii="Times New Roman" w:hAnsi="Times New Roman" w:cs="Times New Roman"/>
                <w:b/>
                <w:bCs/>
                <w:sz w:val="24"/>
                <w:szCs w:val="24"/>
              </w:rPr>
              <w:t>Synthesis</w:t>
            </w:r>
          </w:p>
        </w:tc>
        <w:tc>
          <w:tcPr>
            <w:tcW w:w="1843" w:type="dxa"/>
            <w:tcBorders>
              <w:top w:val="single" w:sz="4" w:space="0" w:color="auto"/>
              <w:bottom w:val="single" w:sz="4" w:space="0" w:color="auto"/>
            </w:tcBorders>
          </w:tcPr>
          <w:p w14:paraId="5E17DDC8" w14:textId="77777777" w:rsidR="002847ED" w:rsidRPr="00DD33C9" w:rsidRDefault="002847ED" w:rsidP="00B62327">
            <w:pPr>
              <w:jc w:val="center"/>
              <w:rPr>
                <w:rFonts w:ascii="Times New Roman" w:hAnsi="Times New Roman" w:cs="Times New Roman"/>
                <w:b/>
                <w:bCs/>
                <w:sz w:val="24"/>
                <w:szCs w:val="24"/>
              </w:rPr>
            </w:pPr>
            <w:r w:rsidRPr="00DD33C9">
              <w:rPr>
                <w:rFonts w:ascii="Times New Roman" w:hAnsi="Times New Roman" w:cs="Times New Roman"/>
                <w:b/>
                <w:bCs/>
                <w:sz w:val="24"/>
                <w:szCs w:val="24"/>
              </w:rPr>
              <w:t>Key Features</w:t>
            </w:r>
          </w:p>
        </w:tc>
        <w:tc>
          <w:tcPr>
            <w:tcW w:w="992" w:type="dxa"/>
            <w:tcBorders>
              <w:top w:val="single" w:sz="4" w:space="0" w:color="auto"/>
              <w:bottom w:val="single" w:sz="4" w:space="0" w:color="auto"/>
            </w:tcBorders>
          </w:tcPr>
          <w:p w14:paraId="54A41F77" w14:textId="77777777" w:rsidR="002847ED" w:rsidRPr="00DD33C9" w:rsidRDefault="002847ED" w:rsidP="00B62327">
            <w:pPr>
              <w:jc w:val="center"/>
              <w:rPr>
                <w:rFonts w:ascii="Times New Roman" w:hAnsi="Times New Roman" w:cs="Times New Roman"/>
                <w:b/>
                <w:bCs/>
                <w:sz w:val="24"/>
                <w:szCs w:val="24"/>
              </w:rPr>
            </w:pPr>
            <w:r w:rsidRPr="00DD33C9">
              <w:rPr>
                <w:rFonts w:ascii="Times New Roman" w:hAnsi="Times New Roman" w:cs="Times New Roman"/>
                <w:b/>
                <w:bCs/>
                <w:sz w:val="24"/>
                <w:szCs w:val="24"/>
              </w:rPr>
              <w:t>Ref.</w:t>
            </w:r>
          </w:p>
        </w:tc>
      </w:tr>
      <w:tr w:rsidR="00DD33C9" w:rsidRPr="00DD33C9" w14:paraId="1BD5CA95" w14:textId="77777777" w:rsidTr="008E3321">
        <w:tc>
          <w:tcPr>
            <w:tcW w:w="2183" w:type="dxa"/>
            <w:tcBorders>
              <w:top w:val="single" w:sz="4" w:space="0" w:color="auto"/>
            </w:tcBorders>
          </w:tcPr>
          <w:p w14:paraId="464FD2CB" w14:textId="6DF2C791"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Mg</w:t>
            </w:r>
            <w:r w:rsidRPr="00DD33C9">
              <w:rPr>
                <w:rFonts w:ascii="Times New Roman" w:hAnsi="Times New Roman" w:cs="Times New Roman"/>
                <w:sz w:val="24"/>
                <w:szCs w:val="24"/>
                <w:vertAlign w:val="superscript"/>
              </w:rPr>
              <w:t>2+</w:t>
            </w:r>
            <w:r w:rsidRPr="00DD33C9">
              <w:rPr>
                <w:rFonts w:ascii="Times New Roman" w:hAnsi="Times New Roman" w:cs="Times New Roman"/>
                <w:sz w:val="24"/>
                <w:szCs w:val="24"/>
              </w:rPr>
              <w:t xml:space="preserve"> doped NH</w:t>
            </w:r>
            <w:r w:rsidRPr="00DD33C9">
              <w:rPr>
                <w:rFonts w:ascii="Times New Roman" w:hAnsi="Times New Roman" w:cs="Times New Roman"/>
                <w:sz w:val="24"/>
                <w:szCs w:val="24"/>
                <w:vertAlign w:val="subscript"/>
              </w:rPr>
              <w:t>4</w:t>
            </w:r>
            <w:r w:rsidRPr="00DD33C9">
              <w:rPr>
                <w:rFonts w:ascii="Times New Roman" w:hAnsi="Times New Roman" w:cs="Times New Roman"/>
                <w:sz w:val="24"/>
                <w:szCs w:val="24"/>
              </w:rPr>
              <w:t>V</w:t>
            </w:r>
            <w:r w:rsidRPr="00DD33C9">
              <w:rPr>
                <w:rFonts w:ascii="Times New Roman" w:hAnsi="Times New Roman" w:cs="Times New Roman"/>
                <w:sz w:val="24"/>
                <w:szCs w:val="24"/>
                <w:vertAlign w:val="subscript"/>
              </w:rPr>
              <w:t>4</w:t>
            </w:r>
            <w:r w:rsidRPr="00DD33C9">
              <w:rPr>
                <w:rFonts w:ascii="Times New Roman" w:hAnsi="Times New Roman" w:cs="Times New Roman"/>
                <w:sz w:val="24"/>
                <w:szCs w:val="24"/>
              </w:rPr>
              <w:t>O</w:t>
            </w:r>
            <w:r w:rsidRPr="00DD33C9">
              <w:rPr>
                <w:rFonts w:ascii="Times New Roman" w:hAnsi="Times New Roman" w:cs="Times New Roman"/>
                <w:sz w:val="24"/>
                <w:szCs w:val="24"/>
                <w:vertAlign w:val="subscript"/>
              </w:rPr>
              <w:t>10</w:t>
            </w:r>
          </w:p>
        </w:tc>
        <w:tc>
          <w:tcPr>
            <w:tcW w:w="1459" w:type="dxa"/>
            <w:tcBorders>
              <w:top w:val="single" w:sz="4" w:space="0" w:color="auto"/>
            </w:tcBorders>
          </w:tcPr>
          <w:p w14:paraId="7F5697D3"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3 M Zn (CF</w:t>
            </w:r>
            <w:r w:rsidRPr="00DD33C9">
              <w:rPr>
                <w:rFonts w:ascii="Times New Roman" w:hAnsi="Times New Roman" w:cs="Times New Roman"/>
                <w:sz w:val="24"/>
                <w:szCs w:val="24"/>
                <w:vertAlign w:val="subscript"/>
              </w:rPr>
              <w:t>3</w:t>
            </w:r>
            <w:r w:rsidRPr="00DD33C9">
              <w:rPr>
                <w:rFonts w:ascii="Times New Roman" w:hAnsi="Times New Roman" w:cs="Times New Roman"/>
                <w:sz w:val="24"/>
                <w:szCs w:val="24"/>
              </w:rPr>
              <w:t>SO</w:t>
            </w:r>
            <w:r w:rsidRPr="00DD33C9">
              <w:rPr>
                <w:rFonts w:ascii="Times New Roman" w:hAnsi="Times New Roman" w:cs="Times New Roman"/>
                <w:sz w:val="24"/>
                <w:szCs w:val="24"/>
                <w:vertAlign w:val="subscript"/>
              </w:rPr>
              <w:t>3</w:t>
            </w:r>
            <w:r w:rsidRPr="00DD33C9">
              <w:rPr>
                <w:rFonts w:ascii="Times New Roman" w:hAnsi="Times New Roman" w:cs="Times New Roman"/>
                <w:sz w:val="24"/>
                <w:szCs w:val="24"/>
              </w:rPr>
              <w:t>)</w:t>
            </w:r>
            <w:r w:rsidRPr="00DD33C9">
              <w:rPr>
                <w:rFonts w:ascii="Times New Roman" w:hAnsi="Times New Roman" w:cs="Times New Roman"/>
                <w:sz w:val="24"/>
                <w:szCs w:val="24"/>
                <w:vertAlign w:val="subscript"/>
              </w:rPr>
              <w:t>2</w:t>
            </w:r>
          </w:p>
        </w:tc>
        <w:tc>
          <w:tcPr>
            <w:tcW w:w="1136" w:type="dxa"/>
            <w:tcBorders>
              <w:top w:val="single" w:sz="4" w:space="0" w:color="auto"/>
            </w:tcBorders>
          </w:tcPr>
          <w:p w14:paraId="380B70F0" w14:textId="15DEE643"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296 @ 0.5 A g</w:t>
            </w:r>
            <w:r w:rsidRPr="00DD33C9">
              <w:rPr>
                <w:rFonts w:ascii="Times New Roman" w:hAnsi="Times New Roman" w:cs="Times New Roman"/>
                <w:sz w:val="24"/>
                <w:szCs w:val="24"/>
                <w:vertAlign w:val="superscript"/>
              </w:rPr>
              <w:t>-1</w:t>
            </w:r>
          </w:p>
        </w:tc>
        <w:tc>
          <w:tcPr>
            <w:tcW w:w="1743" w:type="dxa"/>
            <w:tcBorders>
              <w:top w:val="single" w:sz="4" w:space="0" w:color="auto"/>
            </w:tcBorders>
          </w:tcPr>
          <w:p w14:paraId="29F8879F"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Hydrothermal</w:t>
            </w:r>
          </w:p>
        </w:tc>
        <w:tc>
          <w:tcPr>
            <w:tcW w:w="1843" w:type="dxa"/>
            <w:tcBorders>
              <w:top w:val="single" w:sz="4" w:space="0" w:color="auto"/>
            </w:tcBorders>
          </w:tcPr>
          <w:p w14:paraId="3E77AFD6"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Mg-stabilized layered structure</w:t>
            </w:r>
          </w:p>
        </w:tc>
        <w:tc>
          <w:tcPr>
            <w:tcW w:w="992" w:type="dxa"/>
            <w:tcBorders>
              <w:top w:val="single" w:sz="4" w:space="0" w:color="auto"/>
            </w:tcBorders>
          </w:tcPr>
          <w:p w14:paraId="10A16CC0" w14:textId="1E62AD41"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ADDIN CSL_CITATION {"citationItems":[{"id":"ITEM-1","itemData":{"DOI":"10.1002/adfm.202306205","ISSN":"16163028","abstract":"Layered ammonium vanadate materials exhibit significant mass-specific capacity and ion transport rate due to their small molecular weight and large ionic radius. However, the strong electrostatic interactions of Zn2+ and V–O bonds and the fragile ionic bonding of N-H…O bonds hinder their development. Therefore, this work reports Mg2+ doping NH4V4O10 materials accompanied by flower-like morphology to lower the migration energy barrier and inhibit amine dissolution. Owing to the 3D-flower-like morphology and the combined impact of Mg2+ and structural water, the binding of Zn2+…V-O is significantly enhanced and additional ion channels were constructed. Pre-intercalated Mg2+ enhances the structural integrity and prevents irreversible deammoniation from obtaining excellent cyclic stability. Density functional theory (DFT) calculations show that MNVO provides a smoother Zn2+ diffusion path with a lower migration barrier. Benefited from these advantages, the MNVO cathode exhibits a high specific capacity of 410 mAh g−1 at 0.1 A g−1, satisfactory cyclic stability (90.2 % capacity retention at 10 A g−1 after 5000 cycles), and capable rate ability (118 mAh g−1 at 25 A g−1) within 0.4-1.5 V. Furthermore, the zinc ion storage mechanism in the MNVO cathode is investigated through multiple analyses.","author":[{"dropping-particle":"","family":"Wang","given":"Xuri","non-dropping-particle":"","parse-names":false,"suffix":""},{"dropping-particle":"","family":"Wang","given":"Yinglei","non-dropping-particle":"","parse-names":false,"suffix":""},{"dropping-particle":"","family":"Naveed","given":"Ahmad","non-dropping-particle":"","parse-names":false,"suffix":""},{"dropping-particle":"","family":"Li","given":"Guotai","non-dropping-particle":"","parse-names":false,"suffix":""},{"dropping-particle":"","family":"Zhang","given":"Hanwei","non-dropping-particle":"","parse-names":false,"suffix":""},{"dropping-particle":"","family":"Zhou","given":"Yu","non-dropping-particle":"","parse-names":false,"suffix":""},{"dropping-particle":"","family":"Dou","given":"Aichun","non-dropping-particle":"","parse-names":false,"suffix":""},{"dropping-particle":"","family":"Su","given":"Mingru","non-dropping-particle":"","parse-names":false,"suffix":""},{"dropping-particle":"","family":"Liu","given":"Yunjian","non-dropping-particle":"","parse-names":false,"suffix":""},{"dropping-particle":"","family":"Guo","given":"Ruiqiang","non-dropping-particle":"","parse-names":false,"suffix":""},{"dropping-particle":"","family":"Li","given":"Cheng Chao","non-dropping-particle":"","parse-names":false,"suffix":""}],"container-title":"Advanced Functional Materials","id":"ITEM-1","issue":"48","issued":{"date-parts":[["2023"]]},"page":"1-10","title":"Magnesium Ion Doping and Micro-Structural Engineering Assist NH4V4O10 as a High-Performance Aqueous Zinc Ion Battery Cathode","type":"article-journal","volume":"33"},"uris":["http://www.mendeley.com/documents/?uuid=3f3ee0a4-7848-4202-9292-f473ab83c167"]}],"mendeley":{"formattedCitation":"[8]","plainTextFormattedCitation":"[8]","previouslyFormattedCitation":"[8]"},"properties":{"noteIndex":0},"schema":"https://github.com/citation-style-language/schema/raw/master/csl-citation.json"}</w:instrText>
            </w:r>
            <w:r w:rsidRPr="00DD33C9">
              <w:rPr>
                <w:rFonts w:ascii="Times New Roman" w:hAnsi="Times New Roman" w:cs="Times New Roman"/>
                <w:sz w:val="24"/>
                <w:szCs w:val="24"/>
              </w:rPr>
              <w:fldChar w:fldCharType="separate"/>
            </w:r>
            <w:r w:rsidR="002470E5" w:rsidRPr="00C45123">
              <w:rPr>
                <w:rFonts w:ascii="Times New Roman" w:hAnsi="Times New Roman" w:cs="Times New Roman"/>
                <w:noProof/>
                <w:sz w:val="24"/>
                <w:szCs w:val="24"/>
              </w:rPr>
              <w:t>[8]</w:t>
            </w:r>
            <w:r w:rsidRPr="00DD33C9">
              <w:rPr>
                <w:rFonts w:ascii="Times New Roman" w:hAnsi="Times New Roman" w:cs="Times New Roman"/>
                <w:sz w:val="24"/>
                <w:szCs w:val="24"/>
              </w:rPr>
              <w:fldChar w:fldCharType="end"/>
            </w:r>
          </w:p>
        </w:tc>
      </w:tr>
      <w:tr w:rsidR="00DD33C9" w:rsidRPr="00DD33C9" w14:paraId="1A1D02EF" w14:textId="77777777" w:rsidTr="008E3321">
        <w:tc>
          <w:tcPr>
            <w:tcW w:w="2183" w:type="dxa"/>
          </w:tcPr>
          <w:p w14:paraId="73C97EE2"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Zn</w:t>
            </w:r>
            <w:r w:rsidRPr="00DD33C9">
              <w:rPr>
                <w:rFonts w:ascii="Times New Roman" w:hAnsi="Times New Roman" w:cs="Times New Roman"/>
                <w:sz w:val="24"/>
                <w:szCs w:val="24"/>
                <w:vertAlign w:val="subscript"/>
              </w:rPr>
              <w:t>0.36</w:t>
            </w:r>
            <w:r w:rsidRPr="00DD33C9">
              <w:rPr>
                <w:rFonts w:ascii="Times New Roman" w:hAnsi="Times New Roman" w:cs="Times New Roman"/>
                <w:sz w:val="24"/>
                <w:szCs w:val="24"/>
              </w:rPr>
              <w:t>V</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O</w:t>
            </w:r>
            <w:r w:rsidRPr="00DD33C9">
              <w:rPr>
                <w:rFonts w:ascii="Times New Roman" w:hAnsi="Times New Roman" w:cs="Times New Roman"/>
                <w:sz w:val="24"/>
                <w:szCs w:val="24"/>
                <w:vertAlign w:val="subscript"/>
              </w:rPr>
              <w:t>5</w:t>
            </w:r>
            <w:r w:rsidRPr="00DD33C9">
              <w:rPr>
                <w:rFonts w:ascii="Times New Roman" w:hAnsi="Times New Roman" w:cs="Times New Roman"/>
                <w:sz w:val="24"/>
                <w:szCs w:val="24"/>
              </w:rPr>
              <w:t>·nH</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O</w:t>
            </w:r>
          </w:p>
        </w:tc>
        <w:tc>
          <w:tcPr>
            <w:tcW w:w="1459" w:type="dxa"/>
          </w:tcPr>
          <w:p w14:paraId="14158C41"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 xml:space="preserve">3 M </w:t>
            </w:r>
            <w:proofErr w:type="gramStart"/>
            <w:r w:rsidRPr="00DD33C9">
              <w:rPr>
                <w:rFonts w:ascii="Times New Roman" w:hAnsi="Times New Roman" w:cs="Times New Roman"/>
                <w:sz w:val="24"/>
                <w:szCs w:val="24"/>
              </w:rPr>
              <w:t>Zn(</w:t>
            </w:r>
            <w:proofErr w:type="gramEnd"/>
            <w:r w:rsidRPr="00DD33C9">
              <w:rPr>
                <w:rFonts w:ascii="Times New Roman" w:hAnsi="Times New Roman" w:cs="Times New Roman"/>
                <w:sz w:val="24"/>
                <w:szCs w:val="24"/>
              </w:rPr>
              <w:t>CF₃SO</w:t>
            </w:r>
            <w:proofErr w:type="gramStart"/>
            <w:r w:rsidRPr="00DD33C9">
              <w:rPr>
                <w:rFonts w:ascii="Times New Roman" w:hAnsi="Times New Roman" w:cs="Times New Roman"/>
                <w:sz w:val="24"/>
                <w:szCs w:val="24"/>
              </w:rPr>
              <w:t>₃)₂</w:t>
            </w:r>
            <w:proofErr w:type="gramEnd"/>
          </w:p>
        </w:tc>
        <w:tc>
          <w:tcPr>
            <w:tcW w:w="1136" w:type="dxa"/>
          </w:tcPr>
          <w:p w14:paraId="19B25FAD"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457@ 0.5 A g</w:t>
            </w:r>
            <w:r w:rsidRPr="00DD33C9">
              <w:rPr>
                <w:rFonts w:ascii="Times New Roman" w:hAnsi="Times New Roman" w:cs="Times New Roman"/>
                <w:sz w:val="24"/>
                <w:szCs w:val="24"/>
                <w:vertAlign w:val="superscript"/>
              </w:rPr>
              <w:t>-1</w:t>
            </w:r>
          </w:p>
        </w:tc>
        <w:tc>
          <w:tcPr>
            <w:tcW w:w="1743" w:type="dxa"/>
          </w:tcPr>
          <w:p w14:paraId="6B0D1CF4"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Hydrothermal</w:t>
            </w:r>
          </w:p>
        </w:tc>
        <w:tc>
          <w:tcPr>
            <w:tcW w:w="1843" w:type="dxa"/>
          </w:tcPr>
          <w:p w14:paraId="711CA3D0"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In-situ electrochemical oxidation</w:t>
            </w:r>
          </w:p>
        </w:tc>
        <w:tc>
          <w:tcPr>
            <w:tcW w:w="992" w:type="dxa"/>
          </w:tcPr>
          <w:p w14:paraId="72C56768" w14:textId="0749864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ADDIN CSL_CITATION {"citationItems":[{"id":"ITEM-1","itemData":{"DOI":"10.1016/j.cej.2022.136714","ISSN":"13858947","abstract":"The rechargeable aqueous zinc ion batteries hold great promise owing to their non-flammability and low cost, but are extremely limited by the lack of suitable cathode materials. Vanadium oxides such as V2O5·nH2O, Zn0.25V2O5·nH2O, Ca0.24V2O5·0.83H2O, and so on have been exploited owing to their high Zn2+ storage activity. However, due to the structural disintegration because of the impact of Zn2+ transportation and poor conductivity, their low capacity, poor cyclability and rate property hinder further utilization. Herein, we report the stable zinc vanadium oxides Zn0.36V2O5·nH2O as cathode material for zinc-ion batteries. The zinc vanadium oxides with different stoichiometry converted from in-situ electrochemical oxidation of VOOH precursors in various space groups. The introduction of zinc atoms improves the conductivity of the materials and stabilizes the host structure by bonding with the host oxygen atoms without hindering the interlayer migration of mobile Zn2+, thus greatly optimizing the comprehensive behaviors of the batteries. Ex-situ XRD spectra collected at various states show no shift during (dis)charging and the electrode morphology under different cycles remains intact, indicating the high reversibility and stability. The as-prepared Zn0.36V2O5·nH2O presents a high specific capacity of 508.3 mAh g−1 and 343 mAh g−1 at current densities of 0.5 A g−1 and 5.0 A g−1, and excellent capacity retention of 95% and 80% after 2000 and 5000 cycles respectively. The role of interlayer intercalated-Zn on the stability of vanadium oxides is revealed via density functional theory simulations. In addition, materials with low crystallinity provide shortcuts for ion transportation. The in-situ conversion mechanism of zinc vanadium oxides and the later dual ion energy storage mechanism of which are illustrated in detail.","author":[{"dropping-particle":"","family":"Zhang","given":"Xi","non-dropping-particle":"","parse-names":false,"suffix":""},{"dropping-particle":"","family":"Xue","given":"Fei","non-dropping-particle":"","parse-names":false,"suffix":""},{"dropping-particle":"","family":"Sun","given":"Xiaohong","non-dropping-particle":"","parse-names":false,"suffix":""},{"dropping-particle":"","family":"Hou","given":"Tianyi","non-dropping-particle":"","parse-names":false,"suffix":""},{"dropping-particle":"","family":"Xu","given":"Zhongkai","non-dropping-particle":"","parse-names":false,"suffix":""},{"dropping-particle":"","family":"Na","given":"Ying","non-dropping-particle":"","parse-names":false,"suffix":""},{"dropping-particle":"","family":"An","given":"Qi","non-dropping-particle":"","parse-names":false,"suffix":""},{"dropping-particle":"","family":"Chen","given":"Zhe","non-dropping-particle":"","parse-names":false,"suffix":""},{"dropping-particle":"","family":"Cai","given":"Shu","non-dropping-particle":"","parse-names":false,"suffix":""},{"dropping-particle":"","family":"Zheng","given":"Chunming","non-dropping-particle":"","parse-names":false,"suffix":""}],"container-title":"Chemical Engineering Journal","id":"ITEM-1","issue":"April","issued":{"date-parts":[["2022"]]},"title":"High-capacity zinc vanadium oxides with long-term cyclability enabled by in-situ electrochemical oxidation as zinc-ion battery cathode","type":"article-journal","volume":"445"},"uris":["http://www.mendeley.com/documents/?uuid=ca504a9d-ad00-4fd8-b3b6-695cb6ee13e7"]}],"mendeley":{"formattedCitation":"[9]","plainTextFormattedCitation":"[9]","previouslyFormattedCitation":"[9]"},"properties":{"noteIndex":0},"schema":"https://github.com/citation-style-language/schema/raw/master/csl-citation.json"}</w:instrText>
            </w:r>
            <w:r w:rsidRPr="00DD33C9">
              <w:rPr>
                <w:rFonts w:ascii="Times New Roman" w:hAnsi="Times New Roman" w:cs="Times New Roman"/>
                <w:sz w:val="24"/>
                <w:szCs w:val="24"/>
              </w:rPr>
              <w:fldChar w:fldCharType="separate"/>
            </w:r>
            <w:r w:rsidR="002470E5" w:rsidRPr="00C45123">
              <w:rPr>
                <w:rFonts w:ascii="Times New Roman" w:hAnsi="Times New Roman" w:cs="Times New Roman"/>
                <w:noProof/>
                <w:sz w:val="24"/>
                <w:szCs w:val="24"/>
              </w:rPr>
              <w:t>[9]</w:t>
            </w:r>
            <w:r w:rsidRPr="00DD33C9">
              <w:rPr>
                <w:rFonts w:ascii="Times New Roman" w:hAnsi="Times New Roman" w:cs="Times New Roman"/>
                <w:sz w:val="24"/>
                <w:szCs w:val="24"/>
              </w:rPr>
              <w:fldChar w:fldCharType="end"/>
            </w:r>
          </w:p>
        </w:tc>
      </w:tr>
      <w:tr w:rsidR="00DD33C9" w:rsidRPr="00DD33C9" w14:paraId="664B563B" w14:textId="77777777" w:rsidTr="008E3321">
        <w:tc>
          <w:tcPr>
            <w:tcW w:w="2183" w:type="dxa"/>
          </w:tcPr>
          <w:p w14:paraId="660651EE"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Na</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V</w:t>
            </w:r>
            <w:r w:rsidRPr="00DD33C9">
              <w:rPr>
                <w:rFonts w:ascii="Times New Roman" w:hAnsi="Times New Roman" w:cs="Times New Roman"/>
                <w:sz w:val="24"/>
                <w:szCs w:val="24"/>
                <w:vertAlign w:val="subscript"/>
              </w:rPr>
              <w:t>6</w:t>
            </w:r>
            <w:r w:rsidRPr="00DD33C9">
              <w:rPr>
                <w:rFonts w:ascii="Times New Roman" w:hAnsi="Times New Roman" w:cs="Times New Roman"/>
                <w:sz w:val="24"/>
                <w:szCs w:val="24"/>
              </w:rPr>
              <w:t>O</w:t>
            </w:r>
            <w:r w:rsidRPr="00DD33C9">
              <w:rPr>
                <w:rFonts w:ascii="Times New Roman" w:hAnsi="Times New Roman" w:cs="Times New Roman"/>
                <w:sz w:val="24"/>
                <w:szCs w:val="24"/>
                <w:vertAlign w:val="subscript"/>
              </w:rPr>
              <w:t>16</w:t>
            </w:r>
            <w:r w:rsidRPr="00DD33C9">
              <w:rPr>
                <w:rFonts w:ascii="Times New Roman" w:hAnsi="Times New Roman" w:cs="Times New Roman"/>
                <w:sz w:val="24"/>
                <w:szCs w:val="24"/>
              </w:rPr>
              <w:t>·nH</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O</w:t>
            </w:r>
          </w:p>
        </w:tc>
        <w:tc>
          <w:tcPr>
            <w:tcW w:w="1459" w:type="dxa"/>
          </w:tcPr>
          <w:p w14:paraId="1B81FFC3" w14:textId="23345110"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2 M ZnSO</w:t>
            </w:r>
            <w:r w:rsidRPr="00DD33C9">
              <w:rPr>
                <w:rFonts w:ascii="Times New Roman" w:hAnsi="Times New Roman" w:cs="Times New Roman"/>
                <w:sz w:val="24"/>
                <w:szCs w:val="24"/>
                <w:vertAlign w:val="subscript"/>
              </w:rPr>
              <w:t>4</w:t>
            </w:r>
            <w:r w:rsidRPr="00DD33C9">
              <w:rPr>
                <w:rFonts w:ascii="Times New Roman" w:hAnsi="Times New Roman" w:cs="Times New Roman"/>
                <w:sz w:val="24"/>
                <w:szCs w:val="24"/>
              </w:rPr>
              <w:t xml:space="preserve"> + 0.3 M Na</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SO</w:t>
            </w:r>
            <w:r w:rsidRPr="00DD33C9">
              <w:rPr>
                <w:rFonts w:ascii="Times New Roman" w:hAnsi="Times New Roman" w:cs="Times New Roman"/>
                <w:sz w:val="24"/>
                <w:szCs w:val="24"/>
                <w:vertAlign w:val="subscript"/>
              </w:rPr>
              <w:t>4</w:t>
            </w:r>
          </w:p>
        </w:tc>
        <w:tc>
          <w:tcPr>
            <w:tcW w:w="1136" w:type="dxa"/>
          </w:tcPr>
          <w:p w14:paraId="653DAFAF"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371@ 0.5 A g</w:t>
            </w:r>
            <w:r w:rsidRPr="00DD33C9">
              <w:rPr>
                <w:rFonts w:ascii="Times New Roman" w:hAnsi="Times New Roman" w:cs="Times New Roman"/>
                <w:sz w:val="24"/>
                <w:szCs w:val="24"/>
                <w:vertAlign w:val="superscript"/>
              </w:rPr>
              <w:t>-1</w:t>
            </w:r>
          </w:p>
        </w:tc>
        <w:tc>
          <w:tcPr>
            <w:tcW w:w="1743" w:type="dxa"/>
          </w:tcPr>
          <w:p w14:paraId="0A89B03C"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Hydrothermal</w:t>
            </w:r>
          </w:p>
        </w:tc>
        <w:tc>
          <w:tcPr>
            <w:tcW w:w="1843" w:type="dxa"/>
          </w:tcPr>
          <w:p w14:paraId="5F3A913D"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Na</w:t>
            </w:r>
            <w:r w:rsidRPr="00DD33C9">
              <w:rPr>
                <w:rFonts w:ascii="Times New Roman" w:hAnsi="Times New Roman" w:cs="Times New Roman"/>
                <w:sz w:val="24"/>
                <w:szCs w:val="24"/>
                <w:vertAlign w:val="superscript"/>
              </w:rPr>
              <w:t>+</w:t>
            </w:r>
            <w:r w:rsidRPr="00DD33C9">
              <w:rPr>
                <w:rFonts w:ascii="Times New Roman" w:hAnsi="Times New Roman" w:cs="Times New Roman"/>
                <w:sz w:val="24"/>
                <w:szCs w:val="24"/>
              </w:rPr>
              <w:t xml:space="preserve"> intercalation-stabilized</w:t>
            </w:r>
          </w:p>
        </w:tc>
        <w:tc>
          <w:tcPr>
            <w:tcW w:w="992" w:type="dxa"/>
          </w:tcPr>
          <w:p w14:paraId="64E2A7C6" w14:textId="57DC65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ADDIN CSL_CITATION {"citationItems":[{"id":"ITEM-1","itemData":{"DOI":"10.1016/j.mtcomm.2022.103460","ISSN":"23524928","abstract":"Aqueous zinc ion batteries (ZIBs) are considered as potential candidates for large-scale energy storage systems due to low cost, safety and environmental friendliness. However, the low voltage platform is one of the factors that limit the application of vanadium-based cathode materials for ZIBs. In this paper, the NaV6O15·0.61H2O, NaV6O15·0.51H2O and Na2V6O16·1.66H2O with rod-shaped structure were obtained by adjusting the pH of the solution in a simple hydrothermal process. Different pH value of the solution results in the formation of different phase samples and effectively improves the discharge voltage platform of material electrode. The stable discharge voltage platform of Na2V6O16·1.66H2O with the solution pH of 7 increased 0.17 V than that of NaV6O15·0.61H2O and NaV6O15·0.51H2O. Meanwhile, Na2V6O16·1.66H2O showed improved electrochemical properties. The reversible capacities of 371 mAh g−1 for Na2V6O16·1.66H2O were acquired after 50 cycles charging/discharging at a current density of 500 mA g−1, and a high rate capability and remarkable cycling stability with capacity retention of 90% were displayed over 1800 cycles at 5 A g−1. Furthermore, the Na2V6O16·1.66H2O showed high capacitance contribution and Zn2+ diffusion coefficient.","author":[{"dropping-particle":"","family":"Qin","given":"Liping","non-dropping-particle":"","parse-names":false,"suffix":""},{"dropping-particle":"","family":"Li","given":"Shijia","non-dropping-particle":"","parse-names":false,"suffix":""},{"dropping-particle":"","family":"Li","given":"Lijun","non-dropping-particle":"","parse-names":false,"suffix":""},{"dropping-particle":"","family":"Fang","given":"Guozhao","non-dropping-particle":"","parse-names":false,"suffix":""},{"dropping-particle":"","family":"Cheng","given":"Hao","non-dropping-particle":"","parse-names":false,"suffix":""},{"dropping-particle":"","family":"Zhu","given":"Qi","non-dropping-particle":"","parse-names":false,"suffix":""},{"dropping-particle":"","family":"Gao","given":"Hailin","non-dropping-particle":"","parse-names":false,"suffix":""},{"dropping-particle":"","family":"Chen","given":"Shunfeng","non-dropping-particle":"","parse-names":false,"suffix":""}],"container-title":"Materials Today Communications","id":"ITEM-1","issue":"March","issued":{"date-parts":[["2022"]]},"page":"2-11","title":"Improved working voltage and high rate performance of sodium vanadate cathode materials for aqueous zinc ion batteries by altering synthetic solution pH guiding the structure change","type":"article-journal","volume":"31"},"uris":["http://www.mendeley.com/documents/?uuid=7d6ff401-2215-41d9-a742-c00ba2fa7a76"]}],"mendeley":{"formattedCitation":"[10]","plainTextFormattedCitation":"[10]","previouslyFormattedCitation":"[10]"},"properties":{"noteIndex":0},"schema":"https://github.com/citation-style-language/schema/raw/master/csl-citation.json"}</w:instrText>
            </w:r>
            <w:r w:rsidRPr="00DD33C9">
              <w:rPr>
                <w:rFonts w:ascii="Times New Roman" w:hAnsi="Times New Roman" w:cs="Times New Roman"/>
                <w:sz w:val="24"/>
                <w:szCs w:val="24"/>
              </w:rPr>
              <w:fldChar w:fldCharType="separate"/>
            </w:r>
            <w:r w:rsidR="002470E5" w:rsidRPr="00C45123">
              <w:rPr>
                <w:rFonts w:ascii="Times New Roman" w:hAnsi="Times New Roman" w:cs="Times New Roman"/>
                <w:noProof/>
                <w:sz w:val="24"/>
                <w:szCs w:val="24"/>
              </w:rPr>
              <w:t>[10]</w:t>
            </w:r>
            <w:r w:rsidRPr="00DD33C9">
              <w:rPr>
                <w:rFonts w:ascii="Times New Roman" w:hAnsi="Times New Roman" w:cs="Times New Roman"/>
                <w:sz w:val="24"/>
                <w:szCs w:val="24"/>
              </w:rPr>
              <w:fldChar w:fldCharType="end"/>
            </w:r>
          </w:p>
        </w:tc>
      </w:tr>
      <w:tr w:rsidR="00DD33C9" w:rsidRPr="00DD33C9" w14:paraId="61CEBE36" w14:textId="77777777" w:rsidTr="008E3321">
        <w:tc>
          <w:tcPr>
            <w:tcW w:w="2183" w:type="dxa"/>
          </w:tcPr>
          <w:p w14:paraId="73380693"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δ-Ni</w:t>
            </w:r>
            <w:r w:rsidRPr="00DD33C9">
              <w:rPr>
                <w:rFonts w:ascii="Times New Roman" w:hAnsi="Times New Roman" w:cs="Times New Roman"/>
                <w:sz w:val="24"/>
                <w:szCs w:val="24"/>
                <w:vertAlign w:val="subscript"/>
              </w:rPr>
              <w:t>0.25</w:t>
            </w:r>
            <w:r w:rsidRPr="00DD33C9">
              <w:rPr>
                <w:rFonts w:ascii="Times New Roman" w:hAnsi="Times New Roman" w:cs="Times New Roman"/>
                <w:sz w:val="24"/>
                <w:szCs w:val="24"/>
              </w:rPr>
              <w:t>V</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O</w:t>
            </w:r>
            <w:r w:rsidRPr="00DD33C9">
              <w:rPr>
                <w:rFonts w:ascii="Times New Roman" w:hAnsi="Times New Roman" w:cs="Times New Roman"/>
                <w:sz w:val="24"/>
                <w:szCs w:val="24"/>
                <w:vertAlign w:val="subscript"/>
              </w:rPr>
              <w:t>5</w:t>
            </w:r>
            <w:r w:rsidRPr="00DD33C9">
              <w:rPr>
                <w:rFonts w:ascii="Times New Roman" w:hAnsi="Times New Roman" w:cs="Times New Roman"/>
                <w:sz w:val="24"/>
                <w:szCs w:val="24"/>
              </w:rPr>
              <w:t>·nH</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O</w:t>
            </w:r>
          </w:p>
          <w:p w14:paraId="476119E2" w14:textId="77777777" w:rsidR="002847ED" w:rsidRPr="00DD33C9" w:rsidRDefault="002847ED" w:rsidP="00B62327">
            <w:pPr>
              <w:jc w:val="center"/>
              <w:rPr>
                <w:rFonts w:ascii="Times New Roman" w:hAnsi="Times New Roman" w:cs="Times New Roman"/>
                <w:sz w:val="24"/>
                <w:szCs w:val="24"/>
              </w:rPr>
            </w:pPr>
          </w:p>
        </w:tc>
        <w:tc>
          <w:tcPr>
            <w:tcW w:w="1459" w:type="dxa"/>
          </w:tcPr>
          <w:p w14:paraId="732ABCE7"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3 M ZnSO</w:t>
            </w:r>
            <w:r w:rsidRPr="00DD33C9">
              <w:rPr>
                <w:rFonts w:ascii="Times New Roman" w:hAnsi="Times New Roman" w:cs="Times New Roman"/>
                <w:sz w:val="24"/>
                <w:szCs w:val="24"/>
                <w:vertAlign w:val="subscript"/>
              </w:rPr>
              <w:t>4</w:t>
            </w:r>
          </w:p>
        </w:tc>
        <w:tc>
          <w:tcPr>
            <w:tcW w:w="1136" w:type="dxa"/>
          </w:tcPr>
          <w:p w14:paraId="499DE6E6"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402@0.2 A g</w:t>
            </w:r>
            <w:r w:rsidRPr="00DD33C9">
              <w:rPr>
                <w:rFonts w:ascii="Times New Roman" w:hAnsi="Times New Roman" w:cs="Times New Roman"/>
                <w:sz w:val="24"/>
                <w:szCs w:val="24"/>
                <w:vertAlign w:val="superscript"/>
              </w:rPr>
              <w:t>-1</w:t>
            </w:r>
          </w:p>
        </w:tc>
        <w:tc>
          <w:tcPr>
            <w:tcW w:w="1743" w:type="dxa"/>
          </w:tcPr>
          <w:p w14:paraId="49AFDE7F"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Hydrothermal</w:t>
            </w:r>
          </w:p>
        </w:tc>
        <w:tc>
          <w:tcPr>
            <w:tcW w:w="1843" w:type="dxa"/>
          </w:tcPr>
          <w:p w14:paraId="7AF778E9"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Ni</w:t>
            </w:r>
            <w:r w:rsidRPr="00DD33C9">
              <w:rPr>
                <w:rFonts w:ascii="Times New Roman" w:hAnsi="Times New Roman" w:cs="Times New Roman"/>
                <w:sz w:val="24"/>
                <w:szCs w:val="24"/>
                <w:vertAlign w:val="superscript"/>
              </w:rPr>
              <w:t>2+</w:t>
            </w:r>
            <w:r w:rsidRPr="00DD33C9">
              <w:rPr>
                <w:rFonts w:ascii="Times New Roman" w:hAnsi="Times New Roman" w:cs="Times New Roman"/>
                <w:sz w:val="24"/>
                <w:szCs w:val="24"/>
              </w:rPr>
              <w:t xml:space="preserve"> intercalation-stabilized</w:t>
            </w:r>
          </w:p>
        </w:tc>
        <w:tc>
          <w:tcPr>
            <w:tcW w:w="992" w:type="dxa"/>
          </w:tcPr>
          <w:p w14:paraId="02E68D7E" w14:textId="3563A6FA"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ADDIN CSL_CITATION {"citationItems":[{"id":"ITEM-1","itemData":{"DOI":"10.1002/aenm.202000058","ISSN":"16146840","abstract":"Cost-effective and environment-friendly aqueous zinc-ion batteries (AZIBs) exhibit tremendous potential for application in grid-scale energy storage systems but are limited by suitable cathode materials. Hydrated vanadium bronzes have gained significant attention for AZIBs and can be produced with a range of different pre-intercalated ions, allowing their properties to be optimized. However, gaining a detailed understanding of the energy storage mechanisms within these cathode materials remains a great challenge due to their complex crystallographic frameworks, limiting rational design from the perspective of enhanced Zn2+ diffusion over multiple length scales. Herein, a new class of hydrated porous δ-Ni0.25V2O5.nH2O nanoribbons for use as an AZIB cathode is reported. The cathode delivers reversibility showing 402 mAh g−1 at 0.2 A g−1 and a capacity retention of 98% over 1200 cycles at 5 A g−1. A detailed investigation using experimental and computational approaches reveal that the host “δ” vanadate lattice has favorable Zn2+ diffusion properties, arising from the atomic-level structure of the well-defined lattice channels. Furthermore, the microstructure of the as-prepared cathodes is examined using multi-length scale X-ray computed tomography for the first time in AZIBs and the effective diffusion coefficient is obtained by image-based modeling, illustrating favorable porosity and satisfactory tortuosity.","author":[{"dropping-particle":"","family":"Li","given":"Jianwei","non-dropping-particle":"","parse-names":false,"suffix":""},{"dropping-particle":"","family":"McColl","given":"Kit","non-dropping-particle":"","parse-names":false,"suffix":""},{"dropping-particle":"","family":"Lu","given":"Xuekun","non-dropping-particle":"","parse-names":false,"suffix":""},{"dropping-particle":"","family":"Sathasivam","given":"Sanjayan","non-dropping-particle":"","parse-names":false,"suffix":""},{"dropping-particle":"","family":"Dong","given":"Haobo","non-dropping-particle":"","parse-names":false,"suffix":""},{"dropping-particle":"","family":"Kang","given":"Liqun","non-dropping-particle":"","parse-names":false,"suffix":""},{"dropping-particle":"","family":"Li","given":"Zhuangnan","non-dropping-particle":"","parse-names":false,"suffix":""},{"dropping-particle":"","family":"Zhao","given":"Siyu","non-dropping-particle":"","parse-names":false,"suffix":""},{"dropping-particle":"","family":"Kafizas","given":"Andreas G.","non-dropping-particle":"","parse-names":false,"suffix":""},{"dropping-particle":"","family":"Wang","given":"Ryan","non-dropping-particle":"","parse-names":false,"suffix":""},{"dropping-particle":"","family":"Brett","given":"Dan J.L.","non-dropping-particle":"","parse-names":false,"suffix":""},{"dropping-particle":"","family":"Shearing","given":"Paul R.","non-dropping-particle":"","parse-names":false,"suffix":""},{"dropping-particle":"","family":"Corà","given":"Furio","non-dropping-particle":"","parse-names":false,"suffix":""},{"dropping-particle":"","family":"He","given":"Guanjie","non-dropping-particle":"","parse-names":false,"suffix":""},{"dropping-particle":"","family":"Carmalt","given":"Claire J.","non-dropping-particle":"","parse-names":false,"suffix":""},{"dropping-particle":"","family":"Parkin","given":"Ivan P.","non-dropping-particle":"","parse-names":false,"suffix":""}],"container-title":"Advanced Energy Materials","id":"ITEM-1","issue":"15","issued":{"date-parts":[["2020"]]},"page":"1-14","title":"Multi-Scale Investigations of δ-Ni0.25V2O5·nH2O Cathode Materials in Aqueous Zinc-Ion Batteries","type":"article-journal","volume":"10"},"uris":["http://www.mendeley.com/documents/?uuid=fdd4c681-03bd-48bb-9aeb-b1b30cccaf66"]}],"mendeley":{"formattedCitation":"[11]","plainTextFormattedCitation":"[11]","previouslyFormattedCitation":"[11]"},"properties":{"noteIndex":0},"schema":"https://github.com/citation-style-language/schema/raw/master/csl-citation.json"}</w:instrText>
            </w:r>
            <w:r w:rsidRPr="00DD33C9">
              <w:rPr>
                <w:rFonts w:ascii="Times New Roman" w:hAnsi="Times New Roman" w:cs="Times New Roman"/>
                <w:sz w:val="24"/>
                <w:szCs w:val="24"/>
              </w:rPr>
              <w:fldChar w:fldCharType="separate"/>
            </w:r>
            <w:r w:rsidR="002470E5" w:rsidRPr="00C45123">
              <w:rPr>
                <w:rFonts w:ascii="Times New Roman" w:hAnsi="Times New Roman" w:cs="Times New Roman"/>
                <w:noProof/>
                <w:sz w:val="24"/>
                <w:szCs w:val="24"/>
              </w:rPr>
              <w:t>[11]</w:t>
            </w:r>
            <w:r w:rsidRPr="00DD33C9">
              <w:rPr>
                <w:rFonts w:ascii="Times New Roman" w:hAnsi="Times New Roman" w:cs="Times New Roman"/>
                <w:sz w:val="24"/>
                <w:szCs w:val="24"/>
              </w:rPr>
              <w:fldChar w:fldCharType="end"/>
            </w:r>
          </w:p>
        </w:tc>
      </w:tr>
      <w:tr w:rsidR="00DD33C9" w:rsidRPr="00DD33C9" w14:paraId="25148764" w14:textId="77777777" w:rsidTr="008E3321">
        <w:tc>
          <w:tcPr>
            <w:tcW w:w="2183" w:type="dxa"/>
          </w:tcPr>
          <w:p w14:paraId="53641A99"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VO</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(B)</w:t>
            </w:r>
          </w:p>
        </w:tc>
        <w:tc>
          <w:tcPr>
            <w:tcW w:w="1459" w:type="dxa"/>
          </w:tcPr>
          <w:p w14:paraId="425D4F86"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 xml:space="preserve">1 M </w:t>
            </w:r>
            <w:proofErr w:type="spellStart"/>
            <w:r w:rsidRPr="00DD33C9">
              <w:rPr>
                <w:rFonts w:ascii="Times New Roman" w:hAnsi="Times New Roman" w:cs="Times New Roman"/>
                <w:sz w:val="24"/>
                <w:szCs w:val="24"/>
              </w:rPr>
              <w:t>ZnSO</w:t>
            </w:r>
            <w:proofErr w:type="spellEnd"/>
            <w:r w:rsidRPr="00DD33C9">
              <w:rPr>
                <w:rFonts w:ascii="Times New Roman" w:hAnsi="Times New Roman" w:cs="Times New Roman"/>
                <w:sz w:val="24"/>
                <w:szCs w:val="24"/>
              </w:rPr>
              <w:t>₄</w:t>
            </w:r>
          </w:p>
        </w:tc>
        <w:tc>
          <w:tcPr>
            <w:tcW w:w="1136" w:type="dxa"/>
          </w:tcPr>
          <w:p w14:paraId="10C0AFC2"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456@0.1 A g</w:t>
            </w:r>
            <w:r w:rsidRPr="00DD33C9">
              <w:rPr>
                <w:rFonts w:ascii="Times New Roman" w:hAnsi="Times New Roman" w:cs="Times New Roman"/>
                <w:sz w:val="24"/>
                <w:szCs w:val="24"/>
                <w:vertAlign w:val="superscript"/>
              </w:rPr>
              <w:t>-1</w:t>
            </w:r>
          </w:p>
        </w:tc>
        <w:tc>
          <w:tcPr>
            <w:tcW w:w="1743" w:type="dxa"/>
          </w:tcPr>
          <w:p w14:paraId="4B23646A"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Hydrothermal</w:t>
            </w:r>
          </w:p>
        </w:tc>
        <w:tc>
          <w:tcPr>
            <w:tcW w:w="1843" w:type="dxa"/>
          </w:tcPr>
          <w:p w14:paraId="27D02687"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1D tunnel structure</w:t>
            </w:r>
          </w:p>
        </w:tc>
        <w:tc>
          <w:tcPr>
            <w:tcW w:w="992" w:type="dxa"/>
          </w:tcPr>
          <w:p w14:paraId="7762D1B8" w14:textId="6629367A"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ADDIN CSL_CITATION {"citationItems":[{"id":"ITEM-1","itemData":{"DOI":"10.1016/j.cej.2020.124118","ISSN":"13858947","abstract":"Low-cost and high-safety aqueous zinc ion batteries show their potential application for a large-scale energy storage system due to the high capacity and stable Zinc metal anode. Herein, VO2(B)/reduce graphene oxide (RGO) composite is designed and synthesized via a facile simple hydrothermal reaction. VO2(B) nanobelts uniformly deposited on RGO nanoflakes, which provide an electronic transport pathway and prevent the collapse of the structure during the zinc ion (de)intercalation process. VO2(B)/RGO composite exhibits a remarkable capacity of 456 mAh g−1 at 100 mA g−1, an impressive rate capability of 292 mAh g−1 at 5 A g−1 and capable cycling stability. The existence of capacitive contribution leads to fast zinc ions storage behavior. Moreover, the VO2(B)/RGO composite also offers a maximum energy density of 317 Wh kg−1 at a power density of 70 W kg−1 (based on the mass of the positive electrode). It suggests that VO2(B)/RGO composite is a suitable cathode for zinc ion batteries.","author":[{"dropping-particle":"","family":"Cui","given":"Fuhan","non-dropping-particle":"","parse-names":false,"suffix":""},{"dropping-particle":"","family":"Zhao","given":"Jun","non-dropping-particle":"","parse-names":false,"suffix":""},{"dropping-particle":"","family":"Zhang","given":"Dongxu","non-dropping-particle":"","parse-names":false,"suffix":""},{"dropping-particle":"","family":"Fang","given":"Yongzheng","non-dropping-particle":"","parse-names":false,"suffix":""},{"dropping-particle":"","family":"Hu","given":"Fang","non-dropping-particle":"","parse-names":false,"suffix":""},{"dropping-particle":"","family":"Zhu","given":"Kai","non-dropping-particle":"","parse-names":false,"suffix":""}],"container-title":"Chemical Engineering Journal","id":"ITEM-1","issue":"January","issued":{"date-parts":[["2020"]]},"page":"124118","publisher":"Elsevier","title":"VO2(B) nanobelts and reduced graphene oxides composites as cathode materials for low-cost rechargeable aqueous zinc ion batteries","type":"article-journal","volume":"390"},"uris":["http://www.mendeley.com/documents/?uuid=61e6ce78-660c-48d0-bdcc-49844e17afc6"]}],"mendeley":{"formattedCitation":"[12]","plainTextFormattedCitation":"[12]","previouslyFormattedCitation":"[12]"},"properties":{"noteIndex":0},"schema":"https://github.com/citation-style-language/schema/raw/master/csl-citation.json"}</w:instrText>
            </w:r>
            <w:r w:rsidRPr="00DD33C9">
              <w:rPr>
                <w:rFonts w:ascii="Times New Roman" w:hAnsi="Times New Roman" w:cs="Times New Roman"/>
                <w:sz w:val="24"/>
                <w:szCs w:val="24"/>
              </w:rPr>
              <w:fldChar w:fldCharType="separate"/>
            </w:r>
            <w:r w:rsidR="002470E5" w:rsidRPr="00C45123">
              <w:rPr>
                <w:rFonts w:ascii="Times New Roman" w:hAnsi="Times New Roman" w:cs="Times New Roman"/>
                <w:noProof/>
                <w:sz w:val="24"/>
                <w:szCs w:val="24"/>
              </w:rPr>
              <w:t>[12]</w:t>
            </w:r>
            <w:r w:rsidRPr="00DD33C9">
              <w:rPr>
                <w:rFonts w:ascii="Times New Roman" w:hAnsi="Times New Roman" w:cs="Times New Roman"/>
                <w:sz w:val="24"/>
                <w:szCs w:val="24"/>
              </w:rPr>
              <w:fldChar w:fldCharType="end"/>
            </w:r>
          </w:p>
        </w:tc>
      </w:tr>
      <w:tr w:rsidR="00DD33C9" w:rsidRPr="00DD33C9" w14:paraId="61375502" w14:textId="77777777" w:rsidTr="008E3321">
        <w:tc>
          <w:tcPr>
            <w:tcW w:w="2183" w:type="dxa"/>
          </w:tcPr>
          <w:p w14:paraId="1F9AD16F" w14:textId="41402A72" w:rsidR="002847ED" w:rsidRPr="00DD33C9" w:rsidRDefault="002847ED" w:rsidP="00B62327">
            <w:pPr>
              <w:jc w:val="center"/>
              <w:rPr>
                <w:rFonts w:ascii="Times New Roman" w:hAnsi="Times New Roman" w:cs="Times New Roman"/>
                <w:sz w:val="24"/>
                <w:szCs w:val="24"/>
              </w:rPr>
            </w:pPr>
            <w:bookmarkStart w:id="4" w:name="_Hlk203076990"/>
            <w:r w:rsidRPr="00DD33C9">
              <w:rPr>
                <w:rFonts w:ascii="Times New Roman" w:hAnsi="Times New Roman" w:cs="Times New Roman"/>
                <w:sz w:val="24"/>
                <w:szCs w:val="24"/>
              </w:rPr>
              <w:t>Cs</w:t>
            </w:r>
            <w:r w:rsidRPr="00DD33C9">
              <w:rPr>
                <w:rFonts w:ascii="Times New Roman" w:hAnsi="Times New Roman" w:cs="Times New Roman"/>
                <w:sz w:val="24"/>
                <w:szCs w:val="24"/>
                <w:vertAlign w:val="subscript"/>
              </w:rPr>
              <w:t>0.24</w:t>
            </w:r>
            <w:r w:rsidRPr="00DD33C9">
              <w:rPr>
                <w:rFonts w:ascii="Times New Roman" w:hAnsi="Times New Roman" w:cs="Times New Roman"/>
                <w:sz w:val="24"/>
                <w:szCs w:val="24"/>
              </w:rPr>
              <w:t>V</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O</w:t>
            </w:r>
            <w:r w:rsidRPr="00DD33C9">
              <w:rPr>
                <w:rFonts w:ascii="Times New Roman" w:hAnsi="Times New Roman" w:cs="Times New Roman"/>
                <w:sz w:val="24"/>
                <w:szCs w:val="24"/>
                <w:vertAlign w:val="subscript"/>
              </w:rPr>
              <w:t>5</w:t>
            </w:r>
            <w:r w:rsidRPr="00DD33C9">
              <w:rPr>
                <w:rFonts w:ascii="Times New Roman" w:hAnsi="Times New Roman" w:cs="Times New Roman"/>
                <w:sz w:val="24"/>
                <w:szCs w:val="24"/>
              </w:rPr>
              <w:t>·0.19H</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O</w:t>
            </w:r>
            <w:bookmarkEnd w:id="4"/>
          </w:p>
        </w:tc>
        <w:tc>
          <w:tcPr>
            <w:tcW w:w="1459" w:type="dxa"/>
          </w:tcPr>
          <w:p w14:paraId="11615B74"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 xml:space="preserve">2 M </w:t>
            </w:r>
            <w:proofErr w:type="gramStart"/>
            <w:r w:rsidRPr="00DD33C9">
              <w:rPr>
                <w:rFonts w:ascii="Times New Roman" w:hAnsi="Times New Roman" w:cs="Times New Roman"/>
                <w:sz w:val="24"/>
                <w:szCs w:val="24"/>
              </w:rPr>
              <w:t>Zn(</w:t>
            </w:r>
            <w:proofErr w:type="gramEnd"/>
            <w:r w:rsidRPr="00DD33C9">
              <w:rPr>
                <w:rFonts w:ascii="Times New Roman" w:hAnsi="Times New Roman" w:cs="Times New Roman"/>
                <w:sz w:val="24"/>
                <w:szCs w:val="24"/>
              </w:rPr>
              <w:t>CF₃SO</w:t>
            </w:r>
            <w:proofErr w:type="gramStart"/>
            <w:r w:rsidRPr="00DD33C9">
              <w:rPr>
                <w:rFonts w:ascii="Times New Roman" w:hAnsi="Times New Roman" w:cs="Times New Roman"/>
                <w:sz w:val="24"/>
                <w:szCs w:val="24"/>
              </w:rPr>
              <w:t>₃)₂</w:t>
            </w:r>
            <w:proofErr w:type="gramEnd"/>
          </w:p>
        </w:tc>
        <w:tc>
          <w:tcPr>
            <w:tcW w:w="1136" w:type="dxa"/>
          </w:tcPr>
          <w:p w14:paraId="5EFE3998"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347@0.2 A g</w:t>
            </w:r>
            <w:r w:rsidRPr="00DD33C9">
              <w:rPr>
                <w:rFonts w:ascii="Times New Roman" w:hAnsi="Times New Roman" w:cs="Times New Roman"/>
                <w:sz w:val="24"/>
                <w:szCs w:val="24"/>
                <w:vertAlign w:val="superscript"/>
              </w:rPr>
              <w:t>-1</w:t>
            </w:r>
          </w:p>
        </w:tc>
        <w:tc>
          <w:tcPr>
            <w:tcW w:w="1743" w:type="dxa"/>
          </w:tcPr>
          <w:p w14:paraId="59F46EDC"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Hydrothermal</w:t>
            </w:r>
          </w:p>
        </w:tc>
        <w:tc>
          <w:tcPr>
            <w:tcW w:w="1843" w:type="dxa"/>
          </w:tcPr>
          <w:p w14:paraId="114DC451"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Cs</w:t>
            </w:r>
            <w:r w:rsidRPr="00DD33C9">
              <w:rPr>
                <w:rFonts w:ascii="Times New Roman" w:hAnsi="Times New Roman" w:cs="Times New Roman"/>
                <w:sz w:val="24"/>
                <w:szCs w:val="24"/>
                <w:vertAlign w:val="superscript"/>
              </w:rPr>
              <w:t xml:space="preserve">+ </w:t>
            </w:r>
            <w:r w:rsidRPr="00DD33C9">
              <w:rPr>
                <w:rFonts w:ascii="Times New Roman" w:hAnsi="Times New Roman" w:cs="Times New Roman"/>
                <w:sz w:val="24"/>
                <w:szCs w:val="24"/>
              </w:rPr>
              <w:t>Pillar effect</w:t>
            </w:r>
          </w:p>
        </w:tc>
        <w:tc>
          <w:tcPr>
            <w:tcW w:w="992" w:type="dxa"/>
          </w:tcPr>
          <w:p w14:paraId="6F711B75" w14:textId="7F912489"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ADDIN CSL_CITATION {"citationItems":[{"id":"ITEM-1","itemData":{"DOI":"10.1016/j.ensm.2022.11.035","ISSN":"24058297","abstract":"Cost-effective and environmentally-friendly aqueous zinc-ion batteries (AZIBs) are promising candidate for large-scale energy storage devices. Layered vanadium oxides with pre-intercalated cations have gained significant attention as cathode materials for AZIBs, because of their excellent performance originated from the pillar effect. However, we observed an unexpected decrease in the interlayer space of vanadium oxides after the pre-intercalation of Cs+. The obtained Cs0.24V2O5·0.19H2O (CsVO) holds a smaller interplanar spacing but delivers excellent rate capacity and high stability (99.5% over 5,000 cycles at 10 A g−1). Systematical ex/in situ characterizations demonstrate the interesting Zn2+/H+ sequential domination mechanism for the CsVO cathode, namely Zn2+ insertion dominates the high voltage (1.6–0.7 V) and H+ insertion dominates the low voltage (0.7–0.2 V). Based on this mechanism, DFT calculation further reveals the unique functions of Cs+, especially the migration regulation of Zn2+.","author":[{"dropping-particle":"","family":"Liu","given":"Huibin","non-dropping-particle":"","parse-names":false,"suffix":""},{"dropping-particle":"","family":"Hou","given":"Xiaohan","non-dropping-particle":"","parse-names":false,"suffix":""},{"dropping-particle":"","family":"Fang","given":"Tiantian","non-dropping-particle":"","parse-names":false,"suffix":""},{"dropping-particle":"","family":"Zhang","given":"Qicheng","non-dropping-particle":"","parse-names":false,"suffix":""},{"dropping-particle":"","family":"Gong","given":"Ning","non-dropping-particle":"","parse-names":false,"suffix":""},{"dropping-particle":"","family":"Peng","given":"Wenchao","non-dropping-particle":"","parse-names":false,"suffix":""},{"dropping-particle":"","family":"Li","given":"Yang","non-dropping-particle":"","parse-names":false,"suffix":""},{"dropping-particle":"","family":"Zhang","given":"Fengbao","non-dropping-particle":"","parse-names":false,"suffix":""},{"dropping-particle":"","family":"Fan","given":"Xiaobin","non-dropping-particle":"","parse-names":false,"suffix":""}],"container-title":"Energy Storage Materials","id":"ITEM-1","issue":"August 2022","issued":{"date-parts":[["2023"]]},"page":"279-288","publisher":"Elsevier B.V.","title":"Boosting zinc-ion storage in hydrated vanadium oxides via migration regulation","type":"article-journal","volume":"55"},"uris":["http://www.mendeley.com/documents/?uuid=14e1ffb8-325c-46d2-b2e4-fe00b0ebe85b"]}],"mendeley":{"formattedCitation":"[13]","plainTextFormattedCitation":"[13]","previouslyFormattedCitation":"[13]"},"properties":{"noteIndex":0},"schema":"https://github.com/citation-style-language/schema/raw/master/csl-citation.json"}</w:instrText>
            </w:r>
            <w:r w:rsidRPr="00DD33C9">
              <w:rPr>
                <w:rFonts w:ascii="Times New Roman" w:hAnsi="Times New Roman" w:cs="Times New Roman"/>
                <w:sz w:val="24"/>
                <w:szCs w:val="24"/>
              </w:rPr>
              <w:fldChar w:fldCharType="separate"/>
            </w:r>
            <w:r w:rsidR="002470E5" w:rsidRPr="00C45123">
              <w:rPr>
                <w:rFonts w:ascii="Times New Roman" w:hAnsi="Times New Roman" w:cs="Times New Roman"/>
                <w:noProof/>
                <w:sz w:val="24"/>
                <w:szCs w:val="24"/>
              </w:rPr>
              <w:t>[13]</w:t>
            </w:r>
            <w:r w:rsidRPr="00DD33C9">
              <w:rPr>
                <w:rFonts w:ascii="Times New Roman" w:hAnsi="Times New Roman" w:cs="Times New Roman"/>
                <w:sz w:val="24"/>
                <w:szCs w:val="24"/>
              </w:rPr>
              <w:fldChar w:fldCharType="end"/>
            </w:r>
          </w:p>
        </w:tc>
      </w:tr>
      <w:tr w:rsidR="00DD33C9" w:rsidRPr="00DD33C9" w14:paraId="2F37F975" w14:textId="77777777" w:rsidTr="008E3321">
        <w:tc>
          <w:tcPr>
            <w:tcW w:w="2183" w:type="dxa"/>
          </w:tcPr>
          <w:p w14:paraId="22C51129" w14:textId="6D3F6332" w:rsidR="002847ED" w:rsidRPr="00DD33C9" w:rsidRDefault="002847ED" w:rsidP="00B62327">
            <w:pPr>
              <w:jc w:val="center"/>
              <w:rPr>
                <w:rFonts w:ascii="Times New Roman" w:hAnsi="Times New Roman" w:cs="Times New Roman"/>
                <w:sz w:val="24"/>
                <w:szCs w:val="24"/>
              </w:rPr>
            </w:pPr>
            <w:bookmarkStart w:id="5" w:name="_Hlk203077042"/>
            <w:r w:rsidRPr="00DD33C9">
              <w:rPr>
                <w:rFonts w:ascii="Times New Roman" w:hAnsi="Times New Roman" w:cs="Times New Roman"/>
                <w:sz w:val="24"/>
                <w:szCs w:val="24"/>
              </w:rPr>
              <w:t>Cs</w:t>
            </w:r>
            <w:r w:rsidRPr="00DD33C9">
              <w:rPr>
                <w:rFonts w:ascii="Times New Roman" w:hAnsi="Times New Roman" w:cs="Times New Roman"/>
                <w:sz w:val="24"/>
                <w:szCs w:val="24"/>
                <w:vertAlign w:val="subscript"/>
              </w:rPr>
              <w:t>0.3</w:t>
            </w:r>
            <w:r w:rsidRPr="00DD33C9">
              <w:rPr>
                <w:rFonts w:ascii="Times New Roman" w:hAnsi="Times New Roman" w:cs="Times New Roman"/>
                <w:sz w:val="24"/>
                <w:szCs w:val="24"/>
              </w:rPr>
              <w:t>V</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O</w:t>
            </w:r>
            <w:r w:rsidRPr="00DD33C9">
              <w:rPr>
                <w:rFonts w:ascii="Times New Roman" w:hAnsi="Times New Roman" w:cs="Times New Roman"/>
                <w:sz w:val="24"/>
                <w:szCs w:val="24"/>
                <w:vertAlign w:val="subscript"/>
              </w:rPr>
              <w:t>5</w:t>
            </w:r>
            <w:bookmarkEnd w:id="5"/>
          </w:p>
        </w:tc>
        <w:tc>
          <w:tcPr>
            <w:tcW w:w="1459" w:type="dxa"/>
          </w:tcPr>
          <w:p w14:paraId="7D3006CA"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 xml:space="preserve">3 M </w:t>
            </w:r>
            <w:proofErr w:type="gramStart"/>
            <w:r w:rsidRPr="00DD33C9">
              <w:rPr>
                <w:rFonts w:ascii="Times New Roman" w:hAnsi="Times New Roman" w:cs="Times New Roman"/>
                <w:sz w:val="24"/>
                <w:szCs w:val="24"/>
              </w:rPr>
              <w:t>Zn(</w:t>
            </w:r>
            <w:proofErr w:type="gramEnd"/>
            <w:r w:rsidRPr="00DD33C9">
              <w:rPr>
                <w:rFonts w:ascii="Times New Roman" w:hAnsi="Times New Roman" w:cs="Times New Roman"/>
                <w:sz w:val="24"/>
                <w:szCs w:val="24"/>
              </w:rPr>
              <w:t>CF₃SO</w:t>
            </w:r>
            <w:proofErr w:type="gramStart"/>
            <w:r w:rsidRPr="00DD33C9">
              <w:rPr>
                <w:rFonts w:ascii="Times New Roman" w:hAnsi="Times New Roman" w:cs="Times New Roman"/>
                <w:sz w:val="24"/>
                <w:szCs w:val="24"/>
              </w:rPr>
              <w:t>₃)₂</w:t>
            </w:r>
            <w:proofErr w:type="gramEnd"/>
          </w:p>
        </w:tc>
        <w:tc>
          <w:tcPr>
            <w:tcW w:w="1136" w:type="dxa"/>
          </w:tcPr>
          <w:p w14:paraId="36817CBA"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453@0.5 A g</w:t>
            </w:r>
            <w:r w:rsidRPr="00DD33C9">
              <w:rPr>
                <w:rFonts w:ascii="Times New Roman" w:hAnsi="Times New Roman" w:cs="Times New Roman"/>
                <w:sz w:val="24"/>
                <w:szCs w:val="24"/>
                <w:vertAlign w:val="superscript"/>
              </w:rPr>
              <w:t>-1</w:t>
            </w:r>
          </w:p>
        </w:tc>
        <w:tc>
          <w:tcPr>
            <w:tcW w:w="1743" w:type="dxa"/>
          </w:tcPr>
          <w:p w14:paraId="209AC377"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Hydrothermal</w:t>
            </w:r>
          </w:p>
        </w:tc>
        <w:tc>
          <w:tcPr>
            <w:tcW w:w="1843" w:type="dxa"/>
          </w:tcPr>
          <w:p w14:paraId="6C49622D"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Cs-Induced Phase Transformation</w:t>
            </w:r>
          </w:p>
        </w:tc>
        <w:tc>
          <w:tcPr>
            <w:tcW w:w="992" w:type="dxa"/>
          </w:tcPr>
          <w:p w14:paraId="56485028" w14:textId="6D1F4D5D"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ADDIN CSL_CITATION {"citationItems":[{"id":"ITEM-1","itemData":{"DOI":"10.1002/eem2.12502","ISSN":"25750356","abstract":"Rechargeable aqueous zinc-ion batteries are promising candidate for grid-scale energy storage. However, the development of zinc-ion batteries has been plagued by the lack of cathode materials with high specific capacity and superior lifespan. Herein, hexagonal Cs0.3V2O5 cathode is fabricated and investigated in zinc-ion batteries. Compared with the traditional vanadium oxides, the introduction of Cs changes the periodic atomic arrangements, which not only stabilizes the open framework structure but also facilitates the Zn2+ diffusion with a lower migration energy barrier. Consequently, high specific capacity of 543.8 mA h g−1 at 0.1 A g−1 is achieved, which surpasses most of reported cathode materials in zinc-ion batteries. The excellent cycle life is achieved over 1000 cycles with about 87.8% capacity retention at 2 A g−1. Furthermore, the morphological evolution and energy storage mechanisms are also revealed via a series of techniques. This work opens up a phase engineering strategy to fabricate the hexagonal vanadium oxide and elucidate the application of phase-dependent cathodes in zinc-ion batteries.","author":[{"dropping-particle":"","family":"Qu","given":"Gan","non-dropping-particle":"","parse-names":false,"suffix":""},{"dropping-particle":"","family":"Guo","given":"Kai","non-dropping-particle":"","parse-names":false,"suffix":""},{"dropping-particle":"","family":"Chen","given":"Weijie","non-dropping-particle":"","parse-names":false,"suffix":""},{"dropping-particle":"","family":"Du","given":"Yu","non-dropping-particle":"","parse-names":false,"suffix":""},{"dropping-particle":"","family":"Wang","given":"Ye","non-dropping-particle":"","parse-names":false,"suffix":""},{"dropping-particle":"","family":"Tian","given":"Bingbing","non-dropping-particle":"","parse-names":false,"suffix":""},{"dropping-particle":"","family":"Zhang","given":"Jianan","non-dropping-particle":"","parse-names":false,"suffix":""}],"container-title":"Energy and Environmental Materials","id":"ITEM-1","issue":"4","issued":{"date-parts":[["2023"]]},"title":"Cs-Induced Phase Transformation of Vanadium Oxide for High-Performance Zinc-Ion Batteries","type":"article-journal","volume":"6"},"uris":["http://www.mendeley.com/documents/?uuid=cd1854c2-1d8d-46e8-b01a-e158fc349fe0"]}],"mendeley":{"formattedCitation":"[14]","plainTextFormattedCitation":"[14]","previouslyFormattedCitation":"[14]"},"properties":{"noteIndex":0},"schema":"https://github.com/citation-style-language/schema/raw/master/csl-citation.json"}</w:instrText>
            </w:r>
            <w:r w:rsidRPr="00DD33C9">
              <w:rPr>
                <w:rFonts w:ascii="Times New Roman" w:hAnsi="Times New Roman" w:cs="Times New Roman"/>
                <w:sz w:val="24"/>
                <w:szCs w:val="24"/>
              </w:rPr>
              <w:fldChar w:fldCharType="separate"/>
            </w:r>
            <w:r w:rsidR="002470E5" w:rsidRPr="00C45123">
              <w:rPr>
                <w:rFonts w:ascii="Times New Roman" w:hAnsi="Times New Roman" w:cs="Times New Roman"/>
                <w:noProof/>
                <w:sz w:val="24"/>
                <w:szCs w:val="24"/>
              </w:rPr>
              <w:t>[14]</w:t>
            </w:r>
            <w:r w:rsidRPr="00DD33C9">
              <w:rPr>
                <w:rFonts w:ascii="Times New Roman" w:hAnsi="Times New Roman" w:cs="Times New Roman"/>
                <w:sz w:val="24"/>
                <w:szCs w:val="24"/>
              </w:rPr>
              <w:fldChar w:fldCharType="end"/>
            </w:r>
          </w:p>
        </w:tc>
      </w:tr>
      <w:tr w:rsidR="00DD33C9" w:rsidRPr="00DD33C9" w14:paraId="3AB190AB" w14:textId="77777777" w:rsidTr="008E3321">
        <w:tc>
          <w:tcPr>
            <w:tcW w:w="2183" w:type="dxa"/>
          </w:tcPr>
          <w:p w14:paraId="1169B8B3" w14:textId="0B9BC318" w:rsidR="002847ED" w:rsidRPr="00DD33C9" w:rsidRDefault="002847ED" w:rsidP="00B62327">
            <w:pPr>
              <w:jc w:val="center"/>
              <w:rPr>
                <w:rFonts w:ascii="Times New Roman" w:hAnsi="Times New Roman" w:cs="Times New Roman"/>
                <w:sz w:val="24"/>
                <w:szCs w:val="24"/>
              </w:rPr>
            </w:pPr>
            <w:bookmarkStart w:id="6" w:name="_Hlk203077128"/>
            <w:r w:rsidRPr="00DD33C9">
              <w:rPr>
                <w:rFonts w:ascii="Times New Roman" w:hAnsi="Times New Roman" w:cs="Times New Roman"/>
                <w:sz w:val="24"/>
                <w:szCs w:val="24"/>
              </w:rPr>
              <w:t>Cs</w:t>
            </w:r>
            <w:r w:rsidRPr="00DD33C9">
              <w:rPr>
                <w:rFonts w:ascii="Times New Roman" w:hAnsi="Times New Roman" w:cs="Times New Roman"/>
                <w:sz w:val="24"/>
                <w:szCs w:val="24"/>
                <w:vertAlign w:val="superscript"/>
              </w:rPr>
              <w:t xml:space="preserve">+ </w:t>
            </w:r>
            <w:r w:rsidRPr="00DD33C9">
              <w:rPr>
                <w:rFonts w:ascii="Times New Roman" w:hAnsi="Times New Roman" w:cs="Times New Roman"/>
                <w:sz w:val="24"/>
                <w:szCs w:val="24"/>
              </w:rPr>
              <w:t>intercalated V</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O</w:t>
            </w:r>
            <w:r w:rsidRPr="00DD33C9">
              <w:rPr>
                <w:rFonts w:ascii="Times New Roman" w:hAnsi="Times New Roman" w:cs="Times New Roman"/>
                <w:sz w:val="24"/>
                <w:szCs w:val="24"/>
                <w:vertAlign w:val="subscript"/>
              </w:rPr>
              <w:t>5</w:t>
            </w:r>
            <w:bookmarkEnd w:id="6"/>
          </w:p>
        </w:tc>
        <w:tc>
          <w:tcPr>
            <w:tcW w:w="1459" w:type="dxa"/>
          </w:tcPr>
          <w:p w14:paraId="1FDF718A"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 xml:space="preserve">3 M </w:t>
            </w:r>
            <w:proofErr w:type="gramStart"/>
            <w:r w:rsidRPr="00DD33C9">
              <w:rPr>
                <w:rFonts w:ascii="Times New Roman" w:hAnsi="Times New Roman" w:cs="Times New Roman"/>
                <w:sz w:val="24"/>
                <w:szCs w:val="24"/>
              </w:rPr>
              <w:t>Zn(</w:t>
            </w:r>
            <w:proofErr w:type="gramEnd"/>
            <w:r w:rsidRPr="00DD33C9">
              <w:rPr>
                <w:rFonts w:ascii="Times New Roman" w:hAnsi="Times New Roman" w:cs="Times New Roman"/>
                <w:sz w:val="24"/>
                <w:szCs w:val="24"/>
              </w:rPr>
              <w:t>CF₃SO</w:t>
            </w:r>
            <w:proofErr w:type="gramStart"/>
            <w:r w:rsidRPr="00DD33C9">
              <w:rPr>
                <w:rFonts w:ascii="Times New Roman" w:hAnsi="Times New Roman" w:cs="Times New Roman"/>
                <w:sz w:val="24"/>
                <w:szCs w:val="24"/>
              </w:rPr>
              <w:t>₃)₂</w:t>
            </w:r>
            <w:proofErr w:type="gramEnd"/>
          </w:p>
        </w:tc>
        <w:tc>
          <w:tcPr>
            <w:tcW w:w="1136" w:type="dxa"/>
          </w:tcPr>
          <w:p w14:paraId="5A136BAF"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269@0.5 A g</w:t>
            </w:r>
            <w:r w:rsidRPr="00DD33C9">
              <w:rPr>
                <w:rFonts w:ascii="Times New Roman" w:hAnsi="Times New Roman" w:cs="Times New Roman"/>
                <w:sz w:val="24"/>
                <w:szCs w:val="24"/>
                <w:vertAlign w:val="superscript"/>
              </w:rPr>
              <w:t>-1</w:t>
            </w:r>
          </w:p>
        </w:tc>
        <w:tc>
          <w:tcPr>
            <w:tcW w:w="1743" w:type="dxa"/>
          </w:tcPr>
          <w:p w14:paraId="36170D63"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Hydrothermal</w:t>
            </w:r>
          </w:p>
        </w:tc>
        <w:tc>
          <w:tcPr>
            <w:tcW w:w="1843" w:type="dxa"/>
          </w:tcPr>
          <w:p w14:paraId="2D696FA0"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Cs</w:t>
            </w:r>
            <w:r w:rsidRPr="00DD33C9">
              <w:rPr>
                <w:rFonts w:ascii="Times New Roman" w:hAnsi="Times New Roman" w:cs="Times New Roman"/>
                <w:sz w:val="24"/>
                <w:szCs w:val="24"/>
                <w:vertAlign w:val="superscript"/>
              </w:rPr>
              <w:t xml:space="preserve">+ </w:t>
            </w:r>
            <w:r w:rsidRPr="00DD33C9">
              <w:rPr>
                <w:rFonts w:ascii="Times New Roman" w:hAnsi="Times New Roman" w:cs="Times New Roman"/>
                <w:sz w:val="24"/>
                <w:szCs w:val="24"/>
              </w:rPr>
              <w:t>intercalation-stabilized</w:t>
            </w:r>
          </w:p>
        </w:tc>
        <w:tc>
          <w:tcPr>
            <w:tcW w:w="992" w:type="dxa"/>
          </w:tcPr>
          <w:p w14:paraId="40EC0CBD" w14:textId="0B9DCAE5"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ADDIN CSL_CITATION {"citationItems":[{"id":"ITEM-1","itemData":{"DOI":"10.1016/j.cej.2022.136349","ISSN":"13858947","abstract":"Layered vanadium oxide cathode materials have attracted extensive attentions in rechargeable aqueous zinc-ion batteries (ZIBs) owing to its large interlayer distance and high capacity. Unfortunately, it suffers from fast capacity decay during long-term cycle due to severe structural collapse. Herein, we intercalate cesium ion (Cs+) into hydrated vanadium pentoxide (V2O5·nH2O) to obtain a reinforce layered structure, which forms strong Cs-O bond with the built-in oxygen atom and enhances the interaction between the layers to avoid the structure collapse. As a result, the Cs+ intercalated material (CsVO) presents an enhanced specific capacity (404.9 mAh g−1 at current density of 0.1 A g−1, 189.9 mAh g−1 at 20 A g−1) and excellent long-term cycle stability (the capacity retention of 89% over 10,000 cycles even at 20 A g−1), that is obviously superior to the bare V2O5·nH2O electrode. Furthermore, Zn2+/H+ co-insertion mechanism in aqueous ZIBs is demonstrated by ex-situ XRD and XPS characterizations.","author":[{"dropping-particle":"","family":"Qi","given":"Yae","non-dropping-particle":"","parse-names":false,"suffix":""},{"dropping-particle":"","family":"Huang","given":"Jianhang","non-dropping-particle":"","parse-names":false,"suffix":""},{"dropping-particle":"","family":"Yan","given":"Lei","non-dropping-particle":"","parse-names":false,"suffix":""},{"dropping-particle":"","family":"Cao","given":"Yongjie","non-dropping-particle":"","parse-names":false,"suffix":""},{"dropping-particle":"","family":"Xu","given":"Jie","non-dropping-particle":"","parse-names":false,"suffix":""},{"dropping-particle":"","family":"Bin","given":"Duan","non-dropping-particle":"","parse-names":false,"suffix":""},{"dropping-particle":"","family":"Liao","given":"Mochou","non-dropping-particle":"","parse-names":false,"suffix":""},{"dropping-particle":"","family":"Xia","given":"Yongyao","non-dropping-particle":"","parse-names":false,"suffix":""}],"container-title":"Chemical Engineering Journal","id":"ITEM-1","issue":"P1","issued":{"date-parts":[["2022"]]},"page":"136349","publisher":"Elsevier B.V.","title":"Towards high-performance aqueous zinc-ion battery via cesium ion intercalated vanadium oxide nanorods","type":"article-journal","volume":"442"},"uris":["http://www.mendeley.com/documents/?uuid=34d740c0-271c-4b21-86f3-e3c36fc54f77"]}],"mendeley":{"formattedCitation":"[15]","plainTextFormattedCitation":"[15]","previouslyFormattedCitation":"[15]"},"properties":{"noteIndex":0},"schema":"https://github.com/citation-style-language/schema/raw/master/csl-citation.json"}</w:instrText>
            </w:r>
            <w:r w:rsidRPr="00DD33C9">
              <w:rPr>
                <w:rFonts w:ascii="Times New Roman" w:hAnsi="Times New Roman" w:cs="Times New Roman"/>
                <w:sz w:val="24"/>
                <w:szCs w:val="24"/>
              </w:rPr>
              <w:fldChar w:fldCharType="separate"/>
            </w:r>
            <w:r w:rsidR="002470E5" w:rsidRPr="00C45123">
              <w:rPr>
                <w:rFonts w:ascii="Times New Roman" w:hAnsi="Times New Roman" w:cs="Times New Roman"/>
                <w:noProof/>
                <w:sz w:val="24"/>
                <w:szCs w:val="24"/>
              </w:rPr>
              <w:t>[15]</w:t>
            </w:r>
            <w:r w:rsidRPr="00DD33C9">
              <w:rPr>
                <w:rFonts w:ascii="Times New Roman" w:hAnsi="Times New Roman" w:cs="Times New Roman"/>
                <w:sz w:val="24"/>
                <w:szCs w:val="24"/>
              </w:rPr>
              <w:fldChar w:fldCharType="end"/>
            </w:r>
          </w:p>
        </w:tc>
      </w:tr>
      <w:tr w:rsidR="00DD33C9" w:rsidRPr="00DD33C9" w14:paraId="294C8087" w14:textId="77777777" w:rsidTr="008E3321">
        <w:tc>
          <w:tcPr>
            <w:tcW w:w="2183" w:type="dxa"/>
          </w:tcPr>
          <w:p w14:paraId="4907BA13" w14:textId="5D466C8E" w:rsidR="002847ED" w:rsidRPr="00DD33C9" w:rsidRDefault="002847ED" w:rsidP="00B62327">
            <w:pPr>
              <w:jc w:val="center"/>
              <w:rPr>
                <w:rFonts w:ascii="Times New Roman" w:hAnsi="Times New Roman" w:cs="Times New Roman"/>
                <w:sz w:val="24"/>
                <w:szCs w:val="24"/>
              </w:rPr>
            </w:pPr>
            <w:bookmarkStart w:id="7" w:name="_Hlk203077192"/>
            <w:r w:rsidRPr="00DD33C9">
              <w:rPr>
                <w:rFonts w:ascii="Times New Roman" w:hAnsi="Times New Roman" w:cs="Times New Roman"/>
                <w:sz w:val="24"/>
                <w:szCs w:val="24"/>
              </w:rPr>
              <w:t>Na</w:t>
            </w:r>
            <w:r w:rsidRPr="00DD33C9">
              <w:rPr>
                <w:rFonts w:ascii="Times New Roman" w:hAnsi="Times New Roman" w:cs="Times New Roman"/>
                <w:sz w:val="24"/>
                <w:szCs w:val="24"/>
                <w:vertAlign w:val="subscript"/>
              </w:rPr>
              <w:t>0.33</w:t>
            </w:r>
            <w:r w:rsidRPr="00DD33C9">
              <w:rPr>
                <w:rFonts w:ascii="Times New Roman" w:hAnsi="Times New Roman" w:cs="Times New Roman"/>
                <w:sz w:val="24"/>
                <w:szCs w:val="24"/>
              </w:rPr>
              <w:t>Cs</w:t>
            </w:r>
            <w:r w:rsidRPr="00DD33C9">
              <w:rPr>
                <w:rFonts w:ascii="Times New Roman" w:hAnsi="Times New Roman" w:cs="Times New Roman"/>
                <w:sz w:val="24"/>
                <w:szCs w:val="24"/>
                <w:vertAlign w:val="subscript"/>
              </w:rPr>
              <w:t>0.03</w:t>
            </w:r>
            <w:r w:rsidRPr="00DD33C9">
              <w:rPr>
                <w:rFonts w:ascii="Times New Roman" w:hAnsi="Times New Roman" w:cs="Times New Roman"/>
                <w:sz w:val="24"/>
                <w:szCs w:val="24"/>
              </w:rPr>
              <w:t>V</w:t>
            </w:r>
            <w:r w:rsidRPr="00DD33C9">
              <w:rPr>
                <w:rFonts w:ascii="Times New Roman" w:hAnsi="Times New Roman" w:cs="Times New Roman"/>
                <w:sz w:val="24"/>
                <w:szCs w:val="24"/>
                <w:vertAlign w:val="subscript"/>
              </w:rPr>
              <w:t>2</w:t>
            </w:r>
            <w:r w:rsidRPr="00DD33C9">
              <w:rPr>
                <w:rFonts w:ascii="Times New Roman" w:hAnsi="Times New Roman" w:cs="Times New Roman"/>
                <w:sz w:val="24"/>
                <w:szCs w:val="24"/>
              </w:rPr>
              <w:t>O</w:t>
            </w:r>
            <w:r w:rsidRPr="00DD33C9">
              <w:rPr>
                <w:rFonts w:ascii="Times New Roman" w:hAnsi="Times New Roman" w:cs="Times New Roman"/>
                <w:sz w:val="24"/>
                <w:szCs w:val="24"/>
                <w:vertAlign w:val="subscript"/>
              </w:rPr>
              <w:t>5</w:t>
            </w:r>
            <w:bookmarkEnd w:id="7"/>
          </w:p>
        </w:tc>
        <w:tc>
          <w:tcPr>
            <w:tcW w:w="1459" w:type="dxa"/>
          </w:tcPr>
          <w:p w14:paraId="487A4F75"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 xml:space="preserve">3 M </w:t>
            </w:r>
            <w:proofErr w:type="gramStart"/>
            <w:r w:rsidRPr="00DD33C9">
              <w:rPr>
                <w:rFonts w:ascii="Times New Roman" w:hAnsi="Times New Roman" w:cs="Times New Roman"/>
                <w:sz w:val="24"/>
                <w:szCs w:val="24"/>
              </w:rPr>
              <w:t>Zn(</w:t>
            </w:r>
            <w:proofErr w:type="gramEnd"/>
            <w:r w:rsidRPr="00DD33C9">
              <w:rPr>
                <w:rFonts w:ascii="Times New Roman" w:hAnsi="Times New Roman" w:cs="Times New Roman"/>
                <w:sz w:val="24"/>
                <w:szCs w:val="24"/>
              </w:rPr>
              <w:t>CF₃SO</w:t>
            </w:r>
            <w:proofErr w:type="gramStart"/>
            <w:r w:rsidRPr="00DD33C9">
              <w:rPr>
                <w:rFonts w:ascii="Times New Roman" w:hAnsi="Times New Roman" w:cs="Times New Roman"/>
                <w:sz w:val="24"/>
                <w:szCs w:val="24"/>
              </w:rPr>
              <w:t>₃)₂</w:t>
            </w:r>
            <w:proofErr w:type="gramEnd"/>
          </w:p>
        </w:tc>
        <w:tc>
          <w:tcPr>
            <w:tcW w:w="1136" w:type="dxa"/>
          </w:tcPr>
          <w:p w14:paraId="17470C34"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376@0.2 A g</w:t>
            </w:r>
            <w:r w:rsidRPr="00DD33C9">
              <w:rPr>
                <w:rFonts w:ascii="Times New Roman" w:hAnsi="Times New Roman" w:cs="Times New Roman"/>
                <w:sz w:val="24"/>
                <w:szCs w:val="24"/>
                <w:vertAlign w:val="superscript"/>
              </w:rPr>
              <w:t>-1</w:t>
            </w:r>
          </w:p>
        </w:tc>
        <w:tc>
          <w:tcPr>
            <w:tcW w:w="1743" w:type="dxa"/>
          </w:tcPr>
          <w:p w14:paraId="1BABF26C"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Hydrothermal</w:t>
            </w:r>
          </w:p>
        </w:tc>
        <w:tc>
          <w:tcPr>
            <w:tcW w:w="1843" w:type="dxa"/>
          </w:tcPr>
          <w:p w14:paraId="2E7FD04F" w14:textId="77777777"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t>Dual ion</w:t>
            </w:r>
            <w:r w:rsidRPr="00DD33C9">
              <w:rPr>
                <w:rFonts w:ascii="Times New Roman" w:hAnsi="Times New Roman" w:cs="Times New Roman"/>
                <w:sz w:val="24"/>
                <w:szCs w:val="24"/>
                <w:vertAlign w:val="superscript"/>
              </w:rPr>
              <w:t xml:space="preserve"> </w:t>
            </w:r>
            <w:r w:rsidRPr="00DD33C9">
              <w:rPr>
                <w:rFonts w:ascii="Times New Roman" w:hAnsi="Times New Roman" w:cs="Times New Roman"/>
                <w:sz w:val="24"/>
                <w:szCs w:val="24"/>
              </w:rPr>
              <w:t>intercalation</w:t>
            </w:r>
          </w:p>
        </w:tc>
        <w:tc>
          <w:tcPr>
            <w:tcW w:w="992" w:type="dxa"/>
          </w:tcPr>
          <w:p w14:paraId="78672D94" w14:textId="70A1641D" w:rsidR="002847ED" w:rsidRPr="00DD33C9" w:rsidRDefault="002847ED" w:rsidP="00B62327">
            <w:pPr>
              <w:jc w:val="center"/>
              <w:rPr>
                <w:rFonts w:ascii="Times New Roman" w:hAnsi="Times New Roman" w:cs="Times New Roman"/>
                <w:sz w:val="24"/>
                <w:szCs w:val="24"/>
              </w:rPr>
            </w:pPr>
            <w:r w:rsidRPr="00DD33C9">
              <w:rPr>
                <w:rFonts w:ascii="Times New Roman" w:hAnsi="Times New Roman" w:cs="Times New Roman"/>
                <w:sz w:val="24"/>
                <w:szCs w:val="24"/>
              </w:rPr>
              <w:fldChar w:fldCharType="begin" w:fldLock="1"/>
            </w:r>
            <w:r w:rsidR="00D112B2">
              <w:rPr>
                <w:rFonts w:ascii="Times New Roman" w:hAnsi="Times New Roman" w:cs="Times New Roman"/>
                <w:sz w:val="24"/>
                <w:szCs w:val="24"/>
              </w:rPr>
              <w:instrText>ADDIN CSL_CITATION {"citationItems":[{"id":"ITEM-1","itemData":{"DOI":"10.1039/d2qm00420h","ISSN":"20521537","abstract":"Vanadium oxide derivatives as cathode materials for aqueous zinc-ion batteries have received increasing attention owing to their multivalent vanadium species and open-frame crystal structures. Herein, heavyweight and lightweight alkali metal ions as pillars involving caesium and sodium ions were simultaneously pre-intercalated into vanadium oxide bronze nanowires in the presence of polyethylene glycol. The pre-intercalation of Na+ ions contributed to the formation of the two-dimensional tunnel structure of vanadium oxide bronzes. Remarkably, the accommodation of additional Cs+ ions in the interlayer region facilitated an expansion of the interplanar spacing and an increase in the surface oxygen defects. When used in aqueous zinc-ion batteries, Na0.33Cs0.03V2O5 (NCVO) cathodes achieved a high reversible capacity of 376.5 mA h g−1 at 0.1 A g−1 in addition to excellent long-term cycling stability with a capacity retention of 95.4% over 1500 cycles at 5.0 A g−1. Furthermore, the results from ex situ X-ray diffraction (XRD), X-ray photoelectron spectroscopy (XPS) and transmission electron microscopy (TEM) analyses revealed that the co-intercalation of caesium and sodium ions contributed to the reversible phase change of vanadium oxide bronzes during repeated Zn2+-ion deintercalation-intercalation processes after the conversion reaction observed in the initial discharge process, which opens up a route to develop high-performance cathode materials.","author":[{"dropping-particle":"","family":"Tian","given":"Hua","non-dropping-particle":"","parse-names":false,"suffix":""},{"dropping-particle":"","family":"He","given":"Yunyi","non-dropping-particle":"","parse-names":false,"suffix":""},{"dropping-particle":"","family":"Wang","given":"Lin","non-dropping-particle":"","parse-names":false,"suffix":""},{"dropping-particle":"","family":"Lai","given":"Yuannan","non-dropping-particle":"","parse-names":false,"suffix":""},{"dropping-particle":"","family":"Wang","given":"Jianwei","non-dropping-particle":"","parse-names":false,"suffix":""},{"dropping-particle":"","family":"Xiang","given":"Hanqing","non-dropping-particle":"","parse-names":false,"suffix":""},{"dropping-particle":"","family":"Zhao","given":"Wenjun","non-dropping-particle":"","parse-names":false,"suffix":""},{"dropping-particle":"","family":"Zhang","given":"Lin","non-dropping-particle":"","parse-names":false,"suffix":""}],"container-title":"Materials Chemistry Frontiers","id":"ITEM-1","issue":"14","issued":{"date-parts":[["2022"]]},"page":"1920-1928","publisher":"Royal Society of Chemistry","title":"Simultaneous pre-intercalation of caesium and sodium ions into vanadium oxide bronze nanowires for high-performance aqueous zinc-ion batteries","type":"article-journal","volume":"6"},"uris":["http://www.mendeley.com/documents/?uuid=6fa0d7b0-b0de-4e6b-8d67-01eb18a005ae"]}],"mendeley":{"formattedCitation":"[16]","plainTextFormattedCitation":"[16]","previouslyFormattedCitation":"[16]"},"properties":{"noteIndex":0},"schema":"https://github.com/citation-style-language/schema/raw/master/csl-citation.json"}</w:instrText>
            </w:r>
            <w:r w:rsidRPr="00DD33C9">
              <w:rPr>
                <w:rFonts w:ascii="Times New Roman" w:hAnsi="Times New Roman" w:cs="Times New Roman"/>
                <w:sz w:val="24"/>
                <w:szCs w:val="24"/>
              </w:rPr>
              <w:fldChar w:fldCharType="separate"/>
            </w:r>
            <w:r w:rsidR="002470E5" w:rsidRPr="00C45123">
              <w:rPr>
                <w:rFonts w:ascii="Times New Roman" w:hAnsi="Times New Roman" w:cs="Times New Roman"/>
                <w:noProof/>
                <w:sz w:val="24"/>
                <w:szCs w:val="24"/>
              </w:rPr>
              <w:t>[16]</w:t>
            </w:r>
            <w:r w:rsidRPr="00DD33C9">
              <w:rPr>
                <w:rFonts w:ascii="Times New Roman" w:hAnsi="Times New Roman" w:cs="Times New Roman"/>
                <w:sz w:val="24"/>
                <w:szCs w:val="24"/>
              </w:rPr>
              <w:fldChar w:fldCharType="end"/>
            </w:r>
          </w:p>
        </w:tc>
      </w:tr>
      <w:tr w:rsidR="002847ED" w:rsidRPr="00DD33C9" w14:paraId="52AE7084" w14:textId="77777777" w:rsidTr="008E3321">
        <w:tc>
          <w:tcPr>
            <w:tcW w:w="2183" w:type="dxa"/>
            <w:tcBorders>
              <w:bottom w:val="single" w:sz="4" w:space="0" w:color="auto"/>
            </w:tcBorders>
          </w:tcPr>
          <w:p w14:paraId="76EB74F6" w14:textId="6262CB64" w:rsidR="002847ED" w:rsidRPr="00DD33C9" w:rsidRDefault="002847ED" w:rsidP="00B62327">
            <w:pPr>
              <w:jc w:val="center"/>
              <w:rPr>
                <w:rFonts w:ascii="Times New Roman" w:hAnsi="Times New Roman" w:cs="Times New Roman"/>
                <w:b/>
                <w:sz w:val="24"/>
                <w:szCs w:val="24"/>
              </w:rPr>
            </w:pPr>
            <w:r w:rsidRPr="00DD33C9">
              <w:rPr>
                <w:rFonts w:ascii="Times New Roman" w:hAnsi="Times New Roman" w:cs="Times New Roman"/>
                <w:b/>
                <w:bCs/>
                <w:iCs/>
                <w:sz w:val="24"/>
                <w:szCs w:val="24"/>
              </w:rPr>
              <w:t>CsV</w:t>
            </w:r>
            <w:r w:rsidRPr="00DD33C9">
              <w:rPr>
                <w:rFonts w:ascii="Times New Roman" w:hAnsi="Times New Roman" w:cs="Times New Roman"/>
                <w:b/>
                <w:bCs/>
                <w:iCs/>
                <w:sz w:val="24"/>
                <w:szCs w:val="24"/>
                <w:vertAlign w:val="subscript"/>
              </w:rPr>
              <w:t>3</w:t>
            </w:r>
            <w:r w:rsidRPr="00DD33C9">
              <w:rPr>
                <w:rFonts w:ascii="Times New Roman" w:hAnsi="Times New Roman" w:cs="Times New Roman"/>
                <w:b/>
                <w:bCs/>
                <w:iCs/>
                <w:sz w:val="24"/>
                <w:szCs w:val="24"/>
              </w:rPr>
              <w:t>O</w:t>
            </w:r>
            <w:r w:rsidRPr="00DD33C9">
              <w:rPr>
                <w:rFonts w:ascii="Times New Roman" w:hAnsi="Times New Roman" w:cs="Times New Roman"/>
                <w:b/>
                <w:bCs/>
                <w:iCs/>
                <w:sz w:val="24"/>
                <w:szCs w:val="24"/>
                <w:vertAlign w:val="subscript"/>
              </w:rPr>
              <w:t>8</w:t>
            </w:r>
            <w:r w:rsidRPr="00DD33C9">
              <w:rPr>
                <w:rFonts w:ascii="Times New Roman" w:hAnsi="Times New Roman" w:cs="Times New Roman"/>
                <w:b/>
                <w:bCs/>
                <w:iCs/>
                <w:sz w:val="24"/>
                <w:szCs w:val="24"/>
              </w:rPr>
              <w:t>/V</w:t>
            </w:r>
            <w:r w:rsidRPr="00DD33C9">
              <w:rPr>
                <w:rFonts w:ascii="Times New Roman" w:hAnsi="Times New Roman" w:cs="Times New Roman"/>
                <w:b/>
                <w:bCs/>
                <w:iCs/>
                <w:sz w:val="24"/>
                <w:szCs w:val="24"/>
                <w:vertAlign w:val="subscript"/>
              </w:rPr>
              <w:t>2</w:t>
            </w:r>
            <w:r w:rsidRPr="00DD33C9">
              <w:rPr>
                <w:rFonts w:ascii="Times New Roman" w:hAnsi="Times New Roman" w:cs="Times New Roman"/>
                <w:b/>
                <w:bCs/>
                <w:iCs/>
                <w:sz w:val="24"/>
                <w:szCs w:val="24"/>
              </w:rPr>
              <w:t>O</w:t>
            </w:r>
            <w:r w:rsidRPr="00DD33C9">
              <w:rPr>
                <w:rFonts w:ascii="Times New Roman" w:hAnsi="Times New Roman" w:cs="Times New Roman"/>
                <w:b/>
                <w:bCs/>
                <w:iCs/>
                <w:sz w:val="24"/>
                <w:szCs w:val="24"/>
                <w:vertAlign w:val="subscript"/>
              </w:rPr>
              <w:t>5</w:t>
            </w:r>
          </w:p>
        </w:tc>
        <w:tc>
          <w:tcPr>
            <w:tcW w:w="1459" w:type="dxa"/>
            <w:tcBorders>
              <w:bottom w:val="single" w:sz="4" w:space="0" w:color="auto"/>
            </w:tcBorders>
          </w:tcPr>
          <w:p w14:paraId="41F2EADE" w14:textId="77777777" w:rsidR="002847ED" w:rsidRPr="00DD33C9" w:rsidRDefault="002847ED" w:rsidP="00B62327">
            <w:pPr>
              <w:jc w:val="center"/>
              <w:rPr>
                <w:rFonts w:ascii="Times New Roman" w:hAnsi="Times New Roman" w:cs="Times New Roman"/>
                <w:b/>
                <w:sz w:val="24"/>
                <w:szCs w:val="24"/>
              </w:rPr>
            </w:pPr>
            <w:r w:rsidRPr="00DD33C9">
              <w:rPr>
                <w:rFonts w:ascii="Times New Roman" w:hAnsi="Times New Roman" w:cs="Times New Roman"/>
                <w:b/>
                <w:bCs/>
                <w:iCs/>
                <w:sz w:val="24"/>
                <w:szCs w:val="24"/>
              </w:rPr>
              <w:t>3 M Zn (CF</w:t>
            </w:r>
            <w:r w:rsidRPr="00DD33C9">
              <w:rPr>
                <w:rFonts w:ascii="Times New Roman" w:hAnsi="Times New Roman" w:cs="Times New Roman"/>
                <w:b/>
                <w:bCs/>
                <w:iCs/>
                <w:sz w:val="24"/>
                <w:szCs w:val="24"/>
                <w:vertAlign w:val="subscript"/>
              </w:rPr>
              <w:t>3</w:t>
            </w:r>
            <w:r w:rsidRPr="00DD33C9">
              <w:rPr>
                <w:rFonts w:ascii="Times New Roman" w:hAnsi="Times New Roman" w:cs="Times New Roman"/>
                <w:b/>
                <w:bCs/>
                <w:iCs/>
                <w:sz w:val="24"/>
                <w:szCs w:val="24"/>
              </w:rPr>
              <w:t>SO</w:t>
            </w:r>
            <w:r w:rsidRPr="00DD33C9">
              <w:rPr>
                <w:rFonts w:ascii="Times New Roman" w:hAnsi="Times New Roman" w:cs="Times New Roman"/>
                <w:b/>
                <w:bCs/>
                <w:iCs/>
                <w:sz w:val="24"/>
                <w:szCs w:val="24"/>
                <w:vertAlign w:val="subscript"/>
              </w:rPr>
              <w:t>3</w:t>
            </w:r>
            <w:r w:rsidRPr="00DD33C9">
              <w:rPr>
                <w:rFonts w:ascii="Times New Roman" w:hAnsi="Times New Roman" w:cs="Times New Roman"/>
                <w:b/>
                <w:bCs/>
                <w:iCs/>
                <w:sz w:val="24"/>
                <w:szCs w:val="24"/>
              </w:rPr>
              <w:t>)</w:t>
            </w:r>
            <w:r w:rsidRPr="00DD33C9">
              <w:rPr>
                <w:rFonts w:ascii="Times New Roman" w:hAnsi="Times New Roman" w:cs="Times New Roman"/>
                <w:b/>
                <w:bCs/>
                <w:iCs/>
                <w:sz w:val="24"/>
                <w:szCs w:val="24"/>
                <w:vertAlign w:val="subscript"/>
              </w:rPr>
              <w:t>2</w:t>
            </w:r>
          </w:p>
        </w:tc>
        <w:tc>
          <w:tcPr>
            <w:tcW w:w="1136" w:type="dxa"/>
            <w:tcBorders>
              <w:bottom w:val="single" w:sz="4" w:space="0" w:color="auto"/>
            </w:tcBorders>
          </w:tcPr>
          <w:p w14:paraId="1F2916E6" w14:textId="77777777" w:rsidR="002847ED" w:rsidRPr="00DD33C9" w:rsidRDefault="002847ED" w:rsidP="00B62327">
            <w:pPr>
              <w:jc w:val="center"/>
              <w:rPr>
                <w:rFonts w:ascii="Times New Roman" w:hAnsi="Times New Roman" w:cs="Times New Roman"/>
                <w:b/>
                <w:sz w:val="24"/>
                <w:szCs w:val="24"/>
              </w:rPr>
            </w:pPr>
            <w:r w:rsidRPr="00DD33C9">
              <w:rPr>
                <w:rFonts w:ascii="Times New Roman" w:hAnsi="Times New Roman" w:cs="Times New Roman"/>
                <w:b/>
                <w:bCs/>
                <w:iCs/>
                <w:sz w:val="24"/>
                <w:szCs w:val="24"/>
              </w:rPr>
              <w:t>483 @ 0.3 A g</w:t>
            </w:r>
            <w:r w:rsidRPr="00DD33C9">
              <w:rPr>
                <w:rFonts w:ascii="Times New Roman" w:hAnsi="Times New Roman" w:cs="Times New Roman"/>
                <w:b/>
                <w:bCs/>
                <w:iCs/>
                <w:sz w:val="24"/>
                <w:szCs w:val="24"/>
                <w:vertAlign w:val="superscript"/>
              </w:rPr>
              <w:t>-1</w:t>
            </w:r>
          </w:p>
        </w:tc>
        <w:tc>
          <w:tcPr>
            <w:tcW w:w="1743" w:type="dxa"/>
            <w:tcBorders>
              <w:bottom w:val="single" w:sz="4" w:space="0" w:color="auto"/>
            </w:tcBorders>
          </w:tcPr>
          <w:p w14:paraId="06603DA4" w14:textId="77777777" w:rsidR="002847ED" w:rsidRPr="00DD33C9" w:rsidRDefault="002847ED" w:rsidP="00B62327">
            <w:pPr>
              <w:jc w:val="center"/>
              <w:rPr>
                <w:rFonts w:ascii="Times New Roman" w:hAnsi="Times New Roman" w:cs="Times New Roman"/>
                <w:b/>
                <w:sz w:val="24"/>
                <w:szCs w:val="24"/>
              </w:rPr>
            </w:pPr>
            <w:r w:rsidRPr="00DD33C9">
              <w:rPr>
                <w:rFonts w:ascii="Times New Roman" w:hAnsi="Times New Roman" w:cs="Times New Roman"/>
                <w:b/>
                <w:bCs/>
                <w:iCs/>
                <w:sz w:val="24"/>
                <w:szCs w:val="24"/>
              </w:rPr>
              <w:t>Eco-friendly</w:t>
            </w:r>
          </w:p>
        </w:tc>
        <w:tc>
          <w:tcPr>
            <w:tcW w:w="1843" w:type="dxa"/>
            <w:tcBorders>
              <w:bottom w:val="single" w:sz="4" w:space="0" w:color="auto"/>
            </w:tcBorders>
          </w:tcPr>
          <w:p w14:paraId="35296604" w14:textId="77777777" w:rsidR="002847ED" w:rsidRPr="00DD33C9" w:rsidRDefault="002847ED" w:rsidP="00B62327">
            <w:pPr>
              <w:jc w:val="center"/>
              <w:rPr>
                <w:rFonts w:ascii="Times New Roman" w:hAnsi="Times New Roman" w:cs="Times New Roman"/>
                <w:b/>
                <w:sz w:val="24"/>
                <w:szCs w:val="24"/>
              </w:rPr>
            </w:pPr>
            <w:r w:rsidRPr="00DD33C9">
              <w:rPr>
                <w:rFonts w:ascii="Times New Roman" w:hAnsi="Times New Roman" w:cs="Times New Roman"/>
                <w:b/>
                <w:bCs/>
                <w:iCs/>
                <w:sz w:val="24"/>
                <w:szCs w:val="24"/>
              </w:rPr>
              <w:t>Cs</w:t>
            </w:r>
            <w:r w:rsidRPr="00DD33C9">
              <w:rPr>
                <w:rFonts w:ascii="Times New Roman" w:hAnsi="Times New Roman" w:cs="Times New Roman"/>
                <w:b/>
                <w:bCs/>
                <w:iCs/>
                <w:sz w:val="24"/>
                <w:szCs w:val="24"/>
                <w:vertAlign w:val="superscript"/>
              </w:rPr>
              <w:t>+</w:t>
            </w:r>
            <w:r w:rsidRPr="00DD33C9">
              <w:rPr>
                <w:rFonts w:ascii="Times New Roman" w:hAnsi="Times New Roman" w:cs="Times New Roman"/>
                <w:b/>
                <w:bCs/>
                <w:iCs/>
                <w:sz w:val="24"/>
                <w:szCs w:val="24"/>
              </w:rPr>
              <w:t>-induced strain, mixed valence, NMR structure</w:t>
            </w:r>
          </w:p>
        </w:tc>
        <w:tc>
          <w:tcPr>
            <w:tcW w:w="992" w:type="dxa"/>
            <w:tcBorders>
              <w:bottom w:val="single" w:sz="4" w:space="0" w:color="auto"/>
            </w:tcBorders>
          </w:tcPr>
          <w:p w14:paraId="103B6C17" w14:textId="77777777" w:rsidR="002847ED" w:rsidRPr="00DD33C9" w:rsidRDefault="002847ED" w:rsidP="00B62327">
            <w:pPr>
              <w:jc w:val="center"/>
              <w:rPr>
                <w:rFonts w:ascii="Times New Roman" w:hAnsi="Times New Roman" w:cs="Times New Roman"/>
                <w:b/>
                <w:sz w:val="24"/>
                <w:szCs w:val="24"/>
              </w:rPr>
            </w:pPr>
            <w:r w:rsidRPr="00DD33C9">
              <w:rPr>
                <w:rFonts w:ascii="Times New Roman" w:hAnsi="Times New Roman" w:cs="Times New Roman"/>
                <w:b/>
                <w:bCs/>
                <w:iCs/>
                <w:sz w:val="24"/>
                <w:szCs w:val="24"/>
              </w:rPr>
              <w:t>This work</w:t>
            </w:r>
          </w:p>
        </w:tc>
      </w:tr>
    </w:tbl>
    <w:p w14:paraId="091F60B5" w14:textId="77777777" w:rsidR="002847ED" w:rsidRPr="00DD33C9" w:rsidRDefault="002847ED" w:rsidP="002847ED">
      <w:pPr>
        <w:spacing w:line="480" w:lineRule="auto"/>
        <w:jc w:val="both"/>
        <w:rPr>
          <w:rFonts w:ascii="Times New Roman" w:hAnsi="Times New Roman" w:cs="Times New Roman"/>
          <w:sz w:val="24"/>
          <w:szCs w:val="24"/>
        </w:rPr>
      </w:pPr>
    </w:p>
    <w:p w14:paraId="29AEADEA" w14:textId="77777777" w:rsidR="00D76753" w:rsidRPr="00DD33C9" w:rsidRDefault="00D76753" w:rsidP="00D76753">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lastRenderedPageBreak/>
        <w:t>Table S2</w:t>
      </w:r>
      <w:r w:rsidRPr="00DD33C9">
        <w:rPr>
          <w:rFonts w:ascii="Times New Roman" w:hAnsi="Times New Roman" w:cs="Times New Roman"/>
          <w:sz w:val="24"/>
          <w:szCs w:val="24"/>
        </w:rPr>
        <w:t>. Fitted EIS parameters from equivalent circuit model</w:t>
      </w:r>
    </w:p>
    <w:tbl>
      <w:tblPr>
        <w:tblW w:w="0" w:type="auto"/>
        <w:tblLook w:val="04A0" w:firstRow="1" w:lastRow="0" w:firstColumn="1" w:lastColumn="0" w:noHBand="0" w:noVBand="1"/>
      </w:tblPr>
      <w:tblGrid>
        <w:gridCol w:w="2183"/>
        <w:gridCol w:w="1459"/>
        <w:gridCol w:w="1136"/>
        <w:gridCol w:w="1743"/>
        <w:gridCol w:w="1843"/>
      </w:tblGrid>
      <w:tr w:rsidR="00DD33C9" w:rsidRPr="00DD33C9" w14:paraId="3322CA9D" w14:textId="77777777" w:rsidTr="00BB3BF0">
        <w:tc>
          <w:tcPr>
            <w:tcW w:w="2183" w:type="dxa"/>
            <w:tcBorders>
              <w:top w:val="single" w:sz="4" w:space="0" w:color="auto"/>
              <w:bottom w:val="single" w:sz="4" w:space="0" w:color="auto"/>
            </w:tcBorders>
          </w:tcPr>
          <w:p w14:paraId="087B7A29" w14:textId="18D90890" w:rsidR="00D76753" w:rsidRPr="00DD33C9" w:rsidRDefault="00D76753" w:rsidP="00D76753">
            <w:pPr>
              <w:jc w:val="center"/>
              <w:rPr>
                <w:rFonts w:ascii="Times New Roman" w:hAnsi="Times New Roman" w:cs="Times New Roman"/>
                <w:b/>
                <w:bCs/>
                <w:sz w:val="24"/>
                <w:szCs w:val="24"/>
              </w:rPr>
            </w:pPr>
            <w:r w:rsidRPr="00DD33C9">
              <w:rPr>
                <w:rFonts w:ascii="Times New Roman" w:hAnsi="Times New Roman" w:cs="Times New Roman"/>
                <w:b/>
                <w:bCs/>
                <w:sz w:val="24"/>
                <w:szCs w:val="24"/>
              </w:rPr>
              <w:t>Electrode</w:t>
            </w:r>
          </w:p>
        </w:tc>
        <w:tc>
          <w:tcPr>
            <w:tcW w:w="1459" w:type="dxa"/>
            <w:tcBorders>
              <w:top w:val="single" w:sz="4" w:space="0" w:color="auto"/>
              <w:bottom w:val="single" w:sz="4" w:space="0" w:color="auto"/>
            </w:tcBorders>
          </w:tcPr>
          <w:p w14:paraId="040A1F6F" w14:textId="4474F32A" w:rsidR="00D76753" w:rsidRPr="00DD33C9" w:rsidRDefault="00D76753" w:rsidP="00D76753">
            <w:pPr>
              <w:jc w:val="center"/>
              <w:rPr>
                <w:rFonts w:ascii="Times New Roman" w:hAnsi="Times New Roman" w:cs="Times New Roman"/>
                <w:b/>
                <w:bCs/>
                <w:sz w:val="24"/>
                <w:szCs w:val="24"/>
              </w:rPr>
            </w:pPr>
            <w:r w:rsidRPr="00DD33C9">
              <w:rPr>
                <w:rFonts w:ascii="Times New Roman" w:hAnsi="Times New Roman" w:cs="Times New Roman"/>
                <w:b/>
                <w:bCs/>
                <w:sz w:val="24"/>
                <w:szCs w:val="24"/>
              </w:rPr>
              <w:t>R</w:t>
            </w:r>
            <w:r w:rsidRPr="00DD33C9">
              <w:rPr>
                <w:rFonts w:ascii="Times New Roman" w:hAnsi="Times New Roman" w:cs="Times New Roman"/>
                <w:b/>
                <w:bCs/>
                <w:sz w:val="24"/>
                <w:szCs w:val="24"/>
                <w:vertAlign w:val="subscript"/>
              </w:rPr>
              <w:t>1</w:t>
            </w:r>
            <w:r w:rsidRPr="00DD33C9">
              <w:rPr>
                <w:rFonts w:ascii="Times New Roman" w:hAnsi="Times New Roman" w:cs="Times New Roman"/>
                <w:b/>
                <w:bCs/>
                <w:sz w:val="24"/>
                <w:szCs w:val="24"/>
              </w:rPr>
              <w:t xml:space="preserve"> (Ω)</w:t>
            </w:r>
          </w:p>
        </w:tc>
        <w:tc>
          <w:tcPr>
            <w:tcW w:w="1136" w:type="dxa"/>
            <w:tcBorders>
              <w:top w:val="single" w:sz="4" w:space="0" w:color="auto"/>
              <w:bottom w:val="single" w:sz="4" w:space="0" w:color="auto"/>
            </w:tcBorders>
          </w:tcPr>
          <w:p w14:paraId="1364A311" w14:textId="2C976E70" w:rsidR="00D76753" w:rsidRPr="00DD33C9" w:rsidRDefault="00D76753" w:rsidP="00D76753">
            <w:pPr>
              <w:jc w:val="center"/>
              <w:rPr>
                <w:rFonts w:ascii="Times New Roman" w:hAnsi="Times New Roman" w:cs="Times New Roman"/>
                <w:b/>
                <w:bCs/>
                <w:sz w:val="24"/>
                <w:szCs w:val="24"/>
              </w:rPr>
            </w:pPr>
            <w:r w:rsidRPr="00DD33C9">
              <w:rPr>
                <w:rFonts w:ascii="Times New Roman" w:hAnsi="Times New Roman" w:cs="Times New Roman"/>
                <w:b/>
                <w:bCs/>
                <w:sz w:val="24"/>
                <w:szCs w:val="24"/>
              </w:rPr>
              <w:t>R</w:t>
            </w:r>
            <w:r w:rsidRPr="00DD33C9">
              <w:rPr>
                <w:rFonts w:ascii="Times New Roman" w:hAnsi="Times New Roman" w:cs="Times New Roman"/>
                <w:b/>
                <w:bCs/>
                <w:sz w:val="24"/>
                <w:szCs w:val="24"/>
                <w:vertAlign w:val="subscript"/>
              </w:rPr>
              <w:t>2</w:t>
            </w:r>
            <w:r w:rsidRPr="00DD33C9">
              <w:rPr>
                <w:rFonts w:ascii="Times New Roman" w:hAnsi="Times New Roman" w:cs="Times New Roman"/>
                <w:sz w:val="24"/>
                <w:szCs w:val="24"/>
                <w:vertAlign w:val="subscript"/>
              </w:rPr>
              <w:t xml:space="preserve"> </w:t>
            </w:r>
            <w:r w:rsidRPr="00DD33C9">
              <w:rPr>
                <w:rFonts w:ascii="Times New Roman" w:hAnsi="Times New Roman" w:cs="Times New Roman"/>
                <w:b/>
                <w:bCs/>
                <w:sz w:val="24"/>
                <w:szCs w:val="24"/>
              </w:rPr>
              <w:t>(Ω)</w:t>
            </w:r>
          </w:p>
        </w:tc>
        <w:tc>
          <w:tcPr>
            <w:tcW w:w="1743" w:type="dxa"/>
            <w:tcBorders>
              <w:top w:val="single" w:sz="4" w:space="0" w:color="auto"/>
              <w:bottom w:val="single" w:sz="4" w:space="0" w:color="auto"/>
            </w:tcBorders>
          </w:tcPr>
          <w:p w14:paraId="16D0906E" w14:textId="3882CD74" w:rsidR="00D76753" w:rsidRPr="00DD33C9" w:rsidRDefault="00D76753" w:rsidP="00D76753">
            <w:pPr>
              <w:jc w:val="center"/>
              <w:rPr>
                <w:rFonts w:ascii="Times New Roman" w:hAnsi="Times New Roman" w:cs="Times New Roman"/>
                <w:b/>
                <w:bCs/>
                <w:sz w:val="24"/>
                <w:szCs w:val="24"/>
              </w:rPr>
            </w:pPr>
            <w:r w:rsidRPr="00DD33C9">
              <w:rPr>
                <w:rFonts w:ascii="Times New Roman" w:hAnsi="Times New Roman" w:cs="Times New Roman"/>
                <w:b/>
                <w:bCs/>
                <w:sz w:val="24"/>
                <w:szCs w:val="24"/>
              </w:rPr>
              <w:t>CPE</w:t>
            </w:r>
            <w:r w:rsidRPr="00DD33C9">
              <w:rPr>
                <w:rFonts w:ascii="Times New Roman" w:hAnsi="Times New Roman" w:cs="Times New Roman"/>
                <w:b/>
                <w:bCs/>
                <w:sz w:val="24"/>
                <w:szCs w:val="24"/>
                <w:vertAlign w:val="subscript"/>
              </w:rPr>
              <w:t>1</w:t>
            </w:r>
            <w:r w:rsidRPr="00DD33C9">
              <w:rPr>
                <w:rFonts w:ascii="Times New Roman" w:hAnsi="Times New Roman" w:cs="Times New Roman"/>
                <w:b/>
                <w:bCs/>
                <w:sz w:val="24"/>
                <w:szCs w:val="24"/>
              </w:rPr>
              <w:t xml:space="preserve"> (F·s</w:t>
            </w:r>
            <w:r w:rsidRPr="00DD33C9">
              <w:rPr>
                <w:rFonts w:ascii="Times New Roman" w:hAnsi="Times New Roman" w:cs="Times New Roman"/>
                <w:b/>
                <w:bCs/>
                <w:sz w:val="24"/>
                <w:szCs w:val="24"/>
                <w:vertAlign w:val="superscript"/>
              </w:rPr>
              <w:t>n-1</w:t>
            </w:r>
            <w:r w:rsidRPr="00DD33C9">
              <w:rPr>
                <w:rFonts w:ascii="Times New Roman" w:hAnsi="Times New Roman" w:cs="Times New Roman"/>
                <w:b/>
                <w:bCs/>
                <w:sz w:val="24"/>
                <w:szCs w:val="24"/>
              </w:rPr>
              <w:t>)</w:t>
            </w:r>
          </w:p>
        </w:tc>
        <w:tc>
          <w:tcPr>
            <w:tcW w:w="1843" w:type="dxa"/>
            <w:tcBorders>
              <w:top w:val="single" w:sz="4" w:space="0" w:color="auto"/>
              <w:bottom w:val="single" w:sz="4" w:space="0" w:color="auto"/>
            </w:tcBorders>
          </w:tcPr>
          <w:p w14:paraId="5A4189DA" w14:textId="53FBFE5D" w:rsidR="00D76753" w:rsidRPr="00DD33C9" w:rsidRDefault="00D76753" w:rsidP="00D76753">
            <w:pPr>
              <w:jc w:val="center"/>
              <w:rPr>
                <w:rFonts w:ascii="Times New Roman" w:hAnsi="Times New Roman" w:cs="Times New Roman"/>
                <w:b/>
                <w:bCs/>
                <w:sz w:val="24"/>
                <w:szCs w:val="24"/>
              </w:rPr>
            </w:pPr>
            <w:r w:rsidRPr="00DD33C9">
              <w:rPr>
                <w:rFonts w:ascii="Times New Roman" w:hAnsi="Times New Roman" w:cs="Times New Roman"/>
                <w:b/>
                <w:bCs/>
                <w:sz w:val="24"/>
                <w:szCs w:val="24"/>
              </w:rPr>
              <w:t xml:space="preserve">Warburg (W, </w:t>
            </w:r>
            <w:r w:rsidRPr="00DD33C9">
              <w:rPr>
                <w:rFonts w:ascii="Times New Roman" w:hAnsi="Times New Roman" w:cs="Times New Roman"/>
                <w:sz w:val="24"/>
                <w:szCs w:val="24"/>
              </w:rPr>
              <w:t>Ω·s</w:t>
            </w:r>
            <w:r w:rsidRPr="00DD33C9">
              <w:rPr>
                <w:rFonts w:ascii="Times New Roman" w:hAnsi="Times New Roman" w:cs="Times New Roman"/>
                <w:sz w:val="24"/>
                <w:szCs w:val="24"/>
                <w:vertAlign w:val="superscript"/>
              </w:rPr>
              <w:t>-1/2</w:t>
            </w:r>
            <w:r w:rsidRPr="00DD33C9">
              <w:rPr>
                <w:rFonts w:ascii="Times New Roman" w:hAnsi="Times New Roman" w:cs="Times New Roman"/>
                <w:b/>
                <w:bCs/>
                <w:sz w:val="24"/>
                <w:szCs w:val="24"/>
              </w:rPr>
              <w:t>)</w:t>
            </w:r>
          </w:p>
        </w:tc>
      </w:tr>
      <w:tr w:rsidR="00DD33C9" w:rsidRPr="00DD33C9" w14:paraId="19EEF452" w14:textId="77777777" w:rsidTr="00BB3BF0">
        <w:tc>
          <w:tcPr>
            <w:tcW w:w="2183" w:type="dxa"/>
            <w:tcBorders>
              <w:top w:val="single" w:sz="4" w:space="0" w:color="auto"/>
            </w:tcBorders>
          </w:tcPr>
          <w:p w14:paraId="58C3C4F9" w14:textId="60F0613B" w:rsidR="00D76753" w:rsidRPr="00DD33C9" w:rsidRDefault="00D76753" w:rsidP="00D76753">
            <w:pPr>
              <w:jc w:val="center"/>
              <w:rPr>
                <w:rFonts w:ascii="Times New Roman" w:hAnsi="Times New Roman" w:cs="Times New Roman"/>
                <w:sz w:val="24"/>
                <w:szCs w:val="24"/>
              </w:rPr>
            </w:pPr>
            <w:r w:rsidRPr="00DD33C9">
              <w:rPr>
                <w:rFonts w:ascii="Times New Roman" w:hAnsi="Times New Roman" w:cs="Times New Roman"/>
                <w:sz w:val="24"/>
                <w:szCs w:val="24"/>
              </w:rPr>
              <w:t>CsVO/VO</w:t>
            </w:r>
          </w:p>
        </w:tc>
        <w:tc>
          <w:tcPr>
            <w:tcW w:w="1459" w:type="dxa"/>
            <w:tcBorders>
              <w:top w:val="single" w:sz="4" w:space="0" w:color="auto"/>
            </w:tcBorders>
          </w:tcPr>
          <w:p w14:paraId="6968596C" w14:textId="1ECB5744" w:rsidR="00D76753" w:rsidRPr="00DD33C9" w:rsidRDefault="00D76753" w:rsidP="00D76753">
            <w:pPr>
              <w:jc w:val="center"/>
              <w:rPr>
                <w:rFonts w:ascii="Times New Roman" w:hAnsi="Times New Roman" w:cs="Times New Roman"/>
                <w:sz w:val="24"/>
                <w:szCs w:val="24"/>
              </w:rPr>
            </w:pPr>
            <w:r w:rsidRPr="00DD33C9">
              <w:rPr>
                <w:rFonts w:ascii="Times New Roman" w:hAnsi="Times New Roman" w:cs="Times New Roman"/>
                <w:sz w:val="24"/>
                <w:szCs w:val="24"/>
              </w:rPr>
              <w:t>5.573</w:t>
            </w:r>
          </w:p>
        </w:tc>
        <w:tc>
          <w:tcPr>
            <w:tcW w:w="1136" w:type="dxa"/>
            <w:tcBorders>
              <w:top w:val="single" w:sz="4" w:space="0" w:color="auto"/>
            </w:tcBorders>
          </w:tcPr>
          <w:p w14:paraId="633B83B0" w14:textId="10F6242B" w:rsidR="00D76753" w:rsidRPr="00DD33C9" w:rsidRDefault="00D76753" w:rsidP="00D76753">
            <w:pPr>
              <w:jc w:val="center"/>
              <w:rPr>
                <w:rFonts w:ascii="Times New Roman" w:hAnsi="Times New Roman" w:cs="Times New Roman"/>
                <w:sz w:val="24"/>
                <w:szCs w:val="24"/>
              </w:rPr>
            </w:pPr>
            <w:r w:rsidRPr="00DD33C9">
              <w:rPr>
                <w:rFonts w:ascii="Times New Roman" w:hAnsi="Times New Roman" w:cs="Times New Roman"/>
                <w:sz w:val="24"/>
                <w:szCs w:val="24"/>
              </w:rPr>
              <w:t>121.3</w:t>
            </w:r>
          </w:p>
        </w:tc>
        <w:tc>
          <w:tcPr>
            <w:tcW w:w="1743" w:type="dxa"/>
            <w:tcBorders>
              <w:top w:val="single" w:sz="4" w:space="0" w:color="auto"/>
            </w:tcBorders>
          </w:tcPr>
          <w:p w14:paraId="7D37CFA6" w14:textId="4A2446CC" w:rsidR="00D76753" w:rsidRPr="00DD33C9" w:rsidRDefault="00D76753" w:rsidP="00D76753">
            <w:pPr>
              <w:jc w:val="center"/>
              <w:rPr>
                <w:rFonts w:ascii="Times New Roman" w:hAnsi="Times New Roman" w:cs="Times New Roman"/>
                <w:sz w:val="24"/>
                <w:szCs w:val="24"/>
              </w:rPr>
            </w:pPr>
            <w:r w:rsidRPr="00DD33C9">
              <w:rPr>
                <w:rFonts w:ascii="Times New Roman" w:hAnsi="Times New Roman" w:cs="Times New Roman"/>
                <w:sz w:val="24"/>
                <w:szCs w:val="24"/>
              </w:rPr>
              <w:t xml:space="preserve">5.61 </w:t>
            </w:r>
            <m:oMath>
              <m:r>
                <m:rPr>
                  <m:sty m:val="p"/>
                </m:rPr>
                <w:rPr>
                  <w:rFonts w:ascii="Cambria Math" w:hAnsi="Cambria Math" w:cs="Times New Roman"/>
                  <w:sz w:val="24"/>
                  <w:szCs w:val="24"/>
                </w:rPr>
                <m:t>×</m:t>
              </m:r>
            </m:oMath>
            <w:r w:rsidRPr="00DD33C9">
              <w:rPr>
                <w:rFonts w:ascii="Times New Roman" w:hAnsi="Times New Roman" w:cs="Times New Roman"/>
                <w:sz w:val="24"/>
                <w:szCs w:val="24"/>
              </w:rPr>
              <w:t xml:space="preserve"> 10</w:t>
            </w:r>
            <w:r w:rsidRPr="00DD33C9">
              <w:rPr>
                <w:rFonts w:ascii="Times New Roman" w:hAnsi="Times New Roman" w:cs="Times New Roman"/>
                <w:sz w:val="24"/>
                <w:szCs w:val="24"/>
                <w:vertAlign w:val="superscript"/>
              </w:rPr>
              <w:t>-5</w:t>
            </w:r>
          </w:p>
        </w:tc>
        <w:tc>
          <w:tcPr>
            <w:tcW w:w="1843" w:type="dxa"/>
            <w:tcBorders>
              <w:top w:val="single" w:sz="4" w:space="0" w:color="auto"/>
            </w:tcBorders>
          </w:tcPr>
          <w:p w14:paraId="612615E7" w14:textId="3D62355E" w:rsidR="00D76753" w:rsidRPr="00DD33C9" w:rsidRDefault="00D76753" w:rsidP="00D76753">
            <w:pPr>
              <w:jc w:val="center"/>
              <w:rPr>
                <w:rFonts w:ascii="Times New Roman" w:hAnsi="Times New Roman" w:cs="Times New Roman"/>
                <w:sz w:val="24"/>
                <w:szCs w:val="24"/>
              </w:rPr>
            </w:pPr>
            <w:r w:rsidRPr="00DD33C9">
              <w:rPr>
                <w:rFonts w:ascii="Times New Roman" w:hAnsi="Times New Roman" w:cs="Times New Roman"/>
                <w:sz w:val="24"/>
                <w:szCs w:val="24"/>
              </w:rPr>
              <w:t>0.015</w:t>
            </w:r>
          </w:p>
        </w:tc>
      </w:tr>
      <w:tr w:rsidR="00D76753" w:rsidRPr="00DD33C9" w14:paraId="47DB5B7C" w14:textId="77777777" w:rsidTr="00BB3BF0">
        <w:tc>
          <w:tcPr>
            <w:tcW w:w="2183" w:type="dxa"/>
            <w:tcBorders>
              <w:bottom w:val="single" w:sz="4" w:space="0" w:color="auto"/>
            </w:tcBorders>
          </w:tcPr>
          <w:p w14:paraId="4882A336" w14:textId="2E8D4FCB" w:rsidR="00D76753" w:rsidRPr="00DD33C9" w:rsidRDefault="00D76753" w:rsidP="00D76753">
            <w:pPr>
              <w:jc w:val="center"/>
              <w:rPr>
                <w:rFonts w:ascii="Times New Roman" w:hAnsi="Times New Roman" w:cs="Times New Roman"/>
                <w:b/>
                <w:sz w:val="24"/>
                <w:szCs w:val="24"/>
              </w:rPr>
            </w:pPr>
            <w:r w:rsidRPr="00DD33C9">
              <w:rPr>
                <w:rFonts w:ascii="Times New Roman" w:hAnsi="Times New Roman" w:cs="Times New Roman"/>
                <w:sz w:val="24"/>
                <w:szCs w:val="24"/>
              </w:rPr>
              <w:t>Pristine VO</w:t>
            </w:r>
          </w:p>
        </w:tc>
        <w:tc>
          <w:tcPr>
            <w:tcW w:w="1459" w:type="dxa"/>
            <w:tcBorders>
              <w:bottom w:val="single" w:sz="4" w:space="0" w:color="auto"/>
            </w:tcBorders>
          </w:tcPr>
          <w:p w14:paraId="56BC1EB7" w14:textId="37C6DF82" w:rsidR="00D76753" w:rsidRPr="00DD33C9" w:rsidRDefault="00D76753" w:rsidP="00D76753">
            <w:pPr>
              <w:jc w:val="center"/>
              <w:rPr>
                <w:rFonts w:ascii="Times New Roman" w:hAnsi="Times New Roman" w:cs="Times New Roman"/>
                <w:b/>
                <w:sz w:val="24"/>
                <w:szCs w:val="24"/>
              </w:rPr>
            </w:pPr>
            <w:r w:rsidRPr="00DD33C9">
              <w:rPr>
                <w:rFonts w:ascii="Times New Roman" w:hAnsi="Times New Roman" w:cs="Times New Roman"/>
                <w:sz w:val="24"/>
                <w:szCs w:val="24"/>
              </w:rPr>
              <w:t>9.139</w:t>
            </w:r>
          </w:p>
        </w:tc>
        <w:tc>
          <w:tcPr>
            <w:tcW w:w="1136" w:type="dxa"/>
            <w:tcBorders>
              <w:bottom w:val="single" w:sz="4" w:space="0" w:color="auto"/>
            </w:tcBorders>
          </w:tcPr>
          <w:p w14:paraId="09F332FE" w14:textId="41EC4D92" w:rsidR="00D76753" w:rsidRPr="00DD33C9" w:rsidRDefault="00D76753" w:rsidP="00D76753">
            <w:pPr>
              <w:jc w:val="center"/>
              <w:rPr>
                <w:rFonts w:ascii="Times New Roman" w:hAnsi="Times New Roman" w:cs="Times New Roman"/>
                <w:b/>
                <w:sz w:val="24"/>
                <w:szCs w:val="24"/>
              </w:rPr>
            </w:pPr>
            <w:r w:rsidRPr="00DD33C9">
              <w:rPr>
                <w:rFonts w:ascii="Times New Roman" w:hAnsi="Times New Roman" w:cs="Times New Roman"/>
                <w:sz w:val="24"/>
                <w:szCs w:val="24"/>
              </w:rPr>
              <w:t>499.5</w:t>
            </w:r>
          </w:p>
        </w:tc>
        <w:tc>
          <w:tcPr>
            <w:tcW w:w="1743" w:type="dxa"/>
            <w:tcBorders>
              <w:bottom w:val="single" w:sz="4" w:space="0" w:color="auto"/>
            </w:tcBorders>
          </w:tcPr>
          <w:p w14:paraId="51F7EBF3" w14:textId="23DCB2A2" w:rsidR="00D76753" w:rsidRPr="00DD33C9" w:rsidRDefault="00D76753" w:rsidP="00D76753">
            <w:pPr>
              <w:jc w:val="center"/>
              <w:rPr>
                <w:rFonts w:ascii="Times New Roman" w:hAnsi="Times New Roman" w:cs="Times New Roman"/>
                <w:b/>
                <w:sz w:val="24"/>
                <w:szCs w:val="24"/>
              </w:rPr>
            </w:pPr>
            <w:r w:rsidRPr="00DD33C9">
              <w:rPr>
                <w:rFonts w:ascii="Times New Roman" w:hAnsi="Times New Roman" w:cs="Times New Roman"/>
                <w:sz w:val="24"/>
                <w:szCs w:val="24"/>
              </w:rPr>
              <w:t xml:space="preserve">6.87 </w:t>
            </w:r>
            <m:oMath>
              <m:r>
                <m:rPr>
                  <m:sty m:val="p"/>
                </m:rPr>
                <w:rPr>
                  <w:rFonts w:ascii="Cambria Math" w:hAnsi="Cambria Math" w:cs="Times New Roman"/>
                  <w:sz w:val="24"/>
                  <w:szCs w:val="24"/>
                </w:rPr>
                <m:t>×</m:t>
              </m:r>
            </m:oMath>
            <w:r w:rsidRPr="00DD33C9">
              <w:rPr>
                <w:rFonts w:ascii="Times New Roman" w:hAnsi="Times New Roman" w:cs="Times New Roman"/>
                <w:sz w:val="24"/>
                <w:szCs w:val="24"/>
              </w:rPr>
              <w:t xml:space="preserve"> 10</w:t>
            </w:r>
            <w:r w:rsidRPr="00DD33C9">
              <w:rPr>
                <w:rFonts w:ascii="Times New Roman" w:hAnsi="Times New Roman" w:cs="Times New Roman"/>
                <w:sz w:val="24"/>
                <w:szCs w:val="24"/>
                <w:vertAlign w:val="superscript"/>
              </w:rPr>
              <w:t>-5</w:t>
            </w:r>
          </w:p>
        </w:tc>
        <w:tc>
          <w:tcPr>
            <w:tcW w:w="1843" w:type="dxa"/>
            <w:tcBorders>
              <w:bottom w:val="single" w:sz="4" w:space="0" w:color="auto"/>
            </w:tcBorders>
          </w:tcPr>
          <w:p w14:paraId="2F23B387" w14:textId="577DB2C1" w:rsidR="00D76753" w:rsidRPr="00DD33C9" w:rsidRDefault="00D76753" w:rsidP="00D76753">
            <w:pPr>
              <w:jc w:val="center"/>
              <w:rPr>
                <w:rFonts w:ascii="Times New Roman" w:hAnsi="Times New Roman" w:cs="Times New Roman"/>
                <w:sz w:val="24"/>
                <w:szCs w:val="24"/>
              </w:rPr>
            </w:pPr>
            <w:r w:rsidRPr="00DD33C9">
              <w:rPr>
                <w:rFonts w:ascii="Times New Roman" w:hAnsi="Times New Roman" w:cs="Times New Roman"/>
                <w:sz w:val="24"/>
                <w:szCs w:val="24"/>
              </w:rPr>
              <w:t>0.018</w:t>
            </w:r>
          </w:p>
        </w:tc>
      </w:tr>
    </w:tbl>
    <w:p w14:paraId="45517798" w14:textId="77777777" w:rsidR="00D76753" w:rsidRPr="00DD33C9" w:rsidRDefault="00D76753" w:rsidP="00D76753">
      <w:pPr>
        <w:spacing w:line="480" w:lineRule="auto"/>
        <w:jc w:val="both"/>
        <w:rPr>
          <w:rFonts w:ascii="Times New Roman" w:hAnsi="Times New Roman" w:cs="Times New Roman"/>
          <w:sz w:val="24"/>
          <w:szCs w:val="24"/>
        </w:rPr>
      </w:pPr>
    </w:p>
    <w:p w14:paraId="14D80C44" w14:textId="5DF8F3BC" w:rsidR="00D76753" w:rsidRPr="00DD33C9" w:rsidRDefault="00D76753" w:rsidP="002847ED">
      <w:pPr>
        <w:spacing w:line="480" w:lineRule="auto"/>
        <w:jc w:val="both"/>
        <w:rPr>
          <w:rFonts w:ascii="Times New Roman" w:hAnsi="Times New Roman" w:cs="Times New Roman"/>
          <w:sz w:val="24"/>
          <w:szCs w:val="24"/>
        </w:rPr>
      </w:pPr>
    </w:p>
    <w:p w14:paraId="32AB4E43" w14:textId="70E62772" w:rsidR="009608FC" w:rsidRPr="00DD33C9" w:rsidRDefault="009608FC" w:rsidP="002847ED">
      <w:pPr>
        <w:spacing w:line="480" w:lineRule="auto"/>
        <w:jc w:val="both"/>
        <w:rPr>
          <w:rFonts w:ascii="Times New Roman" w:hAnsi="Times New Roman" w:cs="Times New Roman"/>
          <w:sz w:val="24"/>
          <w:szCs w:val="24"/>
        </w:rPr>
      </w:pPr>
    </w:p>
    <w:p w14:paraId="488428B7" w14:textId="111AC854" w:rsidR="009608FC" w:rsidRPr="00DD33C9" w:rsidRDefault="009608FC" w:rsidP="002847ED">
      <w:pPr>
        <w:spacing w:line="480" w:lineRule="auto"/>
        <w:jc w:val="both"/>
        <w:rPr>
          <w:rFonts w:ascii="Times New Roman" w:hAnsi="Times New Roman" w:cs="Times New Roman"/>
          <w:sz w:val="24"/>
          <w:szCs w:val="24"/>
        </w:rPr>
      </w:pPr>
    </w:p>
    <w:p w14:paraId="4B83FBCE" w14:textId="215FFE01" w:rsidR="009608FC" w:rsidRPr="00DD33C9" w:rsidRDefault="009608FC" w:rsidP="002847ED">
      <w:pPr>
        <w:spacing w:line="480" w:lineRule="auto"/>
        <w:jc w:val="both"/>
        <w:rPr>
          <w:rFonts w:ascii="Times New Roman" w:hAnsi="Times New Roman" w:cs="Times New Roman"/>
          <w:sz w:val="24"/>
          <w:szCs w:val="24"/>
        </w:rPr>
      </w:pPr>
    </w:p>
    <w:p w14:paraId="7AA042FA" w14:textId="7136701F" w:rsidR="009608FC" w:rsidRPr="00DD33C9" w:rsidRDefault="009608FC" w:rsidP="002847ED">
      <w:pPr>
        <w:spacing w:line="480" w:lineRule="auto"/>
        <w:jc w:val="both"/>
        <w:rPr>
          <w:rFonts w:ascii="Times New Roman" w:hAnsi="Times New Roman" w:cs="Times New Roman"/>
          <w:sz w:val="24"/>
          <w:szCs w:val="24"/>
        </w:rPr>
      </w:pPr>
    </w:p>
    <w:p w14:paraId="5078467A" w14:textId="3134A1D8" w:rsidR="009608FC" w:rsidRPr="00DD33C9" w:rsidRDefault="009608FC" w:rsidP="002847ED">
      <w:pPr>
        <w:spacing w:line="480" w:lineRule="auto"/>
        <w:jc w:val="both"/>
        <w:rPr>
          <w:rFonts w:ascii="Times New Roman" w:hAnsi="Times New Roman" w:cs="Times New Roman"/>
          <w:sz w:val="24"/>
          <w:szCs w:val="24"/>
        </w:rPr>
      </w:pPr>
    </w:p>
    <w:p w14:paraId="4B31A80C" w14:textId="4B08A043" w:rsidR="009608FC" w:rsidRPr="00DD33C9" w:rsidRDefault="009608FC" w:rsidP="002847ED">
      <w:pPr>
        <w:spacing w:line="480" w:lineRule="auto"/>
        <w:jc w:val="both"/>
        <w:rPr>
          <w:rFonts w:ascii="Times New Roman" w:hAnsi="Times New Roman" w:cs="Times New Roman"/>
          <w:sz w:val="24"/>
          <w:szCs w:val="24"/>
        </w:rPr>
      </w:pPr>
    </w:p>
    <w:p w14:paraId="24F90441" w14:textId="00250A42" w:rsidR="009608FC" w:rsidRPr="00DD33C9" w:rsidRDefault="009608FC" w:rsidP="002847ED">
      <w:pPr>
        <w:spacing w:line="480" w:lineRule="auto"/>
        <w:jc w:val="both"/>
        <w:rPr>
          <w:rFonts w:ascii="Times New Roman" w:hAnsi="Times New Roman" w:cs="Times New Roman"/>
          <w:sz w:val="24"/>
          <w:szCs w:val="24"/>
        </w:rPr>
      </w:pPr>
    </w:p>
    <w:p w14:paraId="280734E2" w14:textId="378490B4" w:rsidR="009608FC" w:rsidRPr="00DD33C9" w:rsidRDefault="009608FC" w:rsidP="002847ED">
      <w:pPr>
        <w:spacing w:line="480" w:lineRule="auto"/>
        <w:jc w:val="both"/>
        <w:rPr>
          <w:rFonts w:ascii="Times New Roman" w:hAnsi="Times New Roman" w:cs="Times New Roman"/>
          <w:sz w:val="24"/>
          <w:szCs w:val="24"/>
        </w:rPr>
      </w:pPr>
    </w:p>
    <w:p w14:paraId="73B02001" w14:textId="46C8C5AB" w:rsidR="009608FC" w:rsidRPr="00DD33C9" w:rsidRDefault="009608FC" w:rsidP="002847ED">
      <w:pPr>
        <w:spacing w:line="480" w:lineRule="auto"/>
        <w:jc w:val="both"/>
        <w:rPr>
          <w:rFonts w:ascii="Times New Roman" w:hAnsi="Times New Roman" w:cs="Times New Roman"/>
          <w:sz w:val="24"/>
          <w:szCs w:val="24"/>
        </w:rPr>
      </w:pPr>
    </w:p>
    <w:p w14:paraId="1F53FBFA" w14:textId="73F66AE7" w:rsidR="009608FC" w:rsidRPr="00DD33C9" w:rsidRDefault="009608FC" w:rsidP="002847ED">
      <w:pPr>
        <w:spacing w:line="480" w:lineRule="auto"/>
        <w:jc w:val="both"/>
        <w:rPr>
          <w:rFonts w:ascii="Times New Roman" w:hAnsi="Times New Roman" w:cs="Times New Roman"/>
          <w:sz w:val="24"/>
          <w:szCs w:val="24"/>
        </w:rPr>
      </w:pPr>
    </w:p>
    <w:p w14:paraId="4F700BE4" w14:textId="1884F9EE" w:rsidR="009608FC" w:rsidRPr="00DD33C9" w:rsidRDefault="009608FC" w:rsidP="002847ED">
      <w:pPr>
        <w:spacing w:line="480" w:lineRule="auto"/>
        <w:jc w:val="both"/>
        <w:rPr>
          <w:rFonts w:ascii="Times New Roman" w:hAnsi="Times New Roman" w:cs="Times New Roman"/>
          <w:sz w:val="24"/>
          <w:szCs w:val="24"/>
        </w:rPr>
      </w:pPr>
    </w:p>
    <w:p w14:paraId="4074D99B" w14:textId="5DCCE759" w:rsidR="009608FC" w:rsidRPr="00DD33C9" w:rsidRDefault="009608FC" w:rsidP="002847ED">
      <w:pPr>
        <w:spacing w:line="480" w:lineRule="auto"/>
        <w:jc w:val="both"/>
        <w:rPr>
          <w:rFonts w:ascii="Times New Roman" w:hAnsi="Times New Roman" w:cs="Times New Roman"/>
          <w:sz w:val="24"/>
          <w:szCs w:val="24"/>
        </w:rPr>
      </w:pPr>
    </w:p>
    <w:p w14:paraId="202190D3" w14:textId="77777777" w:rsidR="009608FC" w:rsidRPr="00DD33C9" w:rsidRDefault="009608FC" w:rsidP="002847ED">
      <w:pPr>
        <w:spacing w:line="480" w:lineRule="auto"/>
        <w:jc w:val="both"/>
        <w:rPr>
          <w:rFonts w:ascii="Times New Roman" w:hAnsi="Times New Roman" w:cs="Times New Roman"/>
          <w:sz w:val="24"/>
          <w:szCs w:val="24"/>
        </w:rPr>
      </w:pPr>
    </w:p>
    <w:p w14:paraId="4C47C9C5" w14:textId="53C3CC66" w:rsidR="00B944DE" w:rsidRPr="00DD33C9" w:rsidRDefault="00B944DE" w:rsidP="00B944DE">
      <w:pPr>
        <w:spacing w:line="480" w:lineRule="auto"/>
        <w:jc w:val="center"/>
        <w:rPr>
          <w:rFonts w:ascii="Times New Roman" w:hAnsi="Times New Roman" w:cs="Times New Roman"/>
          <w:sz w:val="24"/>
          <w:szCs w:val="24"/>
        </w:rPr>
      </w:pPr>
      <w:r w:rsidRPr="00DD33C9">
        <w:rPr>
          <w:rFonts w:ascii="Times New Roman" w:hAnsi="Times New Roman" w:cs="Times New Roman"/>
          <w:noProof/>
          <w:sz w:val="24"/>
          <w:szCs w:val="24"/>
        </w:rPr>
        <w:lastRenderedPageBreak/>
        <w:drawing>
          <wp:inline distT="0" distB="0" distL="0" distR="0" wp14:anchorId="1D22C109" wp14:editId="756715F2">
            <wp:extent cx="5886450" cy="2730052"/>
            <wp:effectExtent l="0" t="0" r="0" b="0"/>
            <wp:docPr id="631950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90045" cy="2731719"/>
                    </a:xfrm>
                    <a:prstGeom prst="rect">
                      <a:avLst/>
                    </a:prstGeom>
                    <a:noFill/>
                  </pic:spPr>
                </pic:pic>
              </a:graphicData>
            </a:graphic>
          </wp:inline>
        </w:drawing>
      </w:r>
    </w:p>
    <w:p w14:paraId="2A08E787" w14:textId="6BF17E0B" w:rsidR="00B944DE" w:rsidRPr="00DD33C9" w:rsidRDefault="00B944DE" w:rsidP="003A5050">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Figure S1.</w:t>
      </w:r>
      <w:r w:rsidRPr="00DD33C9">
        <w:rPr>
          <w:rFonts w:ascii="Times New Roman" w:hAnsi="Times New Roman" w:cs="Times New Roman"/>
          <w:sz w:val="24"/>
          <w:szCs w:val="24"/>
        </w:rPr>
        <w:t xml:space="preserve"> </w:t>
      </w:r>
      <w:r w:rsidR="00D07203" w:rsidRPr="00DD33C9">
        <w:rPr>
          <w:rFonts w:ascii="Times New Roman" w:hAnsi="Times New Roman" w:cs="Times New Roman"/>
          <w:sz w:val="24"/>
          <w:szCs w:val="24"/>
        </w:rPr>
        <w:t xml:space="preserve">Refined crystallographic structures. (a) Rietveld-refined orthorhombic structure of VO indexed to </w:t>
      </w:r>
      <w:proofErr w:type="spellStart"/>
      <w:r w:rsidR="00D07203" w:rsidRPr="00DD33C9">
        <w:rPr>
          <w:rFonts w:ascii="Times New Roman" w:hAnsi="Times New Roman" w:cs="Times New Roman"/>
          <w:sz w:val="24"/>
          <w:szCs w:val="24"/>
        </w:rPr>
        <w:t>Pmnm</w:t>
      </w:r>
      <w:proofErr w:type="spellEnd"/>
      <w:r w:rsidR="00D07203" w:rsidRPr="00DD33C9">
        <w:rPr>
          <w:rFonts w:ascii="Times New Roman" w:hAnsi="Times New Roman" w:cs="Times New Roman"/>
          <w:sz w:val="24"/>
          <w:szCs w:val="24"/>
        </w:rPr>
        <w:t xml:space="preserve"> space group. </w:t>
      </w:r>
      <w:r w:rsidRPr="00DD33C9">
        <w:rPr>
          <w:rFonts w:ascii="Times New Roman" w:hAnsi="Times New Roman" w:cs="Times New Roman"/>
          <w:sz w:val="24"/>
          <w:szCs w:val="24"/>
        </w:rPr>
        <w:t xml:space="preserve">(b) </w:t>
      </w:r>
      <w:r w:rsidR="00D07203" w:rsidRPr="00DD33C9">
        <w:rPr>
          <w:rFonts w:ascii="Times New Roman" w:hAnsi="Times New Roman" w:cs="Times New Roman"/>
          <w:sz w:val="24"/>
          <w:szCs w:val="24"/>
        </w:rPr>
        <w:t>Dual-phase structure of HH–CsVO/VO composite showing coexistence of monoclinic CsVO (P2₁/m) and VO phases, confirming heterostructure formation.</w:t>
      </w:r>
    </w:p>
    <w:p w14:paraId="575627DE" w14:textId="77777777" w:rsidR="00B944DE" w:rsidRPr="00DD33C9" w:rsidRDefault="00B944DE" w:rsidP="003A5050">
      <w:pPr>
        <w:spacing w:line="480" w:lineRule="auto"/>
        <w:jc w:val="both"/>
        <w:rPr>
          <w:rFonts w:ascii="Times New Roman" w:hAnsi="Times New Roman" w:cs="Times New Roman"/>
          <w:sz w:val="24"/>
          <w:szCs w:val="24"/>
        </w:rPr>
      </w:pPr>
    </w:p>
    <w:p w14:paraId="1D506938" w14:textId="451FC384" w:rsidR="00B944DE" w:rsidRPr="00DD33C9" w:rsidRDefault="00B944DE" w:rsidP="00B944DE">
      <w:pPr>
        <w:spacing w:line="480" w:lineRule="auto"/>
        <w:jc w:val="center"/>
        <w:rPr>
          <w:rFonts w:ascii="Times New Roman" w:hAnsi="Times New Roman" w:cs="Times New Roman"/>
          <w:sz w:val="24"/>
          <w:szCs w:val="24"/>
        </w:rPr>
      </w:pPr>
      <w:r w:rsidRPr="00DD33C9">
        <w:rPr>
          <w:rFonts w:ascii="Times New Roman" w:hAnsi="Times New Roman" w:cs="Times New Roman"/>
          <w:noProof/>
          <w:sz w:val="24"/>
          <w:szCs w:val="24"/>
        </w:rPr>
        <w:drawing>
          <wp:inline distT="0" distB="0" distL="0" distR="0" wp14:anchorId="4C26531E" wp14:editId="78086712">
            <wp:extent cx="5962650" cy="1606225"/>
            <wp:effectExtent l="0" t="0" r="0" b="0"/>
            <wp:docPr id="51078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00" t="601" r="1305" b="1"/>
                    <a:stretch>
                      <a:fillRect/>
                    </a:stretch>
                  </pic:blipFill>
                  <pic:spPr bwMode="auto">
                    <a:xfrm>
                      <a:off x="0" y="0"/>
                      <a:ext cx="5972857" cy="1608975"/>
                    </a:xfrm>
                    <a:prstGeom prst="rect">
                      <a:avLst/>
                    </a:prstGeom>
                    <a:noFill/>
                    <a:ln>
                      <a:noFill/>
                    </a:ln>
                    <a:extLst>
                      <a:ext uri="{53640926-AAD7-44D8-BBD7-CCE9431645EC}">
                        <a14:shadowObscured xmlns:a14="http://schemas.microsoft.com/office/drawing/2010/main"/>
                      </a:ext>
                    </a:extLst>
                  </pic:spPr>
                </pic:pic>
              </a:graphicData>
            </a:graphic>
          </wp:inline>
        </w:drawing>
      </w:r>
    </w:p>
    <w:p w14:paraId="47D43268" w14:textId="2716B36C" w:rsidR="00B944DE" w:rsidRPr="00DD33C9" w:rsidRDefault="00D07203" w:rsidP="003A5050">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Figure S2.</w:t>
      </w:r>
      <w:r w:rsidRPr="00DD33C9">
        <w:rPr>
          <w:rFonts w:ascii="Times New Roman" w:hAnsi="Times New Roman" w:cs="Times New Roman"/>
          <w:sz w:val="24"/>
          <w:szCs w:val="24"/>
        </w:rPr>
        <w:t xml:space="preserve"> XPS analysis of VO and HH–CsVO/VO.</w:t>
      </w:r>
      <w:r w:rsidR="00B944DE" w:rsidRPr="00DD33C9">
        <w:rPr>
          <w:rFonts w:ascii="Times New Roman" w:hAnsi="Times New Roman" w:cs="Times New Roman"/>
          <w:sz w:val="24"/>
          <w:szCs w:val="24"/>
        </w:rPr>
        <w:t xml:space="preserve"> </w:t>
      </w:r>
      <w:r w:rsidRPr="00DD33C9">
        <w:rPr>
          <w:rFonts w:ascii="Times New Roman" w:hAnsi="Times New Roman" w:cs="Times New Roman"/>
          <w:sz w:val="24"/>
          <w:szCs w:val="24"/>
        </w:rPr>
        <w:t xml:space="preserve">(a) </w:t>
      </w:r>
      <w:r w:rsidR="008E3321" w:rsidRPr="00DD33C9">
        <w:rPr>
          <w:rFonts w:ascii="Times New Roman" w:hAnsi="Times New Roman" w:cs="Times New Roman"/>
          <w:sz w:val="24"/>
          <w:szCs w:val="24"/>
        </w:rPr>
        <w:t xml:space="preserve">Total </w:t>
      </w:r>
      <w:r w:rsidRPr="00DD33C9">
        <w:rPr>
          <w:rFonts w:ascii="Times New Roman" w:hAnsi="Times New Roman" w:cs="Times New Roman"/>
          <w:sz w:val="24"/>
          <w:szCs w:val="24"/>
        </w:rPr>
        <w:t>XPS survey</w:t>
      </w:r>
      <w:r w:rsidR="008E3321" w:rsidRPr="00DD33C9">
        <w:rPr>
          <w:rFonts w:ascii="Times New Roman" w:hAnsi="Times New Roman" w:cs="Times New Roman"/>
          <w:sz w:val="24"/>
          <w:szCs w:val="24"/>
        </w:rPr>
        <w:t xml:space="preserve"> scan</w:t>
      </w:r>
      <w:r w:rsidRPr="00DD33C9">
        <w:rPr>
          <w:rFonts w:ascii="Times New Roman" w:hAnsi="Times New Roman" w:cs="Times New Roman"/>
          <w:sz w:val="24"/>
          <w:szCs w:val="24"/>
        </w:rPr>
        <w:t xml:space="preserve"> spectr</w:t>
      </w:r>
      <w:r w:rsidR="008E3321" w:rsidRPr="00DD33C9">
        <w:rPr>
          <w:rFonts w:ascii="Times New Roman" w:hAnsi="Times New Roman" w:cs="Times New Roman"/>
          <w:sz w:val="24"/>
          <w:szCs w:val="24"/>
        </w:rPr>
        <w:t>a</w:t>
      </w:r>
      <w:r w:rsidRPr="00DD33C9">
        <w:rPr>
          <w:rFonts w:ascii="Times New Roman" w:hAnsi="Times New Roman" w:cs="Times New Roman"/>
          <w:sz w:val="24"/>
          <w:szCs w:val="24"/>
        </w:rPr>
        <w:t xml:space="preserve"> indicating elemental composition. (b) High-resolution O 1s spectr</w:t>
      </w:r>
      <w:r w:rsidR="008E3321" w:rsidRPr="00DD33C9">
        <w:rPr>
          <w:rFonts w:ascii="Times New Roman" w:hAnsi="Times New Roman" w:cs="Times New Roman"/>
          <w:sz w:val="24"/>
          <w:szCs w:val="24"/>
        </w:rPr>
        <w:t>a</w:t>
      </w:r>
      <w:r w:rsidRPr="00DD33C9">
        <w:rPr>
          <w:rFonts w:ascii="Times New Roman" w:hAnsi="Times New Roman" w:cs="Times New Roman"/>
          <w:sz w:val="24"/>
          <w:szCs w:val="24"/>
        </w:rPr>
        <w:t xml:space="preserve"> highlighting shifts in oxygen coordination. (c) Cs 3d core-level spectrum confirming successful Cs incorporation in the composite.</w:t>
      </w:r>
    </w:p>
    <w:p w14:paraId="58191C28" w14:textId="77777777" w:rsidR="00B944DE" w:rsidRPr="00DD33C9" w:rsidRDefault="00B944DE" w:rsidP="003A5050">
      <w:pPr>
        <w:spacing w:line="480" w:lineRule="auto"/>
        <w:jc w:val="both"/>
        <w:rPr>
          <w:rFonts w:ascii="Times New Roman" w:hAnsi="Times New Roman" w:cs="Times New Roman"/>
          <w:sz w:val="24"/>
          <w:szCs w:val="24"/>
        </w:rPr>
      </w:pPr>
    </w:p>
    <w:p w14:paraId="559D4B3C" w14:textId="20A79F15" w:rsidR="00B944DE" w:rsidRPr="00DD33C9" w:rsidRDefault="00B944DE" w:rsidP="00B944DE">
      <w:pPr>
        <w:spacing w:line="480" w:lineRule="auto"/>
        <w:jc w:val="center"/>
        <w:rPr>
          <w:rFonts w:ascii="Times New Roman" w:hAnsi="Times New Roman" w:cs="Times New Roman"/>
          <w:sz w:val="24"/>
          <w:szCs w:val="24"/>
        </w:rPr>
      </w:pPr>
      <w:r w:rsidRPr="00DD33C9">
        <w:rPr>
          <w:rFonts w:ascii="Times New Roman" w:hAnsi="Times New Roman" w:cs="Times New Roman"/>
          <w:noProof/>
          <w:sz w:val="24"/>
          <w:szCs w:val="24"/>
        </w:rPr>
        <w:lastRenderedPageBreak/>
        <w:drawing>
          <wp:inline distT="0" distB="0" distL="0" distR="0" wp14:anchorId="00C89B44" wp14:editId="3DC12477">
            <wp:extent cx="5257800" cy="4103650"/>
            <wp:effectExtent l="0" t="0" r="0" b="0"/>
            <wp:docPr id="231369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101" t="1" r="2268" b="415"/>
                    <a:stretch>
                      <a:fillRect/>
                    </a:stretch>
                  </pic:blipFill>
                  <pic:spPr bwMode="auto">
                    <a:xfrm>
                      <a:off x="0" y="0"/>
                      <a:ext cx="5285678" cy="4125408"/>
                    </a:xfrm>
                    <a:prstGeom prst="rect">
                      <a:avLst/>
                    </a:prstGeom>
                    <a:noFill/>
                    <a:ln>
                      <a:noFill/>
                    </a:ln>
                    <a:extLst>
                      <a:ext uri="{53640926-AAD7-44D8-BBD7-CCE9431645EC}">
                        <a14:shadowObscured xmlns:a14="http://schemas.microsoft.com/office/drawing/2010/main"/>
                      </a:ext>
                    </a:extLst>
                  </pic:spPr>
                </pic:pic>
              </a:graphicData>
            </a:graphic>
          </wp:inline>
        </w:drawing>
      </w:r>
    </w:p>
    <w:p w14:paraId="1CF01A3F" w14:textId="7F4479B5" w:rsidR="00B944DE" w:rsidRPr="00DD33C9" w:rsidRDefault="00D07203" w:rsidP="003A5050">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Figure S3</w:t>
      </w:r>
      <w:r w:rsidRPr="00DD33C9">
        <w:rPr>
          <w:rFonts w:ascii="Times New Roman" w:hAnsi="Times New Roman" w:cs="Times New Roman"/>
          <w:b/>
          <w:sz w:val="24"/>
          <w:szCs w:val="24"/>
        </w:rPr>
        <w:t>.</w:t>
      </w:r>
      <w:r w:rsidRPr="00DD33C9">
        <w:rPr>
          <w:rFonts w:ascii="Times New Roman" w:hAnsi="Times New Roman" w:cs="Times New Roman"/>
          <w:sz w:val="24"/>
          <w:szCs w:val="24"/>
        </w:rPr>
        <w:t xml:space="preserve"> Optical and band structure analysis. </w:t>
      </w:r>
      <w:r w:rsidR="004D2024" w:rsidRPr="00DD33C9">
        <w:rPr>
          <w:rFonts w:ascii="Times New Roman" w:hAnsi="Times New Roman" w:cs="Times New Roman"/>
          <w:sz w:val="24"/>
          <w:szCs w:val="24"/>
        </w:rPr>
        <w:t xml:space="preserve">(a) </w:t>
      </w:r>
      <w:r w:rsidRPr="00DD33C9">
        <w:rPr>
          <w:rFonts w:ascii="Times New Roman" w:hAnsi="Times New Roman" w:cs="Times New Roman"/>
          <w:sz w:val="24"/>
          <w:szCs w:val="24"/>
        </w:rPr>
        <w:t>UV–</w:t>
      </w:r>
      <w:proofErr w:type="gramStart"/>
      <w:r w:rsidRPr="00DD33C9">
        <w:rPr>
          <w:rFonts w:ascii="Times New Roman" w:hAnsi="Times New Roman" w:cs="Times New Roman"/>
          <w:sz w:val="24"/>
          <w:szCs w:val="24"/>
        </w:rPr>
        <w:t>Vis</w:t>
      </w:r>
      <w:proofErr w:type="gramEnd"/>
      <w:r w:rsidRPr="00DD33C9">
        <w:rPr>
          <w:rFonts w:ascii="Times New Roman" w:hAnsi="Times New Roman" w:cs="Times New Roman"/>
          <w:sz w:val="24"/>
          <w:szCs w:val="24"/>
        </w:rPr>
        <w:t xml:space="preserve"> absorption spectra of VO and </w:t>
      </w:r>
      <w:r w:rsidR="00D11608" w:rsidRPr="00DD33C9">
        <w:rPr>
          <w:rFonts w:ascii="Times New Roman" w:hAnsi="Times New Roman" w:cs="Times New Roman"/>
          <w:sz w:val="24"/>
          <w:szCs w:val="24"/>
        </w:rPr>
        <w:t>HH–CsVO/VO</w:t>
      </w:r>
      <w:r w:rsidRPr="00DD33C9">
        <w:rPr>
          <w:rFonts w:ascii="Times New Roman" w:hAnsi="Times New Roman" w:cs="Times New Roman"/>
          <w:sz w:val="24"/>
          <w:szCs w:val="24"/>
        </w:rPr>
        <w:t>. (b) Magnified region highlighting redshift in the composite.</w:t>
      </w:r>
      <w:r w:rsidR="004D2024" w:rsidRPr="00DD33C9">
        <w:rPr>
          <w:rFonts w:ascii="Times New Roman" w:hAnsi="Times New Roman" w:cs="Times New Roman"/>
          <w:sz w:val="24"/>
          <w:szCs w:val="24"/>
        </w:rPr>
        <w:t xml:space="preserve"> (c) </w:t>
      </w:r>
      <w:r w:rsidRPr="00DD33C9">
        <w:rPr>
          <w:rFonts w:ascii="Times New Roman" w:hAnsi="Times New Roman" w:cs="Times New Roman"/>
          <w:sz w:val="24"/>
          <w:szCs w:val="24"/>
        </w:rPr>
        <w:t>Tauc plot for VO showing a wider band gap.</w:t>
      </w:r>
      <w:r w:rsidR="004D2024" w:rsidRPr="00DD33C9">
        <w:rPr>
          <w:rFonts w:ascii="Times New Roman" w:hAnsi="Times New Roman" w:cs="Times New Roman"/>
          <w:sz w:val="24"/>
          <w:szCs w:val="24"/>
        </w:rPr>
        <w:t xml:space="preserve"> </w:t>
      </w:r>
      <w:r w:rsidRPr="00DD33C9">
        <w:rPr>
          <w:rFonts w:ascii="Times New Roman" w:hAnsi="Times New Roman" w:cs="Times New Roman"/>
          <w:sz w:val="24"/>
          <w:szCs w:val="24"/>
        </w:rPr>
        <w:t>(d) Tauc plot for CsVO/VO revealing bandgap narrowing due to heterostructure-induced electronic modulation.</w:t>
      </w:r>
    </w:p>
    <w:p w14:paraId="2BA8D691" w14:textId="77777777" w:rsidR="004D2024" w:rsidRPr="00DD33C9" w:rsidRDefault="004D2024" w:rsidP="003A5050">
      <w:pPr>
        <w:spacing w:line="480" w:lineRule="auto"/>
        <w:jc w:val="both"/>
        <w:rPr>
          <w:rFonts w:ascii="Times New Roman" w:hAnsi="Times New Roman" w:cs="Times New Roman"/>
          <w:sz w:val="24"/>
          <w:szCs w:val="24"/>
        </w:rPr>
      </w:pPr>
    </w:p>
    <w:p w14:paraId="2DEBFE02" w14:textId="77777777" w:rsidR="004D2024" w:rsidRPr="00DD33C9" w:rsidRDefault="004D2024" w:rsidP="003A5050">
      <w:pPr>
        <w:spacing w:line="480" w:lineRule="auto"/>
        <w:jc w:val="both"/>
        <w:rPr>
          <w:rFonts w:ascii="Times New Roman" w:hAnsi="Times New Roman" w:cs="Times New Roman"/>
          <w:sz w:val="24"/>
          <w:szCs w:val="24"/>
        </w:rPr>
      </w:pPr>
    </w:p>
    <w:p w14:paraId="08A0E8E6" w14:textId="5393A124" w:rsidR="00B944DE" w:rsidRPr="00DD33C9" w:rsidRDefault="005114AD" w:rsidP="004D2024">
      <w:pPr>
        <w:spacing w:line="480" w:lineRule="auto"/>
        <w:jc w:val="center"/>
        <w:rPr>
          <w:rFonts w:ascii="Times New Roman" w:hAnsi="Times New Roman" w:cs="Times New Roman"/>
          <w:sz w:val="24"/>
          <w:szCs w:val="24"/>
        </w:rPr>
      </w:pPr>
      <w:r w:rsidRPr="00DD33C9">
        <w:rPr>
          <w:rFonts w:ascii="Times New Roman" w:hAnsi="Times New Roman" w:cs="Times New Roman"/>
          <w:noProof/>
          <w:sz w:val="24"/>
          <w:szCs w:val="24"/>
        </w:rPr>
        <w:lastRenderedPageBreak/>
        <w:drawing>
          <wp:inline distT="0" distB="0" distL="0" distR="0" wp14:anchorId="6199C103" wp14:editId="575E8A9F">
            <wp:extent cx="5943600" cy="2942315"/>
            <wp:effectExtent l="0" t="0" r="0" b="0"/>
            <wp:docPr id="1148805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96" r="990"/>
                    <a:stretch>
                      <a:fillRect/>
                    </a:stretch>
                  </pic:blipFill>
                  <pic:spPr bwMode="auto">
                    <a:xfrm>
                      <a:off x="0" y="0"/>
                      <a:ext cx="5943600" cy="2942315"/>
                    </a:xfrm>
                    <a:prstGeom prst="rect">
                      <a:avLst/>
                    </a:prstGeom>
                    <a:noFill/>
                    <a:ln>
                      <a:noFill/>
                    </a:ln>
                    <a:extLst>
                      <a:ext uri="{53640926-AAD7-44D8-BBD7-CCE9431645EC}">
                        <a14:shadowObscured xmlns:a14="http://schemas.microsoft.com/office/drawing/2010/main"/>
                      </a:ext>
                    </a:extLst>
                  </pic:spPr>
                </pic:pic>
              </a:graphicData>
            </a:graphic>
          </wp:inline>
        </w:drawing>
      </w:r>
    </w:p>
    <w:p w14:paraId="23A9DD2B" w14:textId="6BADE4A0" w:rsidR="00B944DE" w:rsidRPr="00DD33C9" w:rsidRDefault="004D2024" w:rsidP="003A5050">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Figure S4.</w:t>
      </w:r>
      <w:r w:rsidRPr="00DD33C9">
        <w:rPr>
          <w:rFonts w:ascii="Times New Roman" w:hAnsi="Times New Roman" w:cs="Times New Roman"/>
          <w:sz w:val="24"/>
          <w:szCs w:val="24"/>
        </w:rPr>
        <w:t xml:space="preserve"> </w:t>
      </w:r>
      <w:r w:rsidR="00EF3126" w:rsidRPr="00DD33C9">
        <w:rPr>
          <w:rFonts w:ascii="Times New Roman" w:hAnsi="Times New Roman" w:cs="Times New Roman"/>
          <w:sz w:val="24"/>
          <w:szCs w:val="24"/>
        </w:rPr>
        <w:t xml:space="preserve">Morphological and structural analysis of pristine VO. (a) </w:t>
      </w:r>
      <w:r w:rsidR="0073178F" w:rsidRPr="00DD33C9">
        <w:rPr>
          <w:rFonts w:ascii="Times New Roman" w:hAnsi="Times New Roman" w:cs="Times New Roman"/>
          <w:sz w:val="24"/>
          <w:szCs w:val="24"/>
        </w:rPr>
        <w:t>FE-</w:t>
      </w:r>
      <w:r w:rsidR="00EF3126" w:rsidRPr="00DD33C9">
        <w:rPr>
          <w:rFonts w:ascii="Times New Roman" w:hAnsi="Times New Roman" w:cs="Times New Roman"/>
          <w:sz w:val="24"/>
          <w:szCs w:val="24"/>
        </w:rPr>
        <w:t xml:space="preserve">SEM image illustrating surface morphology. </w:t>
      </w:r>
      <w:r w:rsidRPr="00DD33C9">
        <w:rPr>
          <w:rFonts w:ascii="Times New Roman" w:hAnsi="Times New Roman" w:cs="Times New Roman"/>
          <w:sz w:val="24"/>
          <w:szCs w:val="24"/>
        </w:rPr>
        <w:t xml:space="preserve">(b-e) </w:t>
      </w:r>
      <w:r w:rsidR="00EF3126" w:rsidRPr="00DD33C9">
        <w:rPr>
          <w:rFonts w:ascii="Times New Roman" w:hAnsi="Times New Roman" w:cs="Times New Roman"/>
          <w:sz w:val="24"/>
          <w:szCs w:val="24"/>
        </w:rPr>
        <w:t>TEM, HRTEM, SAED pattern, FFT, and IFFT images depicting the crystallinity and lattice spacing. (f) HAADF-S</w:t>
      </w:r>
      <w:r w:rsidR="008E3321" w:rsidRPr="00DD33C9">
        <w:rPr>
          <w:rFonts w:ascii="Times New Roman" w:hAnsi="Times New Roman" w:cs="Times New Roman"/>
          <w:sz w:val="24"/>
          <w:szCs w:val="24"/>
        </w:rPr>
        <w:t>-</w:t>
      </w:r>
      <w:r w:rsidR="00EF3126" w:rsidRPr="00DD33C9">
        <w:rPr>
          <w:rFonts w:ascii="Times New Roman" w:hAnsi="Times New Roman" w:cs="Times New Roman"/>
          <w:sz w:val="24"/>
          <w:szCs w:val="24"/>
        </w:rPr>
        <w:t>TEM image and corresponding EDS elemental mapping confirming uniform distribution of V and O.</w:t>
      </w:r>
    </w:p>
    <w:p w14:paraId="567D9EED" w14:textId="77777777" w:rsidR="00B944DE" w:rsidRPr="00DD33C9" w:rsidRDefault="00B944DE" w:rsidP="003A5050">
      <w:pPr>
        <w:spacing w:line="480" w:lineRule="auto"/>
        <w:jc w:val="both"/>
        <w:rPr>
          <w:rFonts w:ascii="Times New Roman" w:hAnsi="Times New Roman" w:cs="Times New Roman"/>
          <w:sz w:val="24"/>
          <w:szCs w:val="24"/>
        </w:rPr>
      </w:pPr>
    </w:p>
    <w:p w14:paraId="48501095" w14:textId="77777777" w:rsidR="008708A9" w:rsidRPr="00DD33C9" w:rsidRDefault="008708A9" w:rsidP="003A5050">
      <w:pPr>
        <w:spacing w:line="480" w:lineRule="auto"/>
        <w:jc w:val="both"/>
        <w:rPr>
          <w:rFonts w:ascii="Times New Roman" w:hAnsi="Times New Roman" w:cs="Times New Roman"/>
          <w:sz w:val="24"/>
          <w:szCs w:val="24"/>
        </w:rPr>
      </w:pPr>
    </w:p>
    <w:p w14:paraId="02F7BD66" w14:textId="77777777" w:rsidR="008708A9" w:rsidRPr="00DD33C9" w:rsidRDefault="008708A9" w:rsidP="003A5050">
      <w:pPr>
        <w:spacing w:line="480" w:lineRule="auto"/>
        <w:jc w:val="both"/>
        <w:rPr>
          <w:rFonts w:ascii="Times New Roman" w:hAnsi="Times New Roman" w:cs="Times New Roman"/>
          <w:sz w:val="24"/>
          <w:szCs w:val="24"/>
        </w:rPr>
      </w:pPr>
    </w:p>
    <w:p w14:paraId="58F9CD01" w14:textId="1FCFA017" w:rsidR="008708A9" w:rsidRPr="00DD33C9" w:rsidRDefault="008708A9" w:rsidP="008708A9">
      <w:pPr>
        <w:spacing w:line="480" w:lineRule="auto"/>
        <w:jc w:val="center"/>
        <w:rPr>
          <w:rFonts w:ascii="Times New Roman" w:hAnsi="Times New Roman" w:cs="Times New Roman"/>
          <w:sz w:val="24"/>
          <w:szCs w:val="24"/>
        </w:rPr>
      </w:pPr>
      <w:r w:rsidRPr="00DD33C9">
        <w:rPr>
          <w:rFonts w:ascii="Times New Roman" w:hAnsi="Times New Roman" w:cs="Times New Roman"/>
          <w:noProof/>
          <w:sz w:val="24"/>
          <w:szCs w:val="24"/>
        </w:rPr>
        <w:lastRenderedPageBreak/>
        <w:drawing>
          <wp:inline distT="0" distB="0" distL="0" distR="0" wp14:anchorId="7E7E9B7E" wp14:editId="3D37E7C6">
            <wp:extent cx="4495800" cy="5104628"/>
            <wp:effectExtent l="0" t="0" r="0" b="1270"/>
            <wp:docPr id="1351509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2120" r="3123"/>
                    <a:stretch>
                      <a:fillRect/>
                    </a:stretch>
                  </pic:blipFill>
                  <pic:spPr bwMode="auto">
                    <a:xfrm>
                      <a:off x="0" y="0"/>
                      <a:ext cx="4519168" cy="5131161"/>
                    </a:xfrm>
                    <a:prstGeom prst="rect">
                      <a:avLst/>
                    </a:prstGeom>
                    <a:noFill/>
                    <a:ln>
                      <a:noFill/>
                    </a:ln>
                    <a:extLst>
                      <a:ext uri="{53640926-AAD7-44D8-BBD7-CCE9431645EC}">
                        <a14:shadowObscured xmlns:a14="http://schemas.microsoft.com/office/drawing/2010/main"/>
                      </a:ext>
                    </a:extLst>
                  </pic:spPr>
                </pic:pic>
              </a:graphicData>
            </a:graphic>
          </wp:inline>
        </w:drawing>
      </w:r>
    </w:p>
    <w:p w14:paraId="3FF1FDA3" w14:textId="36C94F90" w:rsidR="00D11608" w:rsidRPr="00DD33C9" w:rsidRDefault="008708A9" w:rsidP="00D11608">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Figure S5</w:t>
      </w:r>
      <w:r w:rsidRPr="00DD33C9">
        <w:rPr>
          <w:rFonts w:ascii="Times New Roman" w:hAnsi="Times New Roman" w:cs="Times New Roman"/>
          <w:b/>
          <w:sz w:val="24"/>
          <w:szCs w:val="24"/>
        </w:rPr>
        <w:t>.</w:t>
      </w:r>
      <w:r w:rsidR="00D11608" w:rsidRPr="00DD33C9">
        <w:rPr>
          <w:rFonts w:ascii="Times New Roman" w:hAnsi="Times New Roman" w:cs="Times New Roman"/>
          <w:sz w:val="24"/>
          <w:szCs w:val="24"/>
        </w:rPr>
        <w:t xml:space="preserve"> S</w:t>
      </w:r>
      <w:r w:rsidR="008E3321" w:rsidRPr="00DD33C9">
        <w:rPr>
          <w:rFonts w:ascii="Times New Roman" w:hAnsi="Times New Roman" w:cs="Times New Roman"/>
          <w:sz w:val="24"/>
          <w:szCs w:val="24"/>
        </w:rPr>
        <w:t>-</w:t>
      </w:r>
      <w:r w:rsidR="00D11608" w:rsidRPr="00DD33C9">
        <w:rPr>
          <w:rFonts w:ascii="Times New Roman" w:hAnsi="Times New Roman" w:cs="Times New Roman"/>
          <w:sz w:val="24"/>
          <w:szCs w:val="24"/>
        </w:rPr>
        <w:t>TEM-EDS line scan analysis of VO and HH–CsVO/VO composite.</w:t>
      </w:r>
      <w:r w:rsidRPr="00DD33C9">
        <w:rPr>
          <w:rFonts w:ascii="Times New Roman" w:hAnsi="Times New Roman" w:cs="Times New Roman"/>
          <w:sz w:val="24"/>
          <w:szCs w:val="24"/>
        </w:rPr>
        <w:t xml:space="preserve"> </w:t>
      </w:r>
      <w:r w:rsidR="00D11608" w:rsidRPr="00DD33C9">
        <w:rPr>
          <w:rFonts w:ascii="Times New Roman" w:hAnsi="Times New Roman" w:cs="Times New Roman"/>
          <w:sz w:val="24"/>
          <w:szCs w:val="24"/>
        </w:rPr>
        <w:t>(</w:t>
      </w:r>
      <w:proofErr w:type="spellStart"/>
      <w:proofErr w:type="gramStart"/>
      <w:r w:rsidR="00D11608" w:rsidRPr="00DD33C9">
        <w:rPr>
          <w:rFonts w:ascii="Times New Roman" w:hAnsi="Times New Roman" w:cs="Times New Roman"/>
          <w:sz w:val="24"/>
          <w:szCs w:val="24"/>
        </w:rPr>
        <w:t>a,b</w:t>
      </w:r>
      <w:proofErr w:type="spellEnd"/>
      <w:proofErr w:type="gramEnd"/>
      <w:r w:rsidR="00D11608" w:rsidRPr="00DD33C9">
        <w:rPr>
          <w:rFonts w:ascii="Times New Roman" w:hAnsi="Times New Roman" w:cs="Times New Roman"/>
          <w:sz w:val="24"/>
          <w:szCs w:val="24"/>
        </w:rPr>
        <w:t>) Dark-field S</w:t>
      </w:r>
      <w:r w:rsidR="008E3321" w:rsidRPr="00DD33C9">
        <w:rPr>
          <w:rFonts w:ascii="Times New Roman" w:hAnsi="Times New Roman" w:cs="Times New Roman"/>
          <w:sz w:val="24"/>
          <w:szCs w:val="24"/>
        </w:rPr>
        <w:t>-</w:t>
      </w:r>
      <w:r w:rsidR="00D11608" w:rsidRPr="00DD33C9">
        <w:rPr>
          <w:rFonts w:ascii="Times New Roman" w:hAnsi="Times New Roman" w:cs="Times New Roman"/>
          <w:sz w:val="24"/>
          <w:szCs w:val="24"/>
        </w:rPr>
        <w:t>TEM images showing the selected region for elemental line scan. (</w:t>
      </w:r>
      <w:proofErr w:type="spellStart"/>
      <w:proofErr w:type="gramStart"/>
      <w:r w:rsidR="00D11608" w:rsidRPr="00DD33C9">
        <w:rPr>
          <w:rFonts w:ascii="Times New Roman" w:hAnsi="Times New Roman" w:cs="Times New Roman"/>
          <w:sz w:val="24"/>
          <w:szCs w:val="24"/>
        </w:rPr>
        <w:t>c,d</w:t>
      </w:r>
      <w:proofErr w:type="spellEnd"/>
      <w:proofErr w:type="gramEnd"/>
      <w:r w:rsidR="00D11608" w:rsidRPr="00DD33C9">
        <w:rPr>
          <w:rFonts w:ascii="Times New Roman" w:hAnsi="Times New Roman" w:cs="Times New Roman"/>
          <w:sz w:val="24"/>
          <w:szCs w:val="24"/>
        </w:rPr>
        <w:t>) Corresponding EDS line profiles highlighting a distinct and abrupt variation in V intensity, suggesting a clear phase boundary and confirming the heterointerface within the composite.</w:t>
      </w:r>
    </w:p>
    <w:p w14:paraId="2D49FB5A" w14:textId="419C3B4B" w:rsidR="008708A9" w:rsidRPr="00DD33C9" w:rsidRDefault="008708A9" w:rsidP="003A5050">
      <w:pPr>
        <w:spacing w:line="480" w:lineRule="auto"/>
        <w:jc w:val="both"/>
        <w:rPr>
          <w:rFonts w:ascii="Times New Roman" w:hAnsi="Times New Roman" w:cs="Times New Roman"/>
          <w:sz w:val="24"/>
          <w:szCs w:val="24"/>
        </w:rPr>
      </w:pPr>
    </w:p>
    <w:p w14:paraId="4CC5027F" w14:textId="3269DB08" w:rsidR="008708A9" w:rsidRPr="00DD33C9" w:rsidRDefault="00A12734" w:rsidP="00A12734">
      <w:pPr>
        <w:spacing w:line="480" w:lineRule="auto"/>
        <w:jc w:val="center"/>
        <w:rPr>
          <w:rFonts w:ascii="Times New Roman" w:hAnsi="Times New Roman" w:cs="Times New Roman"/>
          <w:sz w:val="24"/>
          <w:szCs w:val="24"/>
        </w:rPr>
      </w:pPr>
      <w:r w:rsidRPr="00DD33C9">
        <w:rPr>
          <w:rFonts w:ascii="Times New Roman" w:hAnsi="Times New Roman" w:cs="Times New Roman"/>
          <w:noProof/>
          <w:sz w:val="24"/>
          <w:szCs w:val="24"/>
        </w:rPr>
        <w:lastRenderedPageBreak/>
        <w:drawing>
          <wp:inline distT="0" distB="0" distL="0" distR="0" wp14:anchorId="5B5CD462" wp14:editId="073B3F19">
            <wp:extent cx="5372100" cy="4138313"/>
            <wp:effectExtent l="0" t="0" r="0" b="0"/>
            <wp:docPr id="1804966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315" t="-210" r="2573"/>
                    <a:stretch>
                      <a:fillRect/>
                    </a:stretch>
                  </pic:blipFill>
                  <pic:spPr bwMode="auto">
                    <a:xfrm>
                      <a:off x="0" y="0"/>
                      <a:ext cx="5377319" cy="4142333"/>
                    </a:xfrm>
                    <a:prstGeom prst="rect">
                      <a:avLst/>
                    </a:prstGeom>
                    <a:noFill/>
                    <a:ln>
                      <a:noFill/>
                    </a:ln>
                    <a:extLst>
                      <a:ext uri="{53640926-AAD7-44D8-BBD7-CCE9431645EC}">
                        <a14:shadowObscured xmlns:a14="http://schemas.microsoft.com/office/drawing/2010/main"/>
                      </a:ext>
                    </a:extLst>
                  </pic:spPr>
                </pic:pic>
              </a:graphicData>
            </a:graphic>
          </wp:inline>
        </w:drawing>
      </w:r>
    </w:p>
    <w:p w14:paraId="570EC2D7" w14:textId="4D769BF7" w:rsidR="00B944DE" w:rsidRPr="00DD33C9" w:rsidRDefault="00A12734" w:rsidP="003A5050">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Figure S6.</w:t>
      </w:r>
      <w:r w:rsidR="00D11608" w:rsidRPr="00DD33C9">
        <w:rPr>
          <w:rFonts w:ascii="Times New Roman" w:hAnsi="Times New Roman" w:cs="Times New Roman"/>
          <w:sz w:val="24"/>
          <w:szCs w:val="24"/>
        </w:rPr>
        <w:t xml:space="preserve"> Surface area and porosity characterization.</w:t>
      </w:r>
      <w:r w:rsidRPr="00DD33C9">
        <w:rPr>
          <w:rFonts w:ascii="Times New Roman" w:hAnsi="Times New Roman" w:cs="Times New Roman"/>
          <w:sz w:val="24"/>
          <w:szCs w:val="24"/>
        </w:rPr>
        <w:t xml:space="preserve"> </w:t>
      </w:r>
      <w:r w:rsidR="00D11608" w:rsidRPr="00DD33C9">
        <w:rPr>
          <w:rFonts w:ascii="Times New Roman" w:hAnsi="Times New Roman" w:cs="Times New Roman"/>
          <w:sz w:val="24"/>
          <w:szCs w:val="24"/>
        </w:rPr>
        <w:t>(</w:t>
      </w:r>
      <w:proofErr w:type="spellStart"/>
      <w:proofErr w:type="gramStart"/>
      <w:r w:rsidR="00D11608" w:rsidRPr="00DD33C9">
        <w:rPr>
          <w:rFonts w:ascii="Times New Roman" w:hAnsi="Times New Roman" w:cs="Times New Roman"/>
          <w:sz w:val="24"/>
          <w:szCs w:val="24"/>
        </w:rPr>
        <w:t>a,b</w:t>
      </w:r>
      <w:proofErr w:type="spellEnd"/>
      <w:proofErr w:type="gramEnd"/>
      <w:r w:rsidR="00D11608" w:rsidRPr="00DD33C9">
        <w:rPr>
          <w:rFonts w:ascii="Times New Roman" w:hAnsi="Times New Roman" w:cs="Times New Roman"/>
          <w:sz w:val="24"/>
          <w:szCs w:val="24"/>
        </w:rPr>
        <w:t>) N</w:t>
      </w:r>
      <w:r w:rsidR="00D11608" w:rsidRPr="00DD33C9">
        <w:rPr>
          <w:rFonts w:ascii="Times New Roman" w:hAnsi="Times New Roman" w:cs="Times New Roman"/>
          <w:sz w:val="24"/>
          <w:szCs w:val="24"/>
          <w:vertAlign w:val="subscript"/>
        </w:rPr>
        <w:t>2</w:t>
      </w:r>
      <w:r w:rsidR="00D11608" w:rsidRPr="00DD33C9">
        <w:rPr>
          <w:rFonts w:ascii="Times New Roman" w:hAnsi="Times New Roman" w:cs="Times New Roman"/>
          <w:sz w:val="24"/>
          <w:szCs w:val="24"/>
        </w:rPr>
        <w:t xml:space="preserve"> adsorption–desorption isotherms of VO and HH–CsVO/VO, exhibiting type-IV curves with H</w:t>
      </w:r>
      <w:r w:rsidR="00D11608" w:rsidRPr="00DD33C9">
        <w:rPr>
          <w:rFonts w:ascii="Times New Roman" w:hAnsi="Times New Roman" w:cs="Times New Roman"/>
          <w:sz w:val="24"/>
          <w:szCs w:val="24"/>
          <w:vertAlign w:val="subscript"/>
        </w:rPr>
        <w:t>3</w:t>
      </w:r>
      <w:r w:rsidR="00D11608" w:rsidRPr="00DD33C9">
        <w:rPr>
          <w:rFonts w:ascii="Times New Roman" w:hAnsi="Times New Roman" w:cs="Times New Roman"/>
          <w:sz w:val="24"/>
          <w:szCs w:val="24"/>
        </w:rPr>
        <w:t>-type hysteresis loops characteristic of mesoporous structures. (c) BJH pore size distribution profiles confirming hierarchical porosity.</w:t>
      </w:r>
      <w:r w:rsidRPr="00DD33C9">
        <w:rPr>
          <w:rFonts w:ascii="Times New Roman" w:hAnsi="Times New Roman" w:cs="Times New Roman"/>
          <w:sz w:val="24"/>
          <w:szCs w:val="24"/>
        </w:rPr>
        <w:t xml:space="preserve"> </w:t>
      </w:r>
      <w:r w:rsidR="00D11608" w:rsidRPr="00DD33C9">
        <w:rPr>
          <w:rFonts w:ascii="Times New Roman" w:hAnsi="Times New Roman" w:cs="Times New Roman"/>
          <w:sz w:val="24"/>
          <w:szCs w:val="24"/>
        </w:rPr>
        <w:t>(d) Summary of BET surface area, total pore volume, and average pore diameter, showing significantly enhanced surface area and porosity in HH–CsVO/VO composite.</w:t>
      </w:r>
    </w:p>
    <w:p w14:paraId="7F631B23" w14:textId="3541BD66" w:rsidR="007C1DD6" w:rsidRPr="00DD33C9" w:rsidRDefault="007C1DD6" w:rsidP="007C1DD6">
      <w:pPr>
        <w:spacing w:line="480" w:lineRule="auto"/>
        <w:jc w:val="center"/>
        <w:rPr>
          <w:rFonts w:ascii="Times New Roman" w:hAnsi="Times New Roman" w:cs="Times New Roman"/>
          <w:sz w:val="24"/>
          <w:szCs w:val="24"/>
        </w:rPr>
      </w:pPr>
      <w:r w:rsidRPr="00DD33C9">
        <w:rPr>
          <w:rFonts w:ascii="Times New Roman" w:hAnsi="Times New Roman" w:cs="Times New Roman"/>
          <w:noProof/>
          <w:sz w:val="24"/>
          <w:szCs w:val="24"/>
        </w:rPr>
        <w:lastRenderedPageBreak/>
        <w:drawing>
          <wp:inline distT="0" distB="0" distL="0" distR="0" wp14:anchorId="49D8F3DD" wp14:editId="64E909F9">
            <wp:extent cx="5162550" cy="3870681"/>
            <wp:effectExtent l="0" t="0" r="0" b="0"/>
            <wp:docPr id="1391335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8" r="1013"/>
                    <a:stretch>
                      <a:fillRect/>
                    </a:stretch>
                  </pic:blipFill>
                  <pic:spPr bwMode="auto">
                    <a:xfrm>
                      <a:off x="0" y="0"/>
                      <a:ext cx="5180136" cy="3883866"/>
                    </a:xfrm>
                    <a:prstGeom prst="rect">
                      <a:avLst/>
                    </a:prstGeom>
                    <a:noFill/>
                    <a:ln>
                      <a:noFill/>
                    </a:ln>
                    <a:extLst>
                      <a:ext uri="{53640926-AAD7-44D8-BBD7-CCE9431645EC}">
                        <a14:shadowObscured xmlns:a14="http://schemas.microsoft.com/office/drawing/2010/main"/>
                      </a:ext>
                    </a:extLst>
                  </pic:spPr>
                </pic:pic>
              </a:graphicData>
            </a:graphic>
          </wp:inline>
        </w:drawing>
      </w:r>
    </w:p>
    <w:p w14:paraId="2D17BDAD" w14:textId="17AB9BD6" w:rsidR="007C1DD6" w:rsidRPr="00DD33C9" w:rsidRDefault="007C1DD6" w:rsidP="007C1DD6">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Fig</w:t>
      </w:r>
      <w:r w:rsidR="00A12734" w:rsidRPr="00DD33C9">
        <w:rPr>
          <w:rFonts w:ascii="Times New Roman" w:hAnsi="Times New Roman" w:cs="Times New Roman"/>
          <w:b/>
          <w:bCs/>
          <w:sz w:val="24"/>
          <w:szCs w:val="24"/>
        </w:rPr>
        <w:t>ure</w:t>
      </w:r>
      <w:r w:rsidRPr="00DD33C9">
        <w:rPr>
          <w:rFonts w:ascii="Times New Roman" w:hAnsi="Times New Roman" w:cs="Times New Roman"/>
          <w:b/>
          <w:bCs/>
          <w:sz w:val="24"/>
          <w:szCs w:val="24"/>
        </w:rPr>
        <w:t xml:space="preserve"> S</w:t>
      </w:r>
      <w:r w:rsidR="00305981" w:rsidRPr="00DD33C9">
        <w:rPr>
          <w:rFonts w:ascii="Times New Roman" w:hAnsi="Times New Roman" w:cs="Times New Roman"/>
          <w:b/>
          <w:bCs/>
          <w:sz w:val="24"/>
          <w:szCs w:val="24"/>
        </w:rPr>
        <w:t>7</w:t>
      </w:r>
      <w:r w:rsidRPr="00DD33C9">
        <w:rPr>
          <w:rFonts w:ascii="Times New Roman" w:hAnsi="Times New Roman" w:cs="Times New Roman"/>
          <w:b/>
          <w:bCs/>
          <w:sz w:val="24"/>
          <w:szCs w:val="24"/>
        </w:rPr>
        <w:t>.</w:t>
      </w:r>
      <w:r w:rsidRPr="00DD33C9">
        <w:rPr>
          <w:rFonts w:ascii="Times New Roman" w:hAnsi="Times New Roman" w:cs="Times New Roman"/>
          <w:sz w:val="24"/>
          <w:szCs w:val="24"/>
        </w:rPr>
        <w:t xml:space="preserve"> GCD profiles of (a) VO and (b) CsVO/VO at various current densities (0.3–1.8 A g</w:t>
      </w:r>
      <w:r w:rsidR="00203F18" w:rsidRPr="00DD33C9">
        <w:rPr>
          <w:rFonts w:ascii="Times New Roman" w:hAnsi="Times New Roman" w:cs="Times New Roman"/>
          <w:sz w:val="24"/>
          <w:szCs w:val="24"/>
          <w:vertAlign w:val="superscript"/>
        </w:rPr>
        <w:t>-1</w:t>
      </w:r>
      <w:r w:rsidRPr="00DD33C9">
        <w:rPr>
          <w:rFonts w:ascii="Times New Roman" w:hAnsi="Times New Roman" w:cs="Times New Roman"/>
          <w:sz w:val="24"/>
          <w:szCs w:val="24"/>
        </w:rPr>
        <w:t>), and (c) linear fitting of polarization (ΔV) vs. current density. CsVO/VO shows a lower polarization slope (0.107 V A</w:t>
      </w:r>
      <w:r w:rsidR="00203F18" w:rsidRPr="00DD33C9">
        <w:rPr>
          <w:rFonts w:ascii="Times New Roman" w:hAnsi="Times New Roman" w:cs="Times New Roman"/>
          <w:sz w:val="24"/>
          <w:szCs w:val="24"/>
          <w:vertAlign w:val="superscript"/>
        </w:rPr>
        <w:t>-1</w:t>
      </w:r>
      <w:r w:rsidRPr="00DD33C9">
        <w:rPr>
          <w:rFonts w:ascii="Times New Roman" w:hAnsi="Times New Roman" w:cs="Times New Roman"/>
          <w:sz w:val="24"/>
          <w:szCs w:val="24"/>
        </w:rPr>
        <w:t xml:space="preserve"> g) compared to VO (0.211 V A</w:t>
      </w:r>
      <w:r w:rsidR="00203F18" w:rsidRPr="00DD33C9">
        <w:rPr>
          <w:rFonts w:ascii="Times New Roman" w:hAnsi="Times New Roman" w:cs="Times New Roman"/>
          <w:sz w:val="24"/>
          <w:szCs w:val="24"/>
          <w:vertAlign w:val="superscript"/>
        </w:rPr>
        <w:t>-1</w:t>
      </w:r>
      <w:r w:rsidRPr="00DD33C9">
        <w:rPr>
          <w:rFonts w:ascii="Times New Roman" w:hAnsi="Times New Roman" w:cs="Times New Roman"/>
          <w:sz w:val="24"/>
          <w:szCs w:val="24"/>
        </w:rPr>
        <w:t xml:space="preserve"> g), indicating improved reaction kinetics and lower internal resistance.</w:t>
      </w:r>
    </w:p>
    <w:p w14:paraId="2BF217D4" w14:textId="77777777" w:rsidR="004B6C94" w:rsidRPr="00DD33C9" w:rsidRDefault="004B6C94" w:rsidP="007C1DD6">
      <w:pPr>
        <w:spacing w:line="480" w:lineRule="auto"/>
        <w:jc w:val="both"/>
        <w:rPr>
          <w:rFonts w:ascii="Times New Roman" w:hAnsi="Times New Roman" w:cs="Times New Roman"/>
          <w:sz w:val="24"/>
          <w:szCs w:val="24"/>
        </w:rPr>
      </w:pPr>
    </w:p>
    <w:p w14:paraId="7EEBD7F8" w14:textId="77777777" w:rsidR="004B6C94" w:rsidRPr="00DD33C9" w:rsidRDefault="004B6C94" w:rsidP="007C1DD6">
      <w:pPr>
        <w:spacing w:line="480" w:lineRule="auto"/>
        <w:jc w:val="both"/>
        <w:rPr>
          <w:rFonts w:ascii="Times New Roman" w:hAnsi="Times New Roman" w:cs="Times New Roman"/>
          <w:sz w:val="24"/>
          <w:szCs w:val="24"/>
        </w:rPr>
      </w:pPr>
    </w:p>
    <w:p w14:paraId="2E4AD88E" w14:textId="77777777" w:rsidR="00A12734" w:rsidRPr="00DD33C9" w:rsidRDefault="00A12734" w:rsidP="007C1DD6">
      <w:pPr>
        <w:spacing w:line="480" w:lineRule="auto"/>
        <w:jc w:val="both"/>
        <w:rPr>
          <w:rFonts w:ascii="Times New Roman" w:hAnsi="Times New Roman" w:cs="Times New Roman"/>
          <w:sz w:val="24"/>
          <w:szCs w:val="24"/>
        </w:rPr>
      </w:pPr>
    </w:p>
    <w:p w14:paraId="497F5DF3" w14:textId="1A679E99" w:rsidR="00A12734" w:rsidRPr="00DD33C9" w:rsidRDefault="00A12734" w:rsidP="00A12734">
      <w:pPr>
        <w:spacing w:line="480" w:lineRule="auto"/>
        <w:jc w:val="center"/>
        <w:rPr>
          <w:rFonts w:ascii="Times New Roman" w:hAnsi="Times New Roman" w:cs="Times New Roman"/>
          <w:sz w:val="24"/>
          <w:szCs w:val="24"/>
        </w:rPr>
      </w:pPr>
      <w:r w:rsidRPr="00DD33C9">
        <w:rPr>
          <w:rFonts w:ascii="Times New Roman" w:hAnsi="Times New Roman" w:cs="Times New Roman"/>
          <w:noProof/>
          <w:sz w:val="24"/>
          <w:szCs w:val="24"/>
        </w:rPr>
        <w:lastRenderedPageBreak/>
        <w:drawing>
          <wp:inline distT="0" distB="0" distL="0" distR="0" wp14:anchorId="6DEE5017" wp14:editId="494D743E">
            <wp:extent cx="5219700" cy="5100660"/>
            <wp:effectExtent l="0" t="0" r="0" b="5080"/>
            <wp:docPr id="2939076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472" t="970" r="1006" b="-1"/>
                    <a:stretch>
                      <a:fillRect/>
                    </a:stretch>
                  </pic:blipFill>
                  <pic:spPr bwMode="auto">
                    <a:xfrm>
                      <a:off x="0" y="0"/>
                      <a:ext cx="5227858" cy="5108632"/>
                    </a:xfrm>
                    <a:prstGeom prst="rect">
                      <a:avLst/>
                    </a:prstGeom>
                    <a:noFill/>
                    <a:ln>
                      <a:noFill/>
                    </a:ln>
                    <a:extLst>
                      <a:ext uri="{53640926-AAD7-44D8-BBD7-CCE9431645EC}">
                        <a14:shadowObscured xmlns:a14="http://schemas.microsoft.com/office/drawing/2010/main"/>
                      </a:ext>
                    </a:extLst>
                  </pic:spPr>
                </pic:pic>
              </a:graphicData>
            </a:graphic>
          </wp:inline>
        </w:drawing>
      </w:r>
    </w:p>
    <w:p w14:paraId="01F87022" w14:textId="20E6805B" w:rsidR="00A12734" w:rsidRPr="00DD33C9" w:rsidRDefault="00A12734" w:rsidP="007C1DD6">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Figure S8</w:t>
      </w:r>
      <w:r w:rsidRPr="00DD33C9">
        <w:rPr>
          <w:rFonts w:ascii="Times New Roman" w:hAnsi="Times New Roman" w:cs="Times New Roman"/>
          <w:b/>
          <w:sz w:val="24"/>
          <w:szCs w:val="24"/>
        </w:rPr>
        <w:t>.</w:t>
      </w:r>
      <w:r w:rsidR="006313FD" w:rsidRPr="00DD33C9">
        <w:rPr>
          <w:rFonts w:ascii="Times New Roman" w:hAnsi="Times New Roman" w:cs="Times New Roman"/>
          <w:sz w:val="24"/>
          <w:szCs w:val="24"/>
        </w:rPr>
        <w:t xml:space="preserve"> </w:t>
      </w:r>
      <w:r w:rsidR="007903AD" w:rsidRPr="00DD33C9">
        <w:rPr>
          <w:rFonts w:ascii="Times New Roman" w:hAnsi="Times New Roman" w:cs="Times New Roman"/>
          <w:sz w:val="24"/>
          <w:szCs w:val="24"/>
        </w:rPr>
        <w:t>Ex</w:t>
      </w:r>
      <w:r w:rsidR="008E3321" w:rsidRPr="00DD33C9">
        <w:rPr>
          <w:rFonts w:ascii="Times New Roman" w:hAnsi="Times New Roman" w:cs="Times New Roman"/>
          <w:sz w:val="24"/>
          <w:szCs w:val="24"/>
        </w:rPr>
        <w:t>-</w:t>
      </w:r>
      <w:r w:rsidR="007903AD" w:rsidRPr="00DD33C9">
        <w:rPr>
          <w:rFonts w:ascii="Times New Roman" w:hAnsi="Times New Roman" w:cs="Times New Roman"/>
          <w:sz w:val="24"/>
          <w:szCs w:val="24"/>
        </w:rPr>
        <w:t xml:space="preserve">situ </w:t>
      </w:r>
      <w:r w:rsidR="0073178F" w:rsidRPr="00DD33C9">
        <w:rPr>
          <w:rFonts w:ascii="Times New Roman" w:hAnsi="Times New Roman" w:cs="Times New Roman"/>
          <w:sz w:val="24"/>
          <w:szCs w:val="24"/>
        </w:rPr>
        <w:t>FE-</w:t>
      </w:r>
      <w:r w:rsidR="007903AD" w:rsidRPr="00DD33C9">
        <w:rPr>
          <w:rFonts w:ascii="Times New Roman" w:hAnsi="Times New Roman" w:cs="Times New Roman"/>
          <w:sz w:val="24"/>
          <w:szCs w:val="24"/>
        </w:rPr>
        <w:t>SEM image and corresponding EDS mapping of the VO electrode after 200 cycles at 0.3 A g</w:t>
      </w:r>
      <w:r w:rsidR="007903AD" w:rsidRPr="00DD33C9">
        <w:rPr>
          <w:rFonts w:ascii="Times New Roman" w:hAnsi="Times New Roman" w:cs="Times New Roman"/>
          <w:sz w:val="24"/>
          <w:szCs w:val="24"/>
          <w:vertAlign w:val="superscript"/>
        </w:rPr>
        <w:t>-1</w:t>
      </w:r>
      <w:r w:rsidR="007903AD" w:rsidRPr="00DD33C9">
        <w:rPr>
          <w:rFonts w:ascii="Times New Roman" w:hAnsi="Times New Roman" w:cs="Times New Roman"/>
          <w:sz w:val="24"/>
          <w:szCs w:val="24"/>
        </w:rPr>
        <w:t xml:space="preserve">. </w:t>
      </w:r>
      <w:r w:rsidR="008E3321" w:rsidRPr="00DD33C9">
        <w:rPr>
          <w:rFonts w:ascii="Times New Roman" w:hAnsi="Times New Roman" w:cs="Times New Roman"/>
          <w:sz w:val="24"/>
          <w:szCs w:val="24"/>
        </w:rPr>
        <w:t>S</w:t>
      </w:r>
      <w:r w:rsidR="007903AD" w:rsidRPr="00DD33C9">
        <w:rPr>
          <w:rFonts w:ascii="Times New Roman" w:hAnsi="Times New Roman" w:cs="Times New Roman"/>
          <w:sz w:val="24"/>
          <w:szCs w:val="24"/>
        </w:rPr>
        <w:t>urface exhibits noticeable degradation and irregular morphology, indicative of structural instability. Elemental mapping shows significant loss of vanadium, suggesting uncontrolled Zn</w:t>
      </w:r>
      <w:r w:rsidR="007903AD" w:rsidRPr="00DD33C9">
        <w:rPr>
          <w:rFonts w:ascii="Times New Roman" w:hAnsi="Times New Roman" w:cs="Times New Roman"/>
          <w:sz w:val="24"/>
          <w:szCs w:val="24"/>
          <w:vertAlign w:val="superscript"/>
        </w:rPr>
        <w:t>2+</w:t>
      </w:r>
      <w:r w:rsidR="007903AD" w:rsidRPr="00DD33C9">
        <w:rPr>
          <w:rFonts w:ascii="Times New Roman" w:hAnsi="Times New Roman" w:cs="Times New Roman"/>
          <w:sz w:val="24"/>
          <w:szCs w:val="24"/>
        </w:rPr>
        <w:t xml:space="preserve"> intercalation and </w:t>
      </w:r>
      <w:r w:rsidR="008E3321" w:rsidRPr="00DD33C9">
        <w:rPr>
          <w:rFonts w:ascii="Times New Roman" w:hAnsi="Times New Roman" w:cs="Times New Roman"/>
          <w:sz w:val="24"/>
          <w:szCs w:val="24"/>
        </w:rPr>
        <w:t>V</w:t>
      </w:r>
      <w:r w:rsidR="007903AD" w:rsidRPr="00DD33C9">
        <w:rPr>
          <w:rFonts w:ascii="Times New Roman" w:hAnsi="Times New Roman" w:cs="Times New Roman"/>
          <w:sz w:val="24"/>
          <w:szCs w:val="24"/>
        </w:rPr>
        <w:t xml:space="preserve"> dissolution during prolonged cycling.</w:t>
      </w:r>
    </w:p>
    <w:p w14:paraId="0CAFAE13" w14:textId="77777777" w:rsidR="006313FD" w:rsidRPr="00DD33C9" w:rsidRDefault="006313FD" w:rsidP="007C1DD6">
      <w:pPr>
        <w:spacing w:line="480" w:lineRule="auto"/>
        <w:jc w:val="both"/>
        <w:rPr>
          <w:rFonts w:ascii="Times New Roman" w:hAnsi="Times New Roman" w:cs="Times New Roman"/>
          <w:sz w:val="24"/>
          <w:szCs w:val="24"/>
        </w:rPr>
      </w:pPr>
    </w:p>
    <w:p w14:paraId="3D362F26" w14:textId="77777777" w:rsidR="006313FD" w:rsidRPr="00DD33C9" w:rsidRDefault="006313FD" w:rsidP="007C1DD6">
      <w:pPr>
        <w:spacing w:line="480" w:lineRule="auto"/>
        <w:jc w:val="both"/>
        <w:rPr>
          <w:rFonts w:ascii="Times New Roman" w:hAnsi="Times New Roman" w:cs="Times New Roman"/>
          <w:sz w:val="24"/>
          <w:szCs w:val="24"/>
        </w:rPr>
      </w:pPr>
    </w:p>
    <w:p w14:paraId="05639059" w14:textId="1E267E41" w:rsidR="006313FD" w:rsidRPr="00DD33C9" w:rsidRDefault="007903AD" w:rsidP="006313FD">
      <w:pPr>
        <w:spacing w:line="480" w:lineRule="auto"/>
        <w:jc w:val="center"/>
        <w:rPr>
          <w:rFonts w:ascii="Times New Roman" w:hAnsi="Times New Roman" w:cs="Times New Roman"/>
          <w:sz w:val="24"/>
          <w:szCs w:val="24"/>
        </w:rPr>
      </w:pPr>
      <w:r w:rsidRPr="00DD33C9">
        <w:rPr>
          <w:rFonts w:ascii="Times New Roman" w:hAnsi="Times New Roman" w:cs="Times New Roman"/>
          <w:noProof/>
          <w:sz w:val="24"/>
          <w:szCs w:val="24"/>
        </w:rPr>
        <w:lastRenderedPageBreak/>
        <w:drawing>
          <wp:inline distT="0" distB="0" distL="0" distR="0" wp14:anchorId="2D913398" wp14:editId="58AEC179">
            <wp:extent cx="4972050" cy="4687401"/>
            <wp:effectExtent l="0" t="0" r="0" b="0"/>
            <wp:docPr id="18348706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315" t="1178" r="1795"/>
                    <a:stretch>
                      <a:fillRect/>
                    </a:stretch>
                  </pic:blipFill>
                  <pic:spPr bwMode="auto">
                    <a:xfrm>
                      <a:off x="0" y="0"/>
                      <a:ext cx="4979694" cy="4694608"/>
                    </a:xfrm>
                    <a:prstGeom prst="rect">
                      <a:avLst/>
                    </a:prstGeom>
                    <a:noFill/>
                    <a:ln>
                      <a:noFill/>
                    </a:ln>
                    <a:extLst>
                      <a:ext uri="{53640926-AAD7-44D8-BBD7-CCE9431645EC}">
                        <a14:shadowObscured xmlns:a14="http://schemas.microsoft.com/office/drawing/2010/main"/>
                      </a:ext>
                    </a:extLst>
                  </pic:spPr>
                </pic:pic>
              </a:graphicData>
            </a:graphic>
          </wp:inline>
        </w:drawing>
      </w:r>
    </w:p>
    <w:p w14:paraId="156FF32C" w14:textId="67206933" w:rsidR="006313FD" w:rsidRPr="00DD33C9" w:rsidRDefault="006313FD" w:rsidP="006313FD">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Figure S9</w:t>
      </w:r>
      <w:r w:rsidRPr="00DD33C9">
        <w:rPr>
          <w:rFonts w:ascii="Times New Roman" w:hAnsi="Times New Roman" w:cs="Times New Roman"/>
          <w:b/>
          <w:sz w:val="24"/>
          <w:szCs w:val="24"/>
        </w:rPr>
        <w:t>.</w:t>
      </w:r>
      <w:r w:rsidRPr="00DD33C9">
        <w:rPr>
          <w:rFonts w:ascii="Times New Roman" w:hAnsi="Times New Roman" w:cs="Times New Roman"/>
          <w:sz w:val="24"/>
          <w:szCs w:val="24"/>
        </w:rPr>
        <w:t xml:space="preserve"> </w:t>
      </w:r>
      <w:r w:rsidR="007903AD" w:rsidRPr="00DD33C9">
        <w:rPr>
          <w:rFonts w:ascii="Times New Roman" w:hAnsi="Times New Roman" w:cs="Times New Roman"/>
          <w:sz w:val="24"/>
          <w:szCs w:val="24"/>
        </w:rPr>
        <w:t>Ex</w:t>
      </w:r>
      <w:r w:rsidR="008E3321" w:rsidRPr="00DD33C9">
        <w:rPr>
          <w:rFonts w:ascii="Times New Roman" w:hAnsi="Times New Roman" w:cs="Times New Roman"/>
          <w:sz w:val="24"/>
          <w:szCs w:val="24"/>
        </w:rPr>
        <w:t>-</w:t>
      </w:r>
      <w:r w:rsidR="007903AD" w:rsidRPr="00DD33C9">
        <w:rPr>
          <w:rFonts w:ascii="Times New Roman" w:hAnsi="Times New Roman" w:cs="Times New Roman"/>
          <w:sz w:val="24"/>
          <w:szCs w:val="24"/>
        </w:rPr>
        <w:t xml:space="preserve">situ </w:t>
      </w:r>
      <w:r w:rsidR="0073178F" w:rsidRPr="00DD33C9">
        <w:rPr>
          <w:rFonts w:ascii="Times New Roman" w:hAnsi="Times New Roman" w:cs="Times New Roman"/>
          <w:sz w:val="24"/>
          <w:szCs w:val="24"/>
        </w:rPr>
        <w:t>FE-</w:t>
      </w:r>
      <w:r w:rsidR="007903AD" w:rsidRPr="00DD33C9">
        <w:rPr>
          <w:rFonts w:ascii="Times New Roman" w:hAnsi="Times New Roman" w:cs="Times New Roman"/>
          <w:sz w:val="24"/>
          <w:szCs w:val="24"/>
        </w:rPr>
        <w:t>SEM image and EDS mapping of the CsVO/VO composite after 200 cycles at 0.3 A g</w:t>
      </w:r>
      <w:r w:rsidR="007903AD" w:rsidRPr="00DD33C9">
        <w:rPr>
          <w:rFonts w:ascii="Times New Roman" w:hAnsi="Times New Roman" w:cs="Times New Roman"/>
          <w:sz w:val="24"/>
          <w:szCs w:val="24"/>
          <w:vertAlign w:val="superscript"/>
        </w:rPr>
        <w:t>-1</w:t>
      </w:r>
      <w:r w:rsidR="007903AD" w:rsidRPr="00DD33C9">
        <w:rPr>
          <w:rFonts w:ascii="Times New Roman" w:hAnsi="Times New Roman" w:cs="Times New Roman"/>
          <w:sz w:val="24"/>
          <w:szCs w:val="24"/>
        </w:rPr>
        <w:t>. The electrode retains a relatively uniform and stable surface morphology. Elemental maps show well-distributed Cs, V, and O, confirming reversible Zn²⁺ intercalation and suppressed vanadium dissolution, consistent with improved structural robustness and long-term cycling stability.</w:t>
      </w:r>
    </w:p>
    <w:p w14:paraId="5B14F419" w14:textId="77777777" w:rsidR="006313FD" w:rsidRPr="00DD33C9" w:rsidRDefault="006313FD" w:rsidP="006313FD">
      <w:pPr>
        <w:spacing w:line="480" w:lineRule="auto"/>
        <w:jc w:val="both"/>
        <w:rPr>
          <w:rFonts w:ascii="Times New Roman" w:hAnsi="Times New Roman" w:cs="Times New Roman"/>
          <w:sz w:val="24"/>
          <w:szCs w:val="24"/>
        </w:rPr>
      </w:pPr>
    </w:p>
    <w:p w14:paraId="72195078" w14:textId="4FBA82F3" w:rsidR="006313FD" w:rsidRPr="00DD33C9" w:rsidRDefault="007903AD" w:rsidP="007903AD">
      <w:pPr>
        <w:spacing w:line="480" w:lineRule="auto"/>
        <w:jc w:val="center"/>
        <w:rPr>
          <w:rFonts w:ascii="Times New Roman" w:hAnsi="Times New Roman" w:cs="Times New Roman"/>
          <w:sz w:val="24"/>
          <w:szCs w:val="24"/>
        </w:rPr>
      </w:pPr>
      <w:r w:rsidRPr="00DD33C9">
        <w:rPr>
          <w:rFonts w:ascii="Times New Roman" w:hAnsi="Times New Roman" w:cs="Times New Roman"/>
          <w:noProof/>
          <w:sz w:val="24"/>
          <w:szCs w:val="24"/>
        </w:rPr>
        <w:lastRenderedPageBreak/>
        <w:drawing>
          <wp:inline distT="0" distB="0" distL="0" distR="0" wp14:anchorId="67CD4B59" wp14:editId="00BDE68E">
            <wp:extent cx="5471141" cy="3695700"/>
            <wp:effectExtent l="0" t="0" r="0" b="0"/>
            <wp:docPr id="3655452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2484" cy="3696607"/>
                    </a:xfrm>
                    <a:prstGeom prst="rect">
                      <a:avLst/>
                    </a:prstGeom>
                    <a:noFill/>
                  </pic:spPr>
                </pic:pic>
              </a:graphicData>
            </a:graphic>
          </wp:inline>
        </w:drawing>
      </w:r>
    </w:p>
    <w:p w14:paraId="7A9FDA51" w14:textId="15191FBF" w:rsidR="006313FD" w:rsidRPr="00DD33C9" w:rsidRDefault="007903AD" w:rsidP="007C1DD6">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Figure S10.</w:t>
      </w:r>
      <w:r w:rsidRPr="00DD33C9">
        <w:rPr>
          <w:rFonts w:ascii="Times New Roman" w:hAnsi="Times New Roman" w:cs="Times New Roman"/>
          <w:sz w:val="24"/>
          <w:szCs w:val="24"/>
        </w:rPr>
        <w:t xml:space="preserve"> </w:t>
      </w:r>
      <w:r w:rsidR="0073178F" w:rsidRPr="00DD33C9">
        <w:rPr>
          <w:rFonts w:ascii="Times New Roman" w:hAnsi="Times New Roman" w:cs="Times New Roman"/>
          <w:sz w:val="24"/>
          <w:szCs w:val="24"/>
        </w:rPr>
        <w:t>FE-SEM-</w:t>
      </w:r>
      <w:r w:rsidR="000255E0" w:rsidRPr="00DD33C9">
        <w:rPr>
          <w:rFonts w:ascii="Times New Roman" w:hAnsi="Times New Roman" w:cs="Times New Roman"/>
          <w:sz w:val="24"/>
          <w:szCs w:val="24"/>
        </w:rPr>
        <w:t>EDS mapping of HH–CsVO/VO cathode</w:t>
      </w:r>
      <w:r w:rsidR="008E3321" w:rsidRPr="00DD33C9">
        <w:rPr>
          <w:rFonts w:ascii="Times New Roman" w:hAnsi="Times New Roman" w:cs="Times New Roman"/>
          <w:sz w:val="24"/>
          <w:szCs w:val="24"/>
        </w:rPr>
        <w:t xml:space="preserve"> in pristine state</w:t>
      </w:r>
      <w:r w:rsidR="000255E0" w:rsidRPr="00DD33C9">
        <w:rPr>
          <w:rFonts w:ascii="Times New Roman" w:hAnsi="Times New Roman" w:cs="Times New Roman"/>
          <w:sz w:val="24"/>
          <w:szCs w:val="24"/>
        </w:rPr>
        <w:t>.</w:t>
      </w:r>
    </w:p>
    <w:p w14:paraId="61413620" w14:textId="77777777" w:rsidR="007903AD" w:rsidRPr="00DD33C9" w:rsidRDefault="007903AD" w:rsidP="007C1DD6">
      <w:pPr>
        <w:spacing w:line="480" w:lineRule="auto"/>
        <w:jc w:val="both"/>
        <w:rPr>
          <w:rFonts w:ascii="Times New Roman" w:hAnsi="Times New Roman" w:cs="Times New Roman"/>
          <w:sz w:val="24"/>
          <w:szCs w:val="24"/>
        </w:rPr>
      </w:pPr>
    </w:p>
    <w:p w14:paraId="5DF99127" w14:textId="77777777" w:rsidR="007903AD" w:rsidRPr="00DD33C9" w:rsidRDefault="007903AD" w:rsidP="007C1DD6">
      <w:pPr>
        <w:spacing w:line="480" w:lineRule="auto"/>
        <w:jc w:val="both"/>
        <w:rPr>
          <w:rFonts w:ascii="Times New Roman" w:hAnsi="Times New Roman" w:cs="Times New Roman"/>
          <w:sz w:val="24"/>
          <w:szCs w:val="24"/>
        </w:rPr>
      </w:pPr>
    </w:p>
    <w:p w14:paraId="73FAEB14" w14:textId="77777777" w:rsidR="007903AD" w:rsidRPr="00DD33C9" w:rsidRDefault="007903AD" w:rsidP="007C1DD6">
      <w:pPr>
        <w:spacing w:line="480" w:lineRule="auto"/>
        <w:jc w:val="both"/>
        <w:rPr>
          <w:rFonts w:ascii="Times New Roman" w:hAnsi="Times New Roman" w:cs="Times New Roman"/>
          <w:sz w:val="24"/>
          <w:szCs w:val="24"/>
        </w:rPr>
      </w:pPr>
    </w:p>
    <w:p w14:paraId="738C3BE0" w14:textId="77777777" w:rsidR="007903AD" w:rsidRPr="00DD33C9" w:rsidRDefault="007903AD" w:rsidP="007C1DD6">
      <w:pPr>
        <w:spacing w:line="480" w:lineRule="auto"/>
        <w:jc w:val="both"/>
        <w:rPr>
          <w:rFonts w:ascii="Times New Roman" w:hAnsi="Times New Roman" w:cs="Times New Roman"/>
          <w:sz w:val="24"/>
          <w:szCs w:val="24"/>
        </w:rPr>
      </w:pPr>
    </w:p>
    <w:p w14:paraId="25FE7066" w14:textId="77777777" w:rsidR="007903AD" w:rsidRPr="00DD33C9" w:rsidRDefault="007903AD" w:rsidP="007C1DD6">
      <w:pPr>
        <w:spacing w:line="480" w:lineRule="auto"/>
        <w:jc w:val="both"/>
        <w:rPr>
          <w:rFonts w:ascii="Times New Roman" w:hAnsi="Times New Roman" w:cs="Times New Roman"/>
          <w:sz w:val="24"/>
          <w:szCs w:val="24"/>
        </w:rPr>
      </w:pPr>
    </w:p>
    <w:p w14:paraId="5D9EDBBC" w14:textId="72AF7AFA" w:rsidR="007903AD" w:rsidRPr="00DD33C9" w:rsidRDefault="007903AD" w:rsidP="007903AD">
      <w:pPr>
        <w:spacing w:line="480" w:lineRule="auto"/>
        <w:jc w:val="center"/>
        <w:rPr>
          <w:rFonts w:ascii="Times New Roman" w:hAnsi="Times New Roman" w:cs="Times New Roman"/>
          <w:sz w:val="24"/>
          <w:szCs w:val="24"/>
        </w:rPr>
      </w:pPr>
      <w:r w:rsidRPr="00DD33C9">
        <w:rPr>
          <w:rFonts w:ascii="Times New Roman" w:hAnsi="Times New Roman" w:cs="Times New Roman"/>
          <w:noProof/>
          <w:sz w:val="24"/>
          <w:szCs w:val="24"/>
        </w:rPr>
        <w:lastRenderedPageBreak/>
        <w:drawing>
          <wp:inline distT="0" distB="0" distL="0" distR="0" wp14:anchorId="403D3AC1" wp14:editId="4E6A5E55">
            <wp:extent cx="4962525" cy="3029716"/>
            <wp:effectExtent l="0" t="0" r="0" b="0"/>
            <wp:docPr id="3042345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3370" cy="3036337"/>
                    </a:xfrm>
                    <a:prstGeom prst="rect">
                      <a:avLst/>
                    </a:prstGeom>
                    <a:noFill/>
                  </pic:spPr>
                </pic:pic>
              </a:graphicData>
            </a:graphic>
          </wp:inline>
        </w:drawing>
      </w:r>
    </w:p>
    <w:p w14:paraId="1E37E6E5" w14:textId="10FBFFD7" w:rsidR="006313FD" w:rsidRPr="00DD33C9" w:rsidRDefault="007903AD" w:rsidP="007C1DD6">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Figure 11.</w:t>
      </w:r>
      <w:r w:rsidR="000255E0" w:rsidRPr="00DD33C9">
        <w:rPr>
          <w:rFonts w:ascii="Times New Roman" w:hAnsi="Times New Roman" w:cs="Times New Roman"/>
          <w:sz w:val="24"/>
          <w:szCs w:val="24"/>
        </w:rPr>
        <w:t xml:space="preserve"> </w:t>
      </w:r>
      <w:r w:rsidR="008E3321" w:rsidRPr="00DD33C9">
        <w:rPr>
          <w:rFonts w:ascii="Times New Roman" w:hAnsi="Times New Roman" w:cs="Times New Roman"/>
          <w:sz w:val="24"/>
          <w:szCs w:val="24"/>
        </w:rPr>
        <w:t xml:space="preserve">Ex-situ </w:t>
      </w:r>
      <w:r w:rsidR="0073178F" w:rsidRPr="00DD33C9">
        <w:rPr>
          <w:rFonts w:ascii="Times New Roman" w:hAnsi="Times New Roman" w:cs="Times New Roman"/>
          <w:sz w:val="24"/>
          <w:szCs w:val="24"/>
        </w:rPr>
        <w:t>FE-SEM-</w:t>
      </w:r>
      <w:r w:rsidR="000255E0" w:rsidRPr="00DD33C9">
        <w:rPr>
          <w:rFonts w:ascii="Times New Roman" w:hAnsi="Times New Roman" w:cs="Times New Roman"/>
          <w:sz w:val="24"/>
          <w:szCs w:val="24"/>
        </w:rPr>
        <w:t>EDS mapping of HH–CsVO/VO cathode at full discharge (0.2 V)</w:t>
      </w:r>
      <w:r w:rsidR="008E3321" w:rsidRPr="00DD33C9">
        <w:rPr>
          <w:rFonts w:ascii="Times New Roman" w:hAnsi="Times New Roman" w:cs="Times New Roman"/>
          <w:sz w:val="24"/>
          <w:szCs w:val="24"/>
        </w:rPr>
        <w:t xml:space="preserve"> state</w:t>
      </w:r>
      <w:r w:rsidR="000255E0" w:rsidRPr="00DD33C9">
        <w:rPr>
          <w:rFonts w:ascii="Times New Roman" w:hAnsi="Times New Roman" w:cs="Times New Roman"/>
          <w:sz w:val="24"/>
          <w:szCs w:val="24"/>
        </w:rPr>
        <w:t xml:space="preserve">. </w:t>
      </w:r>
    </w:p>
    <w:p w14:paraId="52A222B5" w14:textId="77777777" w:rsidR="008E3321" w:rsidRPr="00DD33C9" w:rsidRDefault="008E3321" w:rsidP="007C1DD6">
      <w:pPr>
        <w:spacing w:line="480" w:lineRule="auto"/>
        <w:jc w:val="both"/>
        <w:rPr>
          <w:rFonts w:ascii="Times New Roman" w:hAnsi="Times New Roman" w:cs="Times New Roman"/>
          <w:sz w:val="24"/>
          <w:szCs w:val="24"/>
        </w:rPr>
      </w:pPr>
    </w:p>
    <w:p w14:paraId="081FB443" w14:textId="1FA7362E" w:rsidR="007903AD" w:rsidRPr="00DD33C9" w:rsidRDefault="000255E0" w:rsidP="000255E0">
      <w:pPr>
        <w:spacing w:line="480" w:lineRule="auto"/>
        <w:jc w:val="center"/>
        <w:rPr>
          <w:rFonts w:ascii="Times New Roman" w:hAnsi="Times New Roman" w:cs="Times New Roman"/>
          <w:sz w:val="24"/>
          <w:szCs w:val="24"/>
        </w:rPr>
      </w:pPr>
      <w:r w:rsidRPr="00DD33C9">
        <w:rPr>
          <w:rFonts w:ascii="Times New Roman" w:hAnsi="Times New Roman" w:cs="Times New Roman"/>
          <w:noProof/>
          <w:sz w:val="24"/>
          <w:szCs w:val="24"/>
        </w:rPr>
        <w:drawing>
          <wp:inline distT="0" distB="0" distL="0" distR="0" wp14:anchorId="0673EFE2" wp14:editId="4067D4C0">
            <wp:extent cx="4876800" cy="2950556"/>
            <wp:effectExtent l="0" t="0" r="0" b="2540"/>
            <wp:docPr id="3278697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4478" cy="2961251"/>
                    </a:xfrm>
                    <a:prstGeom prst="rect">
                      <a:avLst/>
                    </a:prstGeom>
                    <a:noFill/>
                  </pic:spPr>
                </pic:pic>
              </a:graphicData>
            </a:graphic>
          </wp:inline>
        </w:drawing>
      </w:r>
    </w:p>
    <w:p w14:paraId="6525D90A" w14:textId="2E928AC3" w:rsidR="007903AD" w:rsidRPr="00DD33C9" w:rsidRDefault="000255E0" w:rsidP="007C1DD6">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Figure 12.</w:t>
      </w:r>
      <w:r w:rsidRPr="00DD33C9">
        <w:rPr>
          <w:rFonts w:ascii="Times New Roman" w:hAnsi="Times New Roman" w:cs="Times New Roman"/>
          <w:sz w:val="24"/>
          <w:szCs w:val="24"/>
        </w:rPr>
        <w:t xml:space="preserve"> Ex</w:t>
      </w:r>
      <w:r w:rsidR="008E3321" w:rsidRPr="00DD33C9">
        <w:rPr>
          <w:rFonts w:ascii="Times New Roman" w:hAnsi="Times New Roman" w:cs="Times New Roman"/>
          <w:sz w:val="24"/>
          <w:szCs w:val="24"/>
        </w:rPr>
        <w:t>-</w:t>
      </w:r>
      <w:r w:rsidRPr="00DD33C9">
        <w:rPr>
          <w:rFonts w:ascii="Times New Roman" w:hAnsi="Times New Roman" w:cs="Times New Roman"/>
          <w:sz w:val="24"/>
          <w:szCs w:val="24"/>
        </w:rPr>
        <w:t xml:space="preserve">situ </w:t>
      </w:r>
      <w:r w:rsidR="0073178F" w:rsidRPr="00DD33C9">
        <w:rPr>
          <w:rFonts w:ascii="Times New Roman" w:hAnsi="Times New Roman" w:cs="Times New Roman"/>
          <w:sz w:val="24"/>
          <w:szCs w:val="24"/>
        </w:rPr>
        <w:t>FE-SEM-</w:t>
      </w:r>
      <w:r w:rsidRPr="00DD33C9">
        <w:rPr>
          <w:rFonts w:ascii="Times New Roman" w:hAnsi="Times New Roman" w:cs="Times New Roman"/>
          <w:sz w:val="24"/>
          <w:szCs w:val="24"/>
        </w:rPr>
        <w:t>EDS mapping of HH–CsVO/VO cathode at full charge (1.8 V)</w:t>
      </w:r>
      <w:r w:rsidR="008E3321" w:rsidRPr="00DD33C9">
        <w:rPr>
          <w:rFonts w:ascii="Times New Roman" w:hAnsi="Times New Roman" w:cs="Times New Roman"/>
          <w:sz w:val="24"/>
          <w:szCs w:val="24"/>
        </w:rPr>
        <w:t xml:space="preserve"> state</w:t>
      </w:r>
      <w:r w:rsidRPr="00DD33C9">
        <w:rPr>
          <w:rFonts w:ascii="Times New Roman" w:hAnsi="Times New Roman" w:cs="Times New Roman"/>
          <w:sz w:val="24"/>
          <w:szCs w:val="24"/>
        </w:rPr>
        <w:t>.</w:t>
      </w:r>
    </w:p>
    <w:p w14:paraId="5523F65C" w14:textId="57B3C276" w:rsidR="007903AD" w:rsidRPr="00DD33C9" w:rsidRDefault="000255E0" w:rsidP="000255E0">
      <w:pPr>
        <w:spacing w:line="480" w:lineRule="auto"/>
        <w:jc w:val="center"/>
        <w:rPr>
          <w:rFonts w:ascii="Times New Roman" w:hAnsi="Times New Roman" w:cs="Times New Roman"/>
          <w:sz w:val="24"/>
          <w:szCs w:val="24"/>
        </w:rPr>
      </w:pPr>
      <w:r w:rsidRPr="00DD33C9">
        <w:rPr>
          <w:rFonts w:ascii="Times New Roman" w:hAnsi="Times New Roman" w:cs="Times New Roman"/>
          <w:noProof/>
          <w:sz w:val="24"/>
          <w:szCs w:val="24"/>
        </w:rPr>
        <w:lastRenderedPageBreak/>
        <w:drawing>
          <wp:inline distT="0" distB="0" distL="0" distR="0" wp14:anchorId="63906269" wp14:editId="52FD53BB">
            <wp:extent cx="6062400" cy="2190440"/>
            <wp:effectExtent l="0" t="0" r="0" b="635"/>
            <wp:docPr id="6299917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2400" cy="2190440"/>
                    </a:xfrm>
                    <a:prstGeom prst="rect">
                      <a:avLst/>
                    </a:prstGeom>
                    <a:noFill/>
                  </pic:spPr>
                </pic:pic>
              </a:graphicData>
            </a:graphic>
          </wp:inline>
        </w:drawing>
      </w:r>
    </w:p>
    <w:p w14:paraId="1F43804B" w14:textId="2D936A15" w:rsidR="000255E0" w:rsidRPr="00DD33C9" w:rsidRDefault="000255E0" w:rsidP="007C1DD6">
      <w:pPr>
        <w:spacing w:line="480" w:lineRule="auto"/>
        <w:jc w:val="both"/>
        <w:rPr>
          <w:rFonts w:ascii="Times New Roman" w:hAnsi="Times New Roman" w:cs="Times New Roman"/>
          <w:sz w:val="24"/>
          <w:szCs w:val="24"/>
        </w:rPr>
      </w:pPr>
      <w:r w:rsidRPr="00DD33C9">
        <w:rPr>
          <w:rFonts w:ascii="Times New Roman" w:hAnsi="Times New Roman" w:cs="Times New Roman"/>
          <w:b/>
          <w:sz w:val="24"/>
          <w:szCs w:val="24"/>
        </w:rPr>
        <w:t>Figure S13.</w:t>
      </w:r>
      <w:r w:rsidRPr="00DD33C9">
        <w:rPr>
          <w:rFonts w:ascii="Times New Roman" w:hAnsi="Times New Roman" w:cs="Times New Roman"/>
          <w:sz w:val="24"/>
          <w:szCs w:val="24"/>
        </w:rPr>
        <w:t xml:space="preserve"> </w:t>
      </w:r>
      <w:r w:rsidR="002847ED" w:rsidRPr="00DD33C9">
        <w:rPr>
          <w:rFonts w:ascii="Times New Roman" w:hAnsi="Times New Roman" w:cs="Times New Roman"/>
          <w:sz w:val="24"/>
          <w:szCs w:val="24"/>
        </w:rPr>
        <w:t xml:space="preserve">(a) </w:t>
      </w:r>
      <w:r w:rsidRPr="00DD33C9">
        <w:rPr>
          <w:rFonts w:ascii="Times New Roman" w:hAnsi="Times New Roman" w:cs="Times New Roman"/>
          <w:sz w:val="24"/>
          <w:szCs w:val="24"/>
        </w:rPr>
        <w:t>GITT</w:t>
      </w:r>
      <w:r w:rsidR="002847ED" w:rsidRPr="00DD33C9">
        <w:rPr>
          <w:rFonts w:ascii="Times New Roman" w:hAnsi="Times New Roman" w:cs="Times New Roman"/>
          <w:sz w:val="24"/>
          <w:szCs w:val="24"/>
        </w:rPr>
        <w:t xml:space="preserve"> profile </w:t>
      </w:r>
      <w:r w:rsidRPr="00DD33C9">
        <w:rPr>
          <w:rFonts w:ascii="Times New Roman" w:hAnsi="Times New Roman" w:cs="Times New Roman"/>
          <w:sz w:val="24"/>
          <w:szCs w:val="24"/>
        </w:rPr>
        <w:t xml:space="preserve">of </w:t>
      </w:r>
      <w:r w:rsidR="002847ED" w:rsidRPr="00DD33C9">
        <w:rPr>
          <w:rFonts w:ascii="Times New Roman" w:hAnsi="Times New Roman" w:cs="Times New Roman"/>
          <w:sz w:val="24"/>
          <w:szCs w:val="24"/>
        </w:rPr>
        <w:t xml:space="preserve">the pristine </w:t>
      </w:r>
      <w:r w:rsidRPr="00DD33C9">
        <w:rPr>
          <w:rFonts w:ascii="Times New Roman" w:hAnsi="Times New Roman" w:cs="Times New Roman"/>
          <w:sz w:val="24"/>
          <w:szCs w:val="24"/>
        </w:rPr>
        <w:t>VO</w:t>
      </w:r>
      <w:r w:rsidR="002847ED" w:rsidRPr="00DD33C9">
        <w:rPr>
          <w:rFonts w:ascii="Times New Roman" w:hAnsi="Times New Roman" w:cs="Times New Roman"/>
          <w:sz w:val="24"/>
          <w:szCs w:val="24"/>
        </w:rPr>
        <w:t>. (b)</w:t>
      </w:r>
      <w:r w:rsidRPr="00DD33C9">
        <w:rPr>
          <w:rFonts w:ascii="Times New Roman" w:hAnsi="Times New Roman" w:cs="Times New Roman"/>
          <w:sz w:val="24"/>
          <w:szCs w:val="24"/>
        </w:rPr>
        <w:t xml:space="preserve"> </w:t>
      </w:r>
      <w:r w:rsidR="002847ED" w:rsidRPr="00DD33C9">
        <w:rPr>
          <w:rFonts w:ascii="Times New Roman" w:hAnsi="Times New Roman" w:cs="Times New Roman"/>
          <w:sz w:val="24"/>
          <w:szCs w:val="24"/>
        </w:rPr>
        <w:t>Corresponding Zn²⁺ diffusion coefficient (D</w:t>
      </w:r>
      <w:r w:rsidR="002847ED" w:rsidRPr="00DD33C9">
        <w:rPr>
          <w:rFonts w:ascii="Times New Roman" w:hAnsi="Times New Roman" w:cs="Times New Roman"/>
          <w:sz w:val="24"/>
          <w:szCs w:val="24"/>
          <w:vertAlign w:val="subscript"/>
        </w:rPr>
        <w:t>Zn2+</w:t>
      </w:r>
      <w:r w:rsidR="002847ED" w:rsidRPr="00DD33C9">
        <w:rPr>
          <w:rFonts w:ascii="Times New Roman" w:hAnsi="Times New Roman" w:cs="Times New Roman"/>
          <w:sz w:val="24"/>
          <w:szCs w:val="24"/>
        </w:rPr>
        <w:t xml:space="preserve">) and overpotential </w:t>
      </w:r>
      <w:bookmarkStart w:id="8" w:name="_Hlk203679637"/>
      <w:r w:rsidR="002847ED" w:rsidRPr="00DD33C9">
        <w:rPr>
          <w:rFonts w:ascii="Times New Roman" w:hAnsi="Times New Roman" w:cs="Times New Roman"/>
          <w:sz w:val="24"/>
          <w:szCs w:val="24"/>
        </w:rPr>
        <w:t xml:space="preserve">(η) </w:t>
      </w:r>
      <w:bookmarkEnd w:id="8"/>
      <w:r w:rsidR="002847ED" w:rsidRPr="00DD33C9">
        <w:rPr>
          <w:rFonts w:ascii="Times New Roman" w:hAnsi="Times New Roman" w:cs="Times New Roman"/>
          <w:sz w:val="24"/>
          <w:szCs w:val="24"/>
        </w:rPr>
        <w:t>plots derived from GITT data, reflecting sluggish ion transport and higher polarization compared to the CsVO/VO composite. These results highlight the kinetic limitations of pristine VO during Zn</w:t>
      </w:r>
      <w:r w:rsidR="002847ED" w:rsidRPr="00DD33C9">
        <w:rPr>
          <w:rFonts w:ascii="Times New Roman" w:hAnsi="Times New Roman" w:cs="Times New Roman"/>
          <w:sz w:val="24"/>
          <w:szCs w:val="24"/>
          <w:vertAlign w:val="superscript"/>
        </w:rPr>
        <w:t>2+</w:t>
      </w:r>
      <w:r w:rsidR="002847ED" w:rsidRPr="00DD33C9">
        <w:rPr>
          <w:rFonts w:ascii="Times New Roman" w:hAnsi="Times New Roman" w:cs="Times New Roman"/>
          <w:sz w:val="24"/>
          <w:szCs w:val="24"/>
        </w:rPr>
        <w:t xml:space="preserve"> intercalation/extraction.</w:t>
      </w:r>
    </w:p>
    <w:p w14:paraId="654FF478" w14:textId="77777777" w:rsidR="000255E0" w:rsidRPr="00DD33C9" w:rsidRDefault="000255E0" w:rsidP="007C1DD6">
      <w:pPr>
        <w:spacing w:line="480" w:lineRule="auto"/>
        <w:jc w:val="both"/>
        <w:rPr>
          <w:rFonts w:ascii="Times New Roman" w:hAnsi="Times New Roman" w:cs="Times New Roman"/>
          <w:sz w:val="24"/>
          <w:szCs w:val="24"/>
        </w:rPr>
      </w:pPr>
    </w:p>
    <w:p w14:paraId="1D7EA845" w14:textId="237991AC" w:rsidR="002847ED" w:rsidRPr="00DD33C9" w:rsidRDefault="005114AD" w:rsidP="005114AD">
      <w:pPr>
        <w:spacing w:line="480" w:lineRule="auto"/>
        <w:jc w:val="center"/>
        <w:rPr>
          <w:rFonts w:ascii="Times New Roman" w:hAnsi="Times New Roman" w:cs="Times New Roman"/>
          <w:sz w:val="24"/>
          <w:szCs w:val="24"/>
        </w:rPr>
      </w:pPr>
      <w:r w:rsidRPr="00DD33C9">
        <w:rPr>
          <w:rFonts w:ascii="Times New Roman" w:hAnsi="Times New Roman" w:cs="Times New Roman"/>
          <w:noProof/>
        </w:rPr>
        <w:drawing>
          <wp:inline distT="0" distB="0" distL="0" distR="0" wp14:anchorId="09D63234" wp14:editId="7950A9A3">
            <wp:extent cx="2938780" cy="1645920"/>
            <wp:effectExtent l="0" t="0" r="0" b="0"/>
            <wp:docPr id="1003345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8780" cy="1645920"/>
                    </a:xfrm>
                    <a:prstGeom prst="rect">
                      <a:avLst/>
                    </a:prstGeom>
                    <a:noFill/>
                  </pic:spPr>
                </pic:pic>
              </a:graphicData>
            </a:graphic>
          </wp:inline>
        </w:drawing>
      </w:r>
    </w:p>
    <w:p w14:paraId="5F38B258" w14:textId="77777777" w:rsidR="005114AD" w:rsidRPr="00DD33C9" w:rsidRDefault="005114AD" w:rsidP="005114AD">
      <w:pPr>
        <w:spacing w:line="480" w:lineRule="auto"/>
        <w:jc w:val="both"/>
        <w:rPr>
          <w:rFonts w:ascii="Times New Roman" w:hAnsi="Times New Roman" w:cs="Times New Roman"/>
          <w:sz w:val="24"/>
          <w:szCs w:val="24"/>
        </w:rPr>
      </w:pPr>
      <w:r w:rsidRPr="00DD33C9">
        <w:rPr>
          <w:rFonts w:ascii="Times New Roman" w:hAnsi="Times New Roman" w:cs="Times New Roman"/>
          <w:b/>
          <w:bCs/>
          <w:sz w:val="24"/>
          <w:szCs w:val="24"/>
        </w:rPr>
        <w:t>Figure S14</w:t>
      </w:r>
      <w:r w:rsidRPr="00DD33C9">
        <w:rPr>
          <w:rFonts w:ascii="Times New Roman" w:hAnsi="Times New Roman" w:cs="Times New Roman"/>
          <w:sz w:val="24"/>
          <w:szCs w:val="24"/>
        </w:rPr>
        <w:t>. Equivalent circuit model used for fitting the EIS data of the electrodes.</w:t>
      </w:r>
    </w:p>
    <w:p w14:paraId="367FC86C" w14:textId="77777777" w:rsidR="005114AD" w:rsidRPr="00DD33C9" w:rsidRDefault="005114AD" w:rsidP="007C1DD6">
      <w:pPr>
        <w:spacing w:line="480" w:lineRule="auto"/>
        <w:jc w:val="both"/>
        <w:rPr>
          <w:rFonts w:ascii="Times New Roman" w:hAnsi="Times New Roman" w:cs="Times New Roman"/>
          <w:sz w:val="24"/>
          <w:szCs w:val="24"/>
        </w:rPr>
      </w:pPr>
    </w:p>
    <w:p w14:paraId="49DA18E3" w14:textId="77777777" w:rsidR="002847ED" w:rsidRPr="00DD33C9" w:rsidRDefault="002847ED" w:rsidP="007C1DD6">
      <w:pPr>
        <w:spacing w:line="480" w:lineRule="auto"/>
        <w:jc w:val="both"/>
        <w:rPr>
          <w:rFonts w:ascii="Times New Roman" w:hAnsi="Times New Roman" w:cs="Times New Roman"/>
          <w:sz w:val="24"/>
          <w:szCs w:val="24"/>
        </w:rPr>
      </w:pPr>
    </w:p>
    <w:p w14:paraId="688ABEA8" w14:textId="004B2BA0" w:rsidR="004B6C94" w:rsidRPr="00DD33C9" w:rsidRDefault="004B6C94" w:rsidP="007C1DD6">
      <w:pPr>
        <w:spacing w:line="480" w:lineRule="auto"/>
        <w:jc w:val="both"/>
        <w:rPr>
          <w:rFonts w:ascii="Times New Roman" w:hAnsi="Times New Roman" w:cs="Times New Roman"/>
          <w:sz w:val="24"/>
          <w:szCs w:val="24"/>
        </w:rPr>
      </w:pPr>
    </w:p>
    <w:p w14:paraId="34ACA6DE" w14:textId="77777777" w:rsidR="00603E47" w:rsidRPr="00DD33C9" w:rsidRDefault="00603E47" w:rsidP="00603E47">
      <w:pPr>
        <w:spacing w:line="480" w:lineRule="auto"/>
        <w:jc w:val="both"/>
        <w:rPr>
          <w:rFonts w:ascii="Times New Roman" w:hAnsi="Times New Roman" w:cs="Times New Roman"/>
          <w:b/>
          <w:bCs/>
          <w:sz w:val="24"/>
          <w:szCs w:val="24"/>
        </w:rPr>
      </w:pPr>
      <w:r w:rsidRPr="00DD33C9">
        <w:rPr>
          <w:rFonts w:ascii="Times New Roman" w:hAnsi="Times New Roman" w:cs="Times New Roman"/>
          <w:b/>
          <w:bCs/>
          <w:sz w:val="24"/>
          <w:szCs w:val="24"/>
        </w:rPr>
        <w:lastRenderedPageBreak/>
        <w:t>References</w:t>
      </w:r>
    </w:p>
    <w:p w14:paraId="1A8FE02B" w14:textId="6B38AB16" w:rsidR="00F963B4" w:rsidRPr="00F963B4" w:rsidRDefault="00603E47"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DD33C9">
        <w:rPr>
          <w:rFonts w:ascii="Times New Roman" w:hAnsi="Times New Roman" w:cs="Times New Roman"/>
          <w:sz w:val="24"/>
          <w:szCs w:val="24"/>
        </w:rPr>
        <w:fldChar w:fldCharType="begin" w:fldLock="1"/>
      </w:r>
      <w:r w:rsidRPr="00DD33C9">
        <w:rPr>
          <w:rFonts w:ascii="Times New Roman" w:hAnsi="Times New Roman" w:cs="Times New Roman"/>
          <w:sz w:val="24"/>
          <w:szCs w:val="24"/>
        </w:rPr>
        <w:instrText xml:space="preserve">ADDIN Mendeley Bibliography CSL_BIBLIOGRAPHY </w:instrText>
      </w:r>
      <w:r w:rsidRPr="00DD33C9">
        <w:rPr>
          <w:rFonts w:ascii="Times New Roman" w:hAnsi="Times New Roman" w:cs="Times New Roman"/>
          <w:sz w:val="24"/>
          <w:szCs w:val="24"/>
        </w:rPr>
        <w:fldChar w:fldCharType="separate"/>
      </w:r>
      <w:r w:rsidR="00F963B4" w:rsidRPr="00F963B4">
        <w:rPr>
          <w:rFonts w:ascii="Times New Roman" w:hAnsi="Times New Roman" w:cs="Times New Roman"/>
          <w:noProof/>
          <w:kern w:val="0"/>
          <w:sz w:val="24"/>
        </w:rPr>
        <w:t>[1]</w:t>
      </w:r>
      <w:r w:rsidR="00F963B4" w:rsidRPr="00F963B4">
        <w:rPr>
          <w:rFonts w:ascii="Times New Roman" w:hAnsi="Times New Roman" w:cs="Times New Roman"/>
          <w:noProof/>
          <w:kern w:val="0"/>
          <w:sz w:val="24"/>
        </w:rPr>
        <w:tab/>
        <w:t>K. Zhu, W. Yang, Vanadium-Based Cathodes for Aqueous Zinc-Ion Batteries: Mechanisms, Challenges, and Strategies, Acc. Chem. Res. (2024). https://doi.org/10.1021/acs.accounts.4c00484.</w:t>
      </w:r>
    </w:p>
    <w:p w14:paraId="1C97955C"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t>[2]</w:t>
      </w:r>
      <w:r w:rsidRPr="00F963B4">
        <w:rPr>
          <w:rFonts w:ascii="Times New Roman" w:hAnsi="Times New Roman" w:cs="Times New Roman"/>
          <w:noProof/>
          <w:kern w:val="0"/>
          <w:sz w:val="24"/>
        </w:rPr>
        <w:tab/>
        <w:t>L. Mi, Y. Huang, C. Qin, L. Qin, H.J. Seo, Hydrothermal synthesis and optical properties of CsV3O8 microplates, J. Lumin. 194 (2018) 414–419. https://doi.org/10.1016/j.jlumin.2017.10.044.</w:t>
      </w:r>
    </w:p>
    <w:p w14:paraId="7E49A5B0"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t>[3]</w:t>
      </w:r>
      <w:r w:rsidRPr="00F963B4">
        <w:rPr>
          <w:rFonts w:ascii="Times New Roman" w:hAnsi="Times New Roman" w:cs="Times New Roman"/>
          <w:noProof/>
          <w:kern w:val="0"/>
          <w:sz w:val="24"/>
        </w:rPr>
        <w:tab/>
        <w:t>H. Bandi, R. Dahule, A.K. Kakarla, R. Maezono, D. Narsimulu, S.W. Akram, R. Shanthappa, J.S. Yu, Green synthesis and interface engineering of CoMoO4–Ag heterostructures: Enhanced electrochemical performance for lithium-ion batteries, Chem. Eng. J. 508 (2025). https://doi.org/10.1016/j.cej.2025.160748.</w:t>
      </w:r>
    </w:p>
    <w:p w14:paraId="6A6644C6"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t>[4]</w:t>
      </w:r>
      <w:r w:rsidRPr="00F963B4">
        <w:rPr>
          <w:rFonts w:ascii="Times New Roman" w:hAnsi="Times New Roman" w:cs="Times New Roman"/>
          <w:noProof/>
          <w:kern w:val="0"/>
          <w:sz w:val="24"/>
        </w:rPr>
        <w:tab/>
        <w:t>A. Koklu, A. Mansoorifar, A. Beskok, Effects of electrode size and surface morphology on electrode polarization in physiological buffers, Electrophoresis 40 (2019) 766–775. https://doi.org/10.1002/elps.201800303.</w:t>
      </w:r>
    </w:p>
    <w:p w14:paraId="7069593C"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t>[5]</w:t>
      </w:r>
      <w:r w:rsidRPr="00F963B4">
        <w:rPr>
          <w:rFonts w:ascii="Times New Roman" w:hAnsi="Times New Roman" w:cs="Times New Roman"/>
          <w:noProof/>
          <w:kern w:val="0"/>
          <w:sz w:val="24"/>
        </w:rPr>
        <w:tab/>
        <w:t>G.Y. Han Zhang, Yang Liu, Ting Wang, Yang Yang, Shaojun Shi, Li2ZrO3-coated Li4Ti5O12 with nanoscale interface for high performance lithium-ion batteries, (2016) 368 56–62. https://doi.org/https://doi.org/10.1016/j.apsusc.2016.01.244.</w:t>
      </w:r>
    </w:p>
    <w:p w14:paraId="149155ED"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t>[6]</w:t>
      </w:r>
      <w:r w:rsidRPr="00F963B4">
        <w:rPr>
          <w:rFonts w:ascii="Times New Roman" w:hAnsi="Times New Roman" w:cs="Times New Roman"/>
          <w:noProof/>
          <w:kern w:val="0"/>
          <w:sz w:val="24"/>
        </w:rPr>
        <w:tab/>
        <w:t>W. Liang, D. Rao, T. Chen, R. Tang, J. Li, H. Jin, Zn0.52V2O5−a</w:t>
      </w:r>
      <w:r w:rsidRPr="00F963B4">
        <w:rPr>
          <w:rFonts w:ascii="Cambria Math" w:hAnsi="Cambria Math" w:cs="Cambria Math"/>
          <w:noProof/>
          <w:kern w:val="0"/>
          <w:sz w:val="24"/>
        </w:rPr>
        <w:t>⋅</w:t>
      </w:r>
      <w:r w:rsidRPr="00F963B4">
        <w:rPr>
          <w:rFonts w:ascii="Times New Roman" w:hAnsi="Times New Roman" w:cs="Times New Roman"/>
          <w:noProof/>
          <w:kern w:val="0"/>
          <w:sz w:val="24"/>
        </w:rPr>
        <w:t>1.8 H2O Cathode Stabilized by In Situ Phase Transformation for Aqueous Zinc-Ion Batteries with Ultra-Long Cyclability, Angew. Chemie - Int. Ed. 61 (2022) 1–11. https://doi.org/10.1002/anie.202207779.</w:t>
      </w:r>
    </w:p>
    <w:p w14:paraId="269A13C8"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lastRenderedPageBreak/>
        <w:t>[7]</w:t>
      </w:r>
      <w:r w:rsidRPr="00F963B4">
        <w:rPr>
          <w:rFonts w:ascii="Times New Roman" w:hAnsi="Times New Roman" w:cs="Times New Roman"/>
          <w:noProof/>
          <w:kern w:val="0"/>
          <w:sz w:val="24"/>
        </w:rPr>
        <w:tab/>
        <w:t>T. Zhou, X. Du, G. Gao, Revealing the role of calcium ion intercalation of hydrated vanadium oxides for aqueous zinc-ion batteries, J. Energy Chem. 95 (2024) 9–19. https://doi.org/10.1016/j.jechem.2024.03.022.</w:t>
      </w:r>
    </w:p>
    <w:p w14:paraId="7FF59959"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t>[8]</w:t>
      </w:r>
      <w:r w:rsidRPr="00F963B4">
        <w:rPr>
          <w:rFonts w:ascii="Times New Roman" w:hAnsi="Times New Roman" w:cs="Times New Roman"/>
          <w:noProof/>
          <w:kern w:val="0"/>
          <w:sz w:val="24"/>
        </w:rPr>
        <w:tab/>
        <w:t>X. Wang, Y. Wang, A. Naveed, G. Li, H. Zhang, Y. Zhou, A. Dou, M. Su, Y. Liu, R. Guo, C.C. Li, Magnesium Ion Doping and Micro-Structural Engineering Assist NH4V4O10 as a High-Performance Aqueous Zinc Ion Battery Cathode, Adv. Funct. Mater. 33 (2023) 1–10. https://doi.org/10.1002/adfm.202306205.</w:t>
      </w:r>
    </w:p>
    <w:p w14:paraId="0C08E64B"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t>[9]</w:t>
      </w:r>
      <w:r w:rsidRPr="00F963B4">
        <w:rPr>
          <w:rFonts w:ascii="Times New Roman" w:hAnsi="Times New Roman" w:cs="Times New Roman"/>
          <w:noProof/>
          <w:kern w:val="0"/>
          <w:sz w:val="24"/>
        </w:rPr>
        <w:tab/>
        <w:t>X. Zhang, F. Xue, X. Sun, T. Hou, Z. Xu, Y. Na, Q. An, Z. Chen, S. Cai, C. Zheng, High-capacity zinc vanadium oxides with long-term cyclability enabled by in-situ electrochemical oxidation as zinc-ion battery cathode, Chem. Eng. J. 445 (2022). https://doi.org/10.1016/j.cej.2022.136714.</w:t>
      </w:r>
    </w:p>
    <w:p w14:paraId="4C778192"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t>[10]</w:t>
      </w:r>
      <w:r w:rsidRPr="00F963B4">
        <w:rPr>
          <w:rFonts w:ascii="Times New Roman" w:hAnsi="Times New Roman" w:cs="Times New Roman"/>
          <w:noProof/>
          <w:kern w:val="0"/>
          <w:sz w:val="24"/>
        </w:rPr>
        <w:tab/>
        <w:t>L. Qin, S. Li, L. Li, G. Fang, H. Cheng, Q. Zhu, H. Gao, S. Chen, Improved working voltage and high rate performance of sodium vanadate cathode materials for aqueous zinc ion batteries by altering synthetic solution pH guiding the structure change, Mater. Today Commun. 31 (2022) 2–11. https://doi.org/10.1016/j.mtcomm.2022.103460.</w:t>
      </w:r>
    </w:p>
    <w:p w14:paraId="1FB28BF7"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t>[11]</w:t>
      </w:r>
      <w:r w:rsidRPr="00F963B4">
        <w:rPr>
          <w:rFonts w:ascii="Times New Roman" w:hAnsi="Times New Roman" w:cs="Times New Roman"/>
          <w:noProof/>
          <w:kern w:val="0"/>
          <w:sz w:val="24"/>
        </w:rPr>
        <w:tab/>
        <w:t>J. Li, K. McColl, X. Lu, S. Sathasivam, H. Dong, L. Kang, Z. Li, S. Zhao, A.G. Kafizas, R. Wang, D.J.L. Brett, P.R. Shearing, F. Corà, G. He, C.J. Carmalt, I.P. Parkin, Multi-Scale Investigations of δ-Ni0.25V2O5·nH2O Cathode Materials in Aqueous Zinc-Ion Batteries, Adv. Energy Mater. 10 (2020) 1–14. https://doi.org/10.1002/aenm.202000058.</w:t>
      </w:r>
    </w:p>
    <w:p w14:paraId="1FB058FA"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t>[12]</w:t>
      </w:r>
      <w:r w:rsidRPr="00F963B4">
        <w:rPr>
          <w:rFonts w:ascii="Times New Roman" w:hAnsi="Times New Roman" w:cs="Times New Roman"/>
          <w:noProof/>
          <w:kern w:val="0"/>
          <w:sz w:val="24"/>
        </w:rPr>
        <w:tab/>
        <w:t xml:space="preserve">F. Cui, J. Zhao, D. Zhang, Y. Fang, F. Hu, K. Zhu, VO2(B) nanobelts and reduced graphene oxides composites as cathode materials for low-cost rechargeable aqueous zinc ion batteries, Chem. Eng. J. 390 (2020) 124118. </w:t>
      </w:r>
      <w:r w:rsidRPr="00F963B4">
        <w:rPr>
          <w:rFonts w:ascii="Times New Roman" w:hAnsi="Times New Roman" w:cs="Times New Roman"/>
          <w:noProof/>
          <w:kern w:val="0"/>
          <w:sz w:val="24"/>
        </w:rPr>
        <w:lastRenderedPageBreak/>
        <w:t>https://doi.org/10.1016/j.cej.2020.124118.</w:t>
      </w:r>
    </w:p>
    <w:p w14:paraId="4B5224EB"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t>[13]</w:t>
      </w:r>
      <w:r w:rsidRPr="00F963B4">
        <w:rPr>
          <w:rFonts w:ascii="Times New Roman" w:hAnsi="Times New Roman" w:cs="Times New Roman"/>
          <w:noProof/>
          <w:kern w:val="0"/>
          <w:sz w:val="24"/>
        </w:rPr>
        <w:tab/>
        <w:t>H. Liu, X. Hou, T. Fang, Q. Zhang, N. Gong, W. Peng, Y. Li, F. Zhang, X. Fan, Boosting zinc-ion storage in hydrated vanadium oxides via migration regulation, Energy Storage Mater. 55 (2023) 279–288. https://doi.org/10.1016/j.ensm.2022.11.035.</w:t>
      </w:r>
    </w:p>
    <w:p w14:paraId="295F2AC2"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t>[14]</w:t>
      </w:r>
      <w:r w:rsidRPr="00F963B4">
        <w:rPr>
          <w:rFonts w:ascii="Times New Roman" w:hAnsi="Times New Roman" w:cs="Times New Roman"/>
          <w:noProof/>
          <w:kern w:val="0"/>
          <w:sz w:val="24"/>
        </w:rPr>
        <w:tab/>
        <w:t>G. Qu, K. Guo, W. Chen, Y. Du, Y. Wang, B. Tian, J. Zhang, Cs-Induced Phase Transformation of Vanadium Oxide for High-Performance Zinc-Ion Batteries, Energy Environ. Mater. 6 (2023). https://doi.org/10.1002/eem2.12502.</w:t>
      </w:r>
    </w:p>
    <w:p w14:paraId="42F810B8"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kern w:val="0"/>
          <w:sz w:val="24"/>
        </w:rPr>
      </w:pPr>
      <w:r w:rsidRPr="00F963B4">
        <w:rPr>
          <w:rFonts w:ascii="Times New Roman" w:hAnsi="Times New Roman" w:cs="Times New Roman"/>
          <w:noProof/>
          <w:kern w:val="0"/>
          <w:sz w:val="24"/>
        </w:rPr>
        <w:t>[15]</w:t>
      </w:r>
      <w:r w:rsidRPr="00F963B4">
        <w:rPr>
          <w:rFonts w:ascii="Times New Roman" w:hAnsi="Times New Roman" w:cs="Times New Roman"/>
          <w:noProof/>
          <w:kern w:val="0"/>
          <w:sz w:val="24"/>
        </w:rPr>
        <w:tab/>
        <w:t>Y. Qi, J. Huang, L. Yan, Y. Cao, J. Xu, D. Bin, M. Liao, Y. Xia, Towards high-performance aqueous zinc-ion battery via cesium ion intercalated vanadium oxide nanorods, Chem. Eng. J. 442 (2022) 136349. https://doi.org/10.1016/j.cej.2022.136349.</w:t>
      </w:r>
    </w:p>
    <w:p w14:paraId="41A63E2E" w14:textId="77777777" w:rsidR="00F963B4" w:rsidRPr="00F963B4" w:rsidRDefault="00F963B4" w:rsidP="00F963B4">
      <w:pPr>
        <w:widowControl w:val="0"/>
        <w:autoSpaceDE w:val="0"/>
        <w:autoSpaceDN w:val="0"/>
        <w:adjustRightInd w:val="0"/>
        <w:spacing w:line="480" w:lineRule="auto"/>
        <w:ind w:left="640" w:hanging="640"/>
        <w:rPr>
          <w:rFonts w:ascii="Times New Roman" w:hAnsi="Times New Roman" w:cs="Times New Roman"/>
          <w:noProof/>
          <w:sz w:val="24"/>
        </w:rPr>
      </w:pPr>
      <w:r w:rsidRPr="00F963B4">
        <w:rPr>
          <w:rFonts w:ascii="Times New Roman" w:hAnsi="Times New Roman" w:cs="Times New Roman"/>
          <w:noProof/>
          <w:kern w:val="0"/>
          <w:sz w:val="24"/>
        </w:rPr>
        <w:t>[16]</w:t>
      </w:r>
      <w:r w:rsidRPr="00F963B4">
        <w:rPr>
          <w:rFonts w:ascii="Times New Roman" w:hAnsi="Times New Roman" w:cs="Times New Roman"/>
          <w:noProof/>
          <w:kern w:val="0"/>
          <w:sz w:val="24"/>
        </w:rPr>
        <w:tab/>
        <w:t>H. Tian, Y. He, L. Wang, Y. Lai, J. Wang, H. Xiang, W. Zhao, L. Zhang, Simultaneous pre-intercalation of caesium and sodium ions into vanadium oxide bronze nanowires for high-performance aqueous zinc-ion batteries, Mater. Chem. Front. 6 (2022) 1920–1928. https://doi.org/10.1039/d2qm00420h.</w:t>
      </w:r>
    </w:p>
    <w:p w14:paraId="5ED53705" w14:textId="0F3FD486" w:rsidR="00603E47" w:rsidRPr="00DD33C9" w:rsidRDefault="00603E47" w:rsidP="00603E47">
      <w:pPr>
        <w:spacing w:line="480" w:lineRule="auto"/>
        <w:jc w:val="both"/>
        <w:rPr>
          <w:rFonts w:ascii="Times New Roman" w:hAnsi="Times New Roman" w:cs="Times New Roman"/>
          <w:sz w:val="24"/>
          <w:szCs w:val="24"/>
        </w:rPr>
      </w:pPr>
      <w:r w:rsidRPr="00DD33C9">
        <w:rPr>
          <w:rFonts w:ascii="Times New Roman" w:hAnsi="Times New Roman" w:cs="Times New Roman"/>
          <w:sz w:val="24"/>
          <w:szCs w:val="24"/>
        </w:rPr>
        <w:fldChar w:fldCharType="end"/>
      </w:r>
    </w:p>
    <w:sectPr w:rsidR="00603E47" w:rsidRPr="00DD33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E5B1B"/>
    <w:multiLevelType w:val="multilevel"/>
    <w:tmpl w:val="D3D2C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BA0F75"/>
    <w:multiLevelType w:val="hybridMultilevel"/>
    <w:tmpl w:val="BA1AEEF8"/>
    <w:lvl w:ilvl="0" w:tplc="28E8A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8DC0AEC"/>
    <w:multiLevelType w:val="hybridMultilevel"/>
    <w:tmpl w:val="4A3E8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C818CB"/>
    <w:multiLevelType w:val="multilevel"/>
    <w:tmpl w:val="BABE9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96401585">
    <w:abstractNumId w:val="2"/>
  </w:num>
  <w:num w:numId="2" w16cid:durableId="774710085">
    <w:abstractNumId w:val="0"/>
  </w:num>
  <w:num w:numId="3" w16cid:durableId="1750809266">
    <w:abstractNumId w:val="1"/>
  </w:num>
  <w:num w:numId="4" w16cid:durableId="19865413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C46"/>
    <w:rsid w:val="000255E0"/>
    <w:rsid w:val="00047FBD"/>
    <w:rsid w:val="0009606D"/>
    <w:rsid w:val="000C2974"/>
    <w:rsid w:val="000E4F66"/>
    <w:rsid w:val="000F20BF"/>
    <w:rsid w:val="00105C2D"/>
    <w:rsid w:val="00195B6C"/>
    <w:rsid w:val="001A0180"/>
    <w:rsid w:val="001E6560"/>
    <w:rsid w:val="00203F18"/>
    <w:rsid w:val="002470E5"/>
    <w:rsid w:val="00250C31"/>
    <w:rsid w:val="00264C8B"/>
    <w:rsid w:val="002847ED"/>
    <w:rsid w:val="00305981"/>
    <w:rsid w:val="00326FAC"/>
    <w:rsid w:val="00335F10"/>
    <w:rsid w:val="00357A0C"/>
    <w:rsid w:val="003727D6"/>
    <w:rsid w:val="003A5050"/>
    <w:rsid w:val="004402CA"/>
    <w:rsid w:val="00441669"/>
    <w:rsid w:val="00444763"/>
    <w:rsid w:val="00467775"/>
    <w:rsid w:val="004B6C94"/>
    <w:rsid w:val="004D2024"/>
    <w:rsid w:val="004D3F12"/>
    <w:rsid w:val="005114AD"/>
    <w:rsid w:val="00555720"/>
    <w:rsid w:val="005A3107"/>
    <w:rsid w:val="005C669C"/>
    <w:rsid w:val="006012BC"/>
    <w:rsid w:val="00603E47"/>
    <w:rsid w:val="006313FD"/>
    <w:rsid w:val="00671921"/>
    <w:rsid w:val="00685FDD"/>
    <w:rsid w:val="006B7539"/>
    <w:rsid w:val="006C0A6A"/>
    <w:rsid w:val="006F2D73"/>
    <w:rsid w:val="006F6B79"/>
    <w:rsid w:val="0073178F"/>
    <w:rsid w:val="007508C3"/>
    <w:rsid w:val="007903AD"/>
    <w:rsid w:val="007B196C"/>
    <w:rsid w:val="007B50B8"/>
    <w:rsid w:val="007C1DD6"/>
    <w:rsid w:val="00860E7A"/>
    <w:rsid w:val="008708A9"/>
    <w:rsid w:val="008A23FA"/>
    <w:rsid w:val="008A76FE"/>
    <w:rsid w:val="008E3321"/>
    <w:rsid w:val="009144DC"/>
    <w:rsid w:val="0092115B"/>
    <w:rsid w:val="00923D87"/>
    <w:rsid w:val="00924838"/>
    <w:rsid w:val="009608FC"/>
    <w:rsid w:val="00964EFB"/>
    <w:rsid w:val="00970590"/>
    <w:rsid w:val="0098157A"/>
    <w:rsid w:val="009D0A07"/>
    <w:rsid w:val="009E4272"/>
    <w:rsid w:val="00A05F06"/>
    <w:rsid w:val="00A12734"/>
    <w:rsid w:val="00A26D93"/>
    <w:rsid w:val="00AF5BBD"/>
    <w:rsid w:val="00B2520F"/>
    <w:rsid w:val="00B31119"/>
    <w:rsid w:val="00B44F0A"/>
    <w:rsid w:val="00B62327"/>
    <w:rsid w:val="00B8218D"/>
    <w:rsid w:val="00B944DE"/>
    <w:rsid w:val="00BA7865"/>
    <w:rsid w:val="00BF7A1F"/>
    <w:rsid w:val="00C45123"/>
    <w:rsid w:val="00C5345B"/>
    <w:rsid w:val="00C81C46"/>
    <w:rsid w:val="00CC56F0"/>
    <w:rsid w:val="00CD251C"/>
    <w:rsid w:val="00CD433D"/>
    <w:rsid w:val="00D0342C"/>
    <w:rsid w:val="00D04A83"/>
    <w:rsid w:val="00D07203"/>
    <w:rsid w:val="00D112B2"/>
    <w:rsid w:val="00D11608"/>
    <w:rsid w:val="00D25920"/>
    <w:rsid w:val="00D76753"/>
    <w:rsid w:val="00D94FC5"/>
    <w:rsid w:val="00DA4917"/>
    <w:rsid w:val="00DD33C9"/>
    <w:rsid w:val="00DF5644"/>
    <w:rsid w:val="00E257A9"/>
    <w:rsid w:val="00E76C2E"/>
    <w:rsid w:val="00E85DDB"/>
    <w:rsid w:val="00EA14C9"/>
    <w:rsid w:val="00EF1314"/>
    <w:rsid w:val="00EF3126"/>
    <w:rsid w:val="00F466A2"/>
    <w:rsid w:val="00F51D88"/>
    <w:rsid w:val="00F963B4"/>
    <w:rsid w:val="00FD6A1F"/>
    <w:rsid w:val="00FE1A03"/>
    <w:rsid w:val="00FF02B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C9570"/>
  <w15:chartTrackingRefBased/>
  <w15:docId w15:val="{0DD03F72-AD85-452D-A312-9E501078E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7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1C46"/>
    <w:rPr>
      <w:color w:val="0563C1" w:themeColor="hyperlink"/>
      <w:u w:val="single"/>
    </w:rPr>
  </w:style>
  <w:style w:type="paragraph" w:styleId="ListParagraph">
    <w:name w:val="List Paragraph"/>
    <w:basedOn w:val="Normal"/>
    <w:uiPriority w:val="34"/>
    <w:qFormat/>
    <w:rsid w:val="005A3107"/>
    <w:pPr>
      <w:ind w:left="720"/>
      <w:contextualSpacing/>
    </w:pPr>
  </w:style>
  <w:style w:type="character" w:styleId="PlaceholderText">
    <w:name w:val="Placeholder Text"/>
    <w:basedOn w:val="DefaultParagraphFont"/>
    <w:uiPriority w:val="99"/>
    <w:semiHidden/>
    <w:rsid w:val="00FF02B5"/>
    <w:rPr>
      <w:color w:val="666666"/>
    </w:rPr>
  </w:style>
  <w:style w:type="character" w:styleId="FollowedHyperlink">
    <w:name w:val="FollowedHyperlink"/>
    <w:basedOn w:val="DefaultParagraphFont"/>
    <w:uiPriority w:val="99"/>
    <w:semiHidden/>
    <w:unhideWhenUsed/>
    <w:rsid w:val="00603E47"/>
    <w:rPr>
      <w:color w:val="954F72" w:themeColor="followedHyperlink"/>
      <w:u w:val="single"/>
    </w:rPr>
  </w:style>
  <w:style w:type="table" w:styleId="TableGrid">
    <w:name w:val="Table Grid"/>
    <w:basedOn w:val="TableNormal"/>
    <w:uiPriority w:val="39"/>
    <w:rsid w:val="00D76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6275">
      <w:bodyDiv w:val="1"/>
      <w:marLeft w:val="0"/>
      <w:marRight w:val="0"/>
      <w:marTop w:val="0"/>
      <w:marBottom w:val="0"/>
      <w:divBdr>
        <w:top w:val="none" w:sz="0" w:space="0" w:color="auto"/>
        <w:left w:val="none" w:sz="0" w:space="0" w:color="auto"/>
        <w:bottom w:val="none" w:sz="0" w:space="0" w:color="auto"/>
        <w:right w:val="none" w:sz="0" w:space="0" w:color="auto"/>
      </w:divBdr>
    </w:div>
    <w:div w:id="396054209">
      <w:bodyDiv w:val="1"/>
      <w:marLeft w:val="0"/>
      <w:marRight w:val="0"/>
      <w:marTop w:val="0"/>
      <w:marBottom w:val="0"/>
      <w:divBdr>
        <w:top w:val="none" w:sz="0" w:space="0" w:color="auto"/>
        <w:left w:val="none" w:sz="0" w:space="0" w:color="auto"/>
        <w:bottom w:val="none" w:sz="0" w:space="0" w:color="auto"/>
        <w:right w:val="none" w:sz="0" w:space="0" w:color="auto"/>
      </w:divBdr>
    </w:div>
    <w:div w:id="596982895">
      <w:bodyDiv w:val="1"/>
      <w:marLeft w:val="0"/>
      <w:marRight w:val="0"/>
      <w:marTop w:val="0"/>
      <w:marBottom w:val="0"/>
      <w:divBdr>
        <w:top w:val="none" w:sz="0" w:space="0" w:color="auto"/>
        <w:left w:val="none" w:sz="0" w:space="0" w:color="auto"/>
        <w:bottom w:val="none" w:sz="0" w:space="0" w:color="auto"/>
        <w:right w:val="none" w:sz="0" w:space="0" w:color="auto"/>
      </w:divBdr>
    </w:div>
    <w:div w:id="850022002">
      <w:bodyDiv w:val="1"/>
      <w:marLeft w:val="0"/>
      <w:marRight w:val="0"/>
      <w:marTop w:val="0"/>
      <w:marBottom w:val="0"/>
      <w:divBdr>
        <w:top w:val="none" w:sz="0" w:space="0" w:color="auto"/>
        <w:left w:val="none" w:sz="0" w:space="0" w:color="auto"/>
        <w:bottom w:val="none" w:sz="0" w:space="0" w:color="auto"/>
        <w:right w:val="none" w:sz="0" w:space="0" w:color="auto"/>
      </w:divBdr>
    </w:div>
    <w:div w:id="1072317536">
      <w:bodyDiv w:val="1"/>
      <w:marLeft w:val="0"/>
      <w:marRight w:val="0"/>
      <w:marTop w:val="0"/>
      <w:marBottom w:val="0"/>
      <w:divBdr>
        <w:top w:val="none" w:sz="0" w:space="0" w:color="auto"/>
        <w:left w:val="none" w:sz="0" w:space="0" w:color="auto"/>
        <w:bottom w:val="none" w:sz="0" w:space="0" w:color="auto"/>
        <w:right w:val="none" w:sz="0" w:space="0" w:color="auto"/>
      </w:divBdr>
    </w:div>
    <w:div w:id="1144666305">
      <w:bodyDiv w:val="1"/>
      <w:marLeft w:val="0"/>
      <w:marRight w:val="0"/>
      <w:marTop w:val="0"/>
      <w:marBottom w:val="0"/>
      <w:divBdr>
        <w:top w:val="none" w:sz="0" w:space="0" w:color="auto"/>
        <w:left w:val="none" w:sz="0" w:space="0" w:color="auto"/>
        <w:bottom w:val="none" w:sz="0" w:space="0" w:color="auto"/>
        <w:right w:val="none" w:sz="0" w:space="0" w:color="auto"/>
      </w:divBdr>
    </w:div>
    <w:div w:id="1406687739">
      <w:bodyDiv w:val="1"/>
      <w:marLeft w:val="0"/>
      <w:marRight w:val="0"/>
      <w:marTop w:val="0"/>
      <w:marBottom w:val="0"/>
      <w:divBdr>
        <w:top w:val="none" w:sz="0" w:space="0" w:color="auto"/>
        <w:left w:val="none" w:sz="0" w:space="0" w:color="auto"/>
        <w:bottom w:val="none" w:sz="0" w:space="0" w:color="auto"/>
        <w:right w:val="none" w:sz="0" w:space="0" w:color="auto"/>
      </w:divBdr>
    </w:div>
    <w:div w:id="1631931960">
      <w:bodyDiv w:val="1"/>
      <w:marLeft w:val="0"/>
      <w:marRight w:val="0"/>
      <w:marTop w:val="0"/>
      <w:marBottom w:val="0"/>
      <w:divBdr>
        <w:top w:val="none" w:sz="0" w:space="0" w:color="auto"/>
        <w:left w:val="none" w:sz="0" w:space="0" w:color="auto"/>
        <w:bottom w:val="none" w:sz="0" w:space="0" w:color="auto"/>
        <w:right w:val="none" w:sz="0" w:space="0" w:color="auto"/>
      </w:divBdr>
    </w:div>
    <w:div w:id="1811746241">
      <w:bodyDiv w:val="1"/>
      <w:marLeft w:val="0"/>
      <w:marRight w:val="0"/>
      <w:marTop w:val="0"/>
      <w:marBottom w:val="0"/>
      <w:divBdr>
        <w:top w:val="none" w:sz="0" w:space="0" w:color="auto"/>
        <w:left w:val="none" w:sz="0" w:space="0" w:color="auto"/>
        <w:bottom w:val="none" w:sz="0" w:space="0" w:color="auto"/>
        <w:right w:val="none" w:sz="0" w:space="0" w:color="auto"/>
      </w:divBdr>
    </w:div>
    <w:div w:id="1834951936">
      <w:bodyDiv w:val="1"/>
      <w:marLeft w:val="0"/>
      <w:marRight w:val="0"/>
      <w:marTop w:val="0"/>
      <w:marBottom w:val="0"/>
      <w:divBdr>
        <w:top w:val="none" w:sz="0" w:space="0" w:color="auto"/>
        <w:left w:val="none" w:sz="0" w:space="0" w:color="auto"/>
        <w:bottom w:val="none" w:sz="0" w:space="0" w:color="auto"/>
        <w:right w:val="none" w:sz="0" w:space="0" w:color="auto"/>
      </w:divBdr>
    </w:div>
    <w:div w:id="192494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4C3C7-ACD6-4D36-814B-2512D7891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24</Pages>
  <Words>10924</Words>
  <Characters>62271</Characters>
  <Application>Microsoft Office Word</Application>
  <DocSecurity>0</DocSecurity>
  <Lines>518</Lines>
  <Paragraphs>146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BANDI HARI</dc:creator>
  <cp:keywords/>
  <dc:description/>
  <cp:lastModifiedBy>BANDI HARI</cp:lastModifiedBy>
  <cp:revision>18</cp:revision>
  <dcterms:created xsi:type="dcterms:W3CDTF">2025-07-17T13:11:00Z</dcterms:created>
  <dcterms:modified xsi:type="dcterms:W3CDTF">2025-10-14T08:33:00Z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http://www.zotero.org/styles/advanced-composite-materials</vt:lpwstr>
  </property>
  <property fmtid="{D5CDD505-2E9C-101B-9397-08002B2CF9AE}" pid="5" name="Mendeley Recent Style Name 1_1">
    <vt:lpwstr>Advanced Composite Materials</vt:lpwstr>
  </property>
  <property fmtid="{D5CDD505-2E9C-101B-9397-08002B2CF9AE}" pid="6" name="Mendeley Recent Style Id 2_1">
    <vt:lpwstr>http://www.zotero.org/styles/advanced-engineering-materials</vt:lpwstr>
  </property>
  <property fmtid="{D5CDD505-2E9C-101B-9397-08002B2CF9AE}" pid="7" name="Mendeley Recent Style Name 2_1">
    <vt:lpwstr>Advanced Engineering Materials</vt:lpwstr>
  </property>
  <property fmtid="{D5CDD505-2E9C-101B-9397-08002B2CF9AE}" pid="8" name="Mendeley Recent Style Id 3_1">
    <vt:lpwstr>http://www.zotero.org/styles/advanced-powder-technology</vt:lpwstr>
  </property>
  <property fmtid="{D5CDD505-2E9C-101B-9397-08002B2CF9AE}" pid="9" name="Mendeley Recent Style Name 3_1">
    <vt:lpwstr>Advanced Powder Technology</vt:lpwstr>
  </property>
  <property fmtid="{D5CDD505-2E9C-101B-9397-08002B2CF9AE}" pid="10" name="Mendeley Recent Style Id 4_1">
    <vt:lpwstr>http://www.zotero.org/styles/applied-composite-materials</vt:lpwstr>
  </property>
  <property fmtid="{D5CDD505-2E9C-101B-9397-08002B2CF9AE}" pid="11" name="Mendeley Recent Style Name 4_1">
    <vt:lpwstr>Applied Composite Materials</vt:lpwstr>
  </property>
  <property fmtid="{D5CDD505-2E9C-101B-9397-08002B2CF9AE}" pid="12" name="Mendeley Recent Style Id 5_1">
    <vt:lpwstr>http://www.zotero.org/styles/chemical-engineering-journal</vt:lpwstr>
  </property>
  <property fmtid="{D5CDD505-2E9C-101B-9397-08002B2CF9AE}" pid="13" name="Mendeley Recent Style Name 5_1">
    <vt:lpwstr>Chemical Engineering Journal</vt:lpwstr>
  </property>
  <property fmtid="{D5CDD505-2E9C-101B-9397-08002B2CF9AE}" pid="14" name="Mendeley Recent Style Id 6_1">
    <vt:lpwstr>http://www.zotero.org/styles/green-energy-and-environment</vt:lpwstr>
  </property>
  <property fmtid="{D5CDD505-2E9C-101B-9397-08002B2CF9AE}" pid="15" name="Mendeley Recent Style Name 6_1">
    <vt:lpwstr>Green Energy &amp; Environment</vt:lpwstr>
  </property>
  <property fmtid="{D5CDD505-2E9C-101B-9397-08002B2CF9AE}" pid="16" name="Mendeley Recent Style Id 7_1">
    <vt:lpwstr>http://www.zotero.org/styles/journal-of-materials-chemistry-a</vt:lpwstr>
  </property>
  <property fmtid="{D5CDD505-2E9C-101B-9397-08002B2CF9AE}" pid="17" name="Mendeley Recent Style Name 7_1">
    <vt:lpwstr>Journal of Materials Chemistry A</vt:lpwstr>
  </property>
  <property fmtid="{D5CDD505-2E9C-101B-9397-08002B2CF9AE}" pid="18" name="Mendeley Recent Style Id 8_1">
    <vt:lpwstr>http://www.zotero.org/styles/materials-today</vt:lpwstr>
  </property>
  <property fmtid="{D5CDD505-2E9C-101B-9397-08002B2CF9AE}" pid="19" name="Mendeley Recent Style Name 8_1">
    <vt:lpwstr>Materials Today</vt:lpwstr>
  </property>
  <property fmtid="{D5CDD505-2E9C-101B-9397-08002B2CF9AE}" pid="20" name="Mendeley Recent Style Id 9_1">
    <vt:lpwstr>http://www.zotero.org/styles/nano-micro-letters</vt:lpwstr>
  </property>
  <property fmtid="{D5CDD505-2E9C-101B-9397-08002B2CF9AE}" pid="21" name="Mendeley Recent Style Name 9_1">
    <vt:lpwstr>Nano-Micro Letters</vt:lpwstr>
  </property>
  <property fmtid="{D5CDD505-2E9C-101B-9397-08002B2CF9AE}" pid="22" name="Mendeley Document_1">
    <vt:lpwstr>True</vt:lpwstr>
  </property>
  <property fmtid="{D5CDD505-2E9C-101B-9397-08002B2CF9AE}" pid="23" name="Mendeley Unique User Id_1">
    <vt:lpwstr>db10f58a-15b4-3f2b-86cd-06ee60a69201</vt:lpwstr>
  </property>
  <property fmtid="{D5CDD505-2E9C-101B-9397-08002B2CF9AE}" pid="24" name="Mendeley Citation Style_1">
    <vt:lpwstr>http://www.zotero.org/styles/chemical-engineering-journal</vt:lpwstr>
  </property>
</Properties>
</file>