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40" w:lineRule="auto"/>
        <w:jc w:val="center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Appendix 3.</w:t>
      </w:r>
      <w:r w:rsidDel="00000000" w:rsidR="00000000" w:rsidRPr="00000000">
        <w:rPr>
          <w:sz w:val="28"/>
          <w:szCs w:val="28"/>
          <w:rtl w:val="0"/>
        </w:rPr>
        <w:t xml:space="preserve"> Additional analyses</w:t>
      </w:r>
    </w:p>
    <w:p w:rsidR="00000000" w:rsidDel="00000000" w:rsidP="00000000" w:rsidRDefault="00000000" w:rsidRPr="00000000" w14:paraId="00000002">
      <w:pPr>
        <w:spacing w:after="16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60" w:line="240" w:lineRule="auto"/>
        <w:rPr/>
      </w:pPr>
      <w:r w:rsidDel="00000000" w:rsidR="00000000" w:rsidRPr="00000000">
        <w:rPr>
          <w:b w:val="1"/>
          <w:rtl w:val="0"/>
        </w:rPr>
        <w:t xml:space="preserve">Table 1.</w:t>
      </w:r>
      <w:r w:rsidDel="00000000" w:rsidR="00000000" w:rsidRPr="00000000">
        <w:rPr>
          <w:rtl w:val="0"/>
        </w:rPr>
        <w:t xml:space="preserve"> Comparison of proportion differences between GPs in the sample and those in the GMC Registry using chi-square goodness-of-fit test.</w:t>
      </w:r>
    </w:p>
    <w:tbl>
      <w:tblPr>
        <w:tblStyle w:val="Table1"/>
        <w:tblW w:w="9315.0" w:type="dxa"/>
        <w:jc w:val="center"/>
        <w:tblLayout w:type="fixed"/>
        <w:tblLook w:val="0400"/>
      </w:tblPr>
      <w:tblGrid>
        <w:gridCol w:w="2771.666666666667"/>
        <w:gridCol w:w="1488.3333333333335"/>
        <w:gridCol w:w="1740"/>
        <w:gridCol w:w="3315"/>
        <w:tblGridChange w:id="0">
          <w:tblGrid>
            <w:gridCol w:w="2771.666666666667"/>
            <w:gridCol w:w="1488.3333333333335"/>
            <w:gridCol w:w="1740"/>
            <w:gridCol w:w="3315"/>
          </w:tblGrid>
        </w:tblGridChange>
      </w:tblGrid>
      <w:tr>
        <w:trPr>
          <w:cantSplit w:val="0"/>
          <w:trHeight w:val="234" w:hRule="atLeast"/>
          <w:tblHeader w:val="0"/>
        </w:trPr>
        <w:tc>
          <w:tcPr>
            <w:tcBorders>
              <w:top w:color="000000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adadad" w:val="clear"/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04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 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adadad" w:val="clear"/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05">
            <w:pPr>
              <w:spacing w:line="240" w:lineRule="auto"/>
              <w:ind w:left="9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</w:t>
            </w:r>
          </w:p>
          <w:p w:rsidR="00000000" w:rsidDel="00000000" w:rsidP="00000000" w:rsidRDefault="00000000" w:rsidRPr="00000000" w14:paraId="00000006">
            <w:pPr>
              <w:spacing w:line="240" w:lineRule="auto"/>
              <w:ind w:left="9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n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= 1,003)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adadad" w:val="clear"/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07">
            <w:pPr>
              <w:spacing w:line="240" w:lineRule="auto"/>
              <w:ind w:left="9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GMC Registry</w:t>
            </w:r>
          </w:p>
          <w:p w:rsidR="00000000" w:rsidDel="00000000" w:rsidP="00000000" w:rsidRDefault="00000000" w:rsidRPr="00000000" w14:paraId="00000008">
            <w:pPr>
              <w:spacing w:line="240" w:lineRule="auto"/>
              <w:ind w:left="9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n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= 68,692)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adadad" w:val="clear"/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09">
            <w:pPr>
              <w:spacing w:line="240" w:lineRule="auto"/>
              <w:ind w:left="9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Analysis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000000" w:space="0" w:sz="12" w:val="single"/>
              <w:left w:color="ffffff" w:space="0" w:sz="8" w:val="single"/>
              <w:bottom w:color="ffffff" w:space="0" w:sz="12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Gender</w:t>
            </w:r>
          </w:p>
        </w:tc>
        <w:tc>
          <w:tcPr>
            <w:tcBorders>
              <w:top w:color="000000" w:space="0" w:sz="12" w:val="single"/>
              <w:left w:color="ffffff" w:space="0" w:sz="8" w:val="single"/>
              <w:bottom w:color="ffffff" w:space="0" w:sz="12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ffffff" w:space="0" w:sz="8" w:val="single"/>
              <w:bottom w:color="ffffff" w:space="0" w:sz="12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0C">
            <w:pPr>
              <w:spacing w:line="240" w:lineRule="auto"/>
              <w:ind w:left="89.99999999999963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ffffff" w:space="0" w:sz="8" w:val="single"/>
              <w:bottom w:color="ffffff" w:space="0" w:sz="12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0D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χ</w:t>
            </w:r>
            <w:r w:rsidDel="00000000" w:rsidR="00000000" w:rsidRPr="00000000">
              <w:rPr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  <w:t xml:space="preserve">(1, 984) = 19.38, </w:t>
            </w:r>
            <w:r w:rsidDel="00000000" w:rsidR="00000000" w:rsidRPr="00000000">
              <w:rPr>
                <w:i w:val="1"/>
                <w:rtl w:val="0"/>
              </w:rPr>
              <w:t xml:space="preserve">p</w:t>
            </w:r>
            <w:r w:rsidDel="00000000" w:rsidR="00000000" w:rsidRPr="00000000">
              <w:rPr>
                <w:rtl w:val="0"/>
              </w:rPr>
              <w:t xml:space="preserve"> &lt; .001, Cramer’s V = .14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0E">
            <w:pPr>
              <w:spacing w:line="240" w:lineRule="auto"/>
              <w:ind w:left="27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Woman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0F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503 (51.1%)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10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39,871 (58%)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11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12">
            <w:pPr>
              <w:spacing w:line="240" w:lineRule="auto"/>
              <w:ind w:left="27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Man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13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481 (48.9%)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14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28,821 (42%)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15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Age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17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18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19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N/A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1A">
            <w:pPr>
              <w:spacing w:line="240" w:lineRule="auto"/>
              <w:ind w:left="27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 years or younger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1B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103 (10.3%)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1C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6,378 (9.3%)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1D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1E">
            <w:pPr>
              <w:spacing w:line="240" w:lineRule="auto"/>
              <w:ind w:left="276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 – 45 years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1F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349 (34.8%)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20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25,731 (37.5%)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21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22">
            <w:pPr>
              <w:spacing w:line="240" w:lineRule="auto"/>
              <w:ind w:left="27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46 – 55 years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23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371 (37%)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24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21,018 (30.6%)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25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26">
            <w:pPr>
              <w:spacing w:line="240" w:lineRule="auto"/>
              <w:ind w:left="27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56 years or older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27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180 (17.9%)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28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15,565 (22.7%)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29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12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2A">
            <w:pP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Regional distribution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12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2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2C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2D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χ</w:t>
            </w:r>
            <w:r w:rsidDel="00000000" w:rsidR="00000000" w:rsidRPr="00000000">
              <w:rPr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  <w:t xml:space="preserve">(10, 1829) = 11.98, </w:t>
            </w:r>
            <w:r w:rsidDel="00000000" w:rsidR="00000000" w:rsidRPr="00000000">
              <w:rPr>
                <w:i w:val="1"/>
                <w:rtl w:val="0"/>
              </w:rPr>
              <w:t xml:space="preserve">p</w:t>
            </w:r>
            <w:r w:rsidDel="00000000" w:rsidR="00000000" w:rsidRPr="00000000">
              <w:rPr>
                <w:rtl w:val="0"/>
              </w:rPr>
              <w:t xml:space="preserve"> = .286, Cramer’s V = .03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2E">
            <w:pPr>
              <w:spacing w:line="240" w:lineRule="auto"/>
              <w:ind w:left="270" w:firstLine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England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2F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826 (82.4%)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30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57,362 (83.5%)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31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32">
            <w:pPr>
              <w:spacing w:line="240" w:lineRule="auto"/>
              <w:ind w:left="5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London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33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116 (11.6%)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34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10,190 (14.8%)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35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36">
            <w:pPr>
              <w:spacing w:line="240" w:lineRule="auto"/>
              <w:ind w:left="5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South West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37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88 (8.8%)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38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6,554 (9.5%)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39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3A">
            <w:pPr>
              <w:spacing w:line="240" w:lineRule="auto"/>
              <w:ind w:left="5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South East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3B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131 (13.1%)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3C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9,087 (13.2%)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3D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3E">
            <w:pPr>
              <w:spacing w:line="240" w:lineRule="auto"/>
              <w:ind w:left="5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Midlands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3F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160 (15.9%)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40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10,050 (14.6%)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41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42">
            <w:pPr>
              <w:spacing w:line="240" w:lineRule="auto"/>
              <w:ind w:left="5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East of England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43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84 (8.4%)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44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5,826 (8.5%)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45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46">
            <w:pPr>
              <w:spacing w:line="240" w:lineRule="auto"/>
              <w:ind w:left="5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North East &amp; Yorkshire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47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129 (12.9%)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48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8,259  (12%)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49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4A">
            <w:pPr>
              <w:spacing w:line="240" w:lineRule="auto"/>
              <w:ind w:left="5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North West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4B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118 (11.8%)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4C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7,396 (10.8%)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4D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4E">
            <w:pPr>
              <w:spacing w:line="240" w:lineRule="auto"/>
              <w:ind w:left="270" w:firstLine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Scotland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4F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100 (10%)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50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6,467 (9.4%)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51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52">
            <w:pPr>
              <w:spacing w:line="240" w:lineRule="auto"/>
              <w:ind w:left="270" w:firstLine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Wales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53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43 (4.3%)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54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2,880 (4.2%)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55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1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56">
            <w:pPr>
              <w:spacing w:line="240" w:lineRule="auto"/>
              <w:ind w:left="270" w:firstLine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Northern Ireland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1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57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34 (3.4%)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1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58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1,983 (2.9%)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1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59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spacing w:after="160" w:line="240" w:lineRule="auto"/>
        <w:rPr>
          <w:sz w:val="18"/>
          <w:szCs w:val="18"/>
        </w:rPr>
      </w:pPr>
      <w:r w:rsidDel="00000000" w:rsidR="00000000" w:rsidRPr="00000000">
        <w:rPr>
          <w:i w:val="1"/>
          <w:sz w:val="18"/>
          <w:szCs w:val="18"/>
          <w:rtl w:val="0"/>
        </w:rPr>
        <w:t xml:space="preserve">Note</w:t>
      </w:r>
      <w:r w:rsidDel="00000000" w:rsidR="00000000" w:rsidRPr="00000000">
        <w:rPr>
          <w:sz w:val="18"/>
          <w:szCs w:val="18"/>
          <w:rtl w:val="0"/>
        </w:rPr>
        <w:t xml:space="preserve">: Gender analysis excluded </w:t>
      </w:r>
      <w:r w:rsidDel="00000000" w:rsidR="00000000" w:rsidRPr="00000000">
        <w:rPr>
          <w:i w:val="1"/>
          <w:sz w:val="18"/>
          <w:szCs w:val="18"/>
          <w:rtl w:val="0"/>
        </w:rPr>
        <w:t xml:space="preserve">‘Other’</w:t>
      </w:r>
      <w:r w:rsidDel="00000000" w:rsidR="00000000" w:rsidRPr="00000000">
        <w:rPr>
          <w:sz w:val="18"/>
          <w:szCs w:val="18"/>
          <w:rtl w:val="0"/>
        </w:rPr>
        <w:t xml:space="preserve"> (</w:t>
      </w:r>
      <w:r w:rsidDel="00000000" w:rsidR="00000000" w:rsidRPr="00000000">
        <w:rPr>
          <w:i w:val="1"/>
          <w:sz w:val="18"/>
          <w:szCs w:val="18"/>
          <w:rtl w:val="0"/>
        </w:rPr>
        <w:t xml:space="preserve">n</w:t>
      </w:r>
      <w:r w:rsidDel="00000000" w:rsidR="00000000" w:rsidRPr="00000000">
        <w:rPr>
          <w:sz w:val="18"/>
          <w:szCs w:val="18"/>
          <w:rtl w:val="0"/>
        </w:rPr>
        <w:t xml:space="preserve"> = 1) and </w:t>
      </w:r>
      <w:r w:rsidDel="00000000" w:rsidR="00000000" w:rsidRPr="00000000">
        <w:rPr>
          <w:i w:val="1"/>
          <w:sz w:val="18"/>
          <w:szCs w:val="18"/>
          <w:rtl w:val="0"/>
        </w:rPr>
        <w:t xml:space="preserve">‘Prefer not to answer’</w:t>
      </w:r>
      <w:r w:rsidDel="00000000" w:rsidR="00000000" w:rsidRPr="00000000">
        <w:rPr>
          <w:sz w:val="18"/>
          <w:szCs w:val="18"/>
          <w:rtl w:val="0"/>
        </w:rPr>
        <w:t xml:space="preserve"> (</w:t>
      </w:r>
      <w:r w:rsidDel="00000000" w:rsidR="00000000" w:rsidRPr="00000000">
        <w:rPr>
          <w:i w:val="1"/>
          <w:sz w:val="18"/>
          <w:szCs w:val="18"/>
          <w:rtl w:val="0"/>
        </w:rPr>
        <w:t xml:space="preserve">n</w:t>
      </w:r>
      <w:r w:rsidDel="00000000" w:rsidR="00000000" w:rsidRPr="00000000">
        <w:rPr>
          <w:sz w:val="18"/>
          <w:szCs w:val="18"/>
          <w:rtl w:val="0"/>
        </w:rPr>
        <w:t xml:space="preserve"> = 18) responses, resulting in a sample of 984. Comparison of age was not carried out due to different age brackets in the survey and the GMC Registry (e.g., 35 </w:t>
      </w:r>
      <w:r w:rsidDel="00000000" w:rsidR="00000000" w:rsidRPr="00000000">
        <w:rPr>
          <w:sz w:val="20"/>
          <w:szCs w:val="20"/>
          <w:rtl w:val="0"/>
        </w:rPr>
        <w:t xml:space="preserve">–</w:t>
      </w:r>
      <w:r w:rsidDel="00000000" w:rsidR="00000000" w:rsidRPr="00000000">
        <w:rPr>
          <w:sz w:val="18"/>
          <w:szCs w:val="18"/>
          <w:rtl w:val="0"/>
        </w:rPr>
        <w:t xml:space="preserve"> 44 years). Comparison of regional distribution was carried out with England regions, Scotland, Wales, and Northern Ireland as variable levels.</w:t>
      </w:r>
    </w:p>
    <w:p w:rsidR="00000000" w:rsidDel="00000000" w:rsidP="00000000" w:rsidRDefault="00000000" w:rsidRPr="00000000" w14:paraId="0000005B">
      <w:pPr>
        <w:spacing w:after="160" w:line="240" w:lineRule="auto"/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160" w:line="240" w:lineRule="auto"/>
        <w:rPr/>
      </w:pPr>
      <w:r w:rsidDel="00000000" w:rsidR="00000000" w:rsidRPr="00000000">
        <w:rPr>
          <w:b w:val="1"/>
          <w:rtl w:val="0"/>
        </w:rPr>
        <w:t xml:space="preserve">Table 2.</w:t>
      </w:r>
      <w:r w:rsidDel="00000000" w:rsidR="00000000" w:rsidRPr="00000000">
        <w:rPr>
          <w:rtl w:val="0"/>
        </w:rPr>
        <w:t xml:space="preserve"> Comparison of proportion differences between Ambient AI user and non-user GPs using two-proportion z-test.</w:t>
      </w: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center"/>
        <w:tblLayout w:type="fixed"/>
        <w:tblLook w:val="0400"/>
      </w:tblPr>
      <w:tblGrid>
        <w:gridCol w:w="2505"/>
        <w:gridCol w:w="1020"/>
        <w:gridCol w:w="1185"/>
        <w:gridCol w:w="1140"/>
        <w:gridCol w:w="1080"/>
        <w:gridCol w:w="1185"/>
        <w:gridCol w:w="1245"/>
        <w:tblGridChange w:id="0">
          <w:tblGrid>
            <w:gridCol w:w="2505"/>
            <w:gridCol w:w="1020"/>
            <w:gridCol w:w="1185"/>
            <w:gridCol w:w="1140"/>
            <w:gridCol w:w="1080"/>
            <w:gridCol w:w="1185"/>
            <w:gridCol w:w="1245"/>
          </w:tblGrid>
        </w:tblGridChange>
      </w:tblGrid>
      <w:tr>
        <w:trPr>
          <w:cantSplit w:val="0"/>
          <w:trHeight w:val="234" w:hRule="atLeast"/>
          <w:tblHeader w:val="0"/>
        </w:trPr>
        <w:tc>
          <w:tcPr>
            <w:tcBorders>
              <w:top w:color="000000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adadad" w:val="clear"/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5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 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adadad" w:val="clear"/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5E">
            <w:pPr>
              <w:spacing w:line="240" w:lineRule="auto"/>
              <w:ind w:left="9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Users</w:t>
            </w:r>
          </w:p>
          <w:p w:rsidR="00000000" w:rsidDel="00000000" w:rsidP="00000000" w:rsidRDefault="00000000" w:rsidRPr="00000000" w14:paraId="0000005F">
            <w:pPr>
              <w:spacing w:line="240" w:lineRule="auto"/>
              <w:ind w:left="9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n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= 141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) 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adadad" w:val="clear"/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60">
            <w:pPr>
              <w:spacing w:line="240" w:lineRule="auto"/>
              <w:ind w:left="9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Non-users</w:t>
            </w:r>
          </w:p>
          <w:p w:rsidR="00000000" w:rsidDel="00000000" w:rsidP="00000000" w:rsidRDefault="00000000" w:rsidRPr="00000000" w14:paraId="00000061">
            <w:pPr>
              <w:spacing w:line="240" w:lineRule="auto"/>
              <w:ind w:left="9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n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= 862)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adadad" w:val="clear"/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62">
            <w:pPr>
              <w:spacing w:line="240" w:lineRule="auto"/>
              <w:ind w:left="9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Difference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adadad" w:val="clear"/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63">
            <w:pPr>
              <w:spacing w:line="240" w:lineRule="auto"/>
              <w:ind w:left="9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z-statistic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adadad" w:val="clear"/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64">
            <w:pPr>
              <w:spacing w:line="240" w:lineRule="auto"/>
              <w:ind w:left="9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Unadjusted</w:t>
            </w:r>
          </w:p>
          <w:p w:rsidR="00000000" w:rsidDel="00000000" w:rsidP="00000000" w:rsidRDefault="00000000" w:rsidRPr="00000000" w14:paraId="00000065">
            <w:pPr>
              <w:spacing w:line="240" w:lineRule="auto"/>
              <w:ind w:left="90" w:firstLine="0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value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adadad" w:val="clear"/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66">
            <w:pPr>
              <w:spacing w:line="240" w:lineRule="auto"/>
              <w:ind w:left="9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Bonferonni-adjusted</w:t>
            </w:r>
          </w:p>
          <w:p w:rsidR="00000000" w:rsidDel="00000000" w:rsidP="00000000" w:rsidRDefault="00000000" w:rsidRPr="00000000" w14:paraId="00000067">
            <w:pPr>
              <w:spacing w:line="240" w:lineRule="auto"/>
              <w:ind w:left="90" w:firstLine="0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value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000000" w:space="0" w:sz="12" w:val="single"/>
              <w:left w:color="ffffff" w:space="0" w:sz="8" w:val="single"/>
              <w:bottom w:color="ffffff" w:space="0" w:sz="12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68">
            <w:pP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Gender</w:t>
            </w:r>
          </w:p>
        </w:tc>
        <w:tc>
          <w:tcPr>
            <w:tcBorders>
              <w:top w:color="000000" w:space="0" w:sz="12" w:val="single"/>
              <w:left w:color="ffffff" w:space="0" w:sz="8" w:val="single"/>
              <w:bottom w:color="ffffff" w:space="0" w:sz="12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6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ffffff" w:space="0" w:sz="8" w:val="single"/>
              <w:bottom w:color="ffffff" w:space="0" w:sz="12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6A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ffffff" w:space="0" w:sz="8" w:val="single"/>
              <w:bottom w:color="ffffff" w:space="0" w:sz="12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6B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ffffff" w:space="0" w:sz="8" w:val="single"/>
              <w:bottom w:color="ffffff" w:space="0" w:sz="12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6C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ffffff" w:space="0" w:sz="8" w:val="single"/>
              <w:bottom w:color="ffffff" w:space="0" w:sz="12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6D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ffffff" w:space="0" w:sz="8" w:val="single"/>
              <w:bottom w:color="ffffff" w:space="0" w:sz="12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6E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6F">
            <w:pPr>
              <w:spacing w:line="240" w:lineRule="auto"/>
              <w:ind w:left="27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Woman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70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45.4%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71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51.9%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72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- 6.5%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73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- 1.22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74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.223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75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.446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76">
            <w:pPr>
              <w:spacing w:line="240" w:lineRule="auto"/>
              <w:ind w:left="27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Man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77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53.6%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78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48.1%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79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+ 5.5%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7A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1.22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7B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.223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7C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.446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7D">
            <w:pP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Age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7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7F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80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81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82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83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84">
            <w:pPr>
              <w:spacing w:line="240" w:lineRule="auto"/>
              <w:ind w:left="27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 years or younger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85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10.6%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86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10.2%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87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+ .4%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88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.16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89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.876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8A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1.000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8B">
            <w:pPr>
              <w:spacing w:line="240" w:lineRule="auto"/>
              <w:ind w:left="276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 – 45 years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8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44%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8D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33.3%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8E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+ 10.7%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8F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2.47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90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.014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91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.054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92">
            <w:pPr>
              <w:spacing w:line="240" w:lineRule="auto"/>
              <w:ind w:left="27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46 – 55 years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93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35.5%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94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37.2%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95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- 1.8%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96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- .41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97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.685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98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1.000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99">
            <w:pPr>
              <w:spacing w:line="240" w:lineRule="auto"/>
              <w:ind w:left="27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56 years or older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9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9.9%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9B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19.3%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9C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- 9.3%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9D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- 2.68 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9E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.008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9F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.03 *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A0">
            <w:pP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Role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A1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A2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A3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A4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A5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A6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A7">
            <w:pPr>
              <w:spacing w:line="240" w:lineRule="auto"/>
              <w:ind w:left="276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GP Partner or Principal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A8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53.9%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A9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40.6%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AA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+ 13.3%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AB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2.96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AC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.003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AD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.012 *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AE">
            <w:pPr>
              <w:spacing w:line="240" w:lineRule="auto"/>
              <w:ind w:left="27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Salaried GPs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A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36.9%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B0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38.5%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B1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- 1.6%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B2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- .37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B3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.711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B4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B5">
            <w:pPr>
              <w:spacing w:line="240" w:lineRule="auto"/>
              <w:ind w:left="258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Locum GPs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B6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5 %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B7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17%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B8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- 12%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B9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- 3.67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BA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&lt; .001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BB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= .001 **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BC">
            <w:pPr>
              <w:spacing w:line="240" w:lineRule="auto"/>
              <w:ind w:left="258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GP Registrar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B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4.3%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BE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3.9%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BF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+ .3%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C0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0.18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C1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.861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C2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C3">
            <w:pP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GP practice size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C4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C5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C6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C7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C8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C9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CA">
            <w:pPr>
              <w:spacing w:line="240" w:lineRule="auto"/>
              <w:ind w:left="264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Up to 5,000 patients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C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4.3%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CC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12.2%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CD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- 7.9%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CE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- 2.78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CF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.005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D0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.027 *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D1">
            <w:pPr>
              <w:spacing w:line="240" w:lineRule="auto"/>
              <w:ind w:left="264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5,001 – 7,500 patients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D2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13.4%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D3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15.2%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D4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- 1.7%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D5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- .53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D6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.595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D7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D8">
            <w:pPr>
              <w:spacing w:line="240" w:lineRule="auto"/>
              <w:ind w:left="264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7,501 – 10,000 patients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D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19.9%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DA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20.3%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DB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- .4%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DC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- .12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DD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.903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DE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DF">
            <w:pPr>
              <w:spacing w:line="240" w:lineRule="auto"/>
              <w:ind w:left="264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10,001 – 12,500 patients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E0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17%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E1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17.2%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E2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- .2%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E3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- .04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E4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.966</w:t>
            </w:r>
          </w:p>
        </w:tc>
        <w:tc>
          <w:tcPr>
            <w:tcBorders>
              <w:top w:color="ffffff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E5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1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E6">
            <w:pPr>
              <w:spacing w:line="240" w:lineRule="auto"/>
              <w:ind w:left="264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12,501 patients or more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1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E7">
            <w:pPr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45.4%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1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E8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35.1%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1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E9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+ 10.2%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1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EA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2.34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1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EB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.019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1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EC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.096</w:t>
            </w:r>
          </w:p>
        </w:tc>
      </w:tr>
    </w:tbl>
    <w:p w:rsidR="00000000" w:rsidDel="00000000" w:rsidP="00000000" w:rsidRDefault="00000000" w:rsidRPr="00000000" w14:paraId="000000ED">
      <w:pPr>
        <w:spacing w:after="160" w:line="240" w:lineRule="auto"/>
        <w:rPr/>
      </w:pPr>
      <w:r w:rsidDel="00000000" w:rsidR="00000000" w:rsidRPr="00000000">
        <w:rPr>
          <w:i w:val="1"/>
          <w:sz w:val="18"/>
          <w:szCs w:val="18"/>
          <w:rtl w:val="0"/>
        </w:rPr>
        <w:t xml:space="preserve">Note</w:t>
      </w:r>
      <w:r w:rsidDel="00000000" w:rsidR="00000000" w:rsidRPr="00000000">
        <w:rPr>
          <w:sz w:val="18"/>
          <w:szCs w:val="18"/>
          <w:rtl w:val="0"/>
        </w:rPr>
        <w:t xml:space="preserve">: Gender analysis excluded </w:t>
      </w:r>
      <w:r w:rsidDel="00000000" w:rsidR="00000000" w:rsidRPr="00000000">
        <w:rPr>
          <w:i w:val="1"/>
          <w:sz w:val="18"/>
          <w:szCs w:val="18"/>
          <w:rtl w:val="0"/>
        </w:rPr>
        <w:t xml:space="preserve">‘Other’</w:t>
      </w:r>
      <w:r w:rsidDel="00000000" w:rsidR="00000000" w:rsidRPr="00000000">
        <w:rPr>
          <w:sz w:val="18"/>
          <w:szCs w:val="18"/>
          <w:rtl w:val="0"/>
        </w:rPr>
        <w:t xml:space="preserve"> (</w:t>
      </w:r>
      <w:r w:rsidDel="00000000" w:rsidR="00000000" w:rsidRPr="00000000">
        <w:rPr>
          <w:i w:val="1"/>
          <w:sz w:val="18"/>
          <w:szCs w:val="18"/>
          <w:rtl w:val="0"/>
        </w:rPr>
        <w:t xml:space="preserve">n</w:t>
      </w:r>
      <w:r w:rsidDel="00000000" w:rsidR="00000000" w:rsidRPr="00000000">
        <w:rPr>
          <w:sz w:val="18"/>
          <w:szCs w:val="18"/>
          <w:rtl w:val="0"/>
        </w:rPr>
        <w:t xml:space="preserve"> = 1) and </w:t>
      </w:r>
      <w:r w:rsidDel="00000000" w:rsidR="00000000" w:rsidRPr="00000000">
        <w:rPr>
          <w:i w:val="1"/>
          <w:sz w:val="18"/>
          <w:szCs w:val="18"/>
          <w:rtl w:val="0"/>
        </w:rPr>
        <w:t xml:space="preserve">‘Prefer not to answer’</w:t>
      </w:r>
      <w:r w:rsidDel="00000000" w:rsidR="00000000" w:rsidRPr="00000000">
        <w:rPr>
          <w:sz w:val="18"/>
          <w:szCs w:val="18"/>
          <w:rtl w:val="0"/>
        </w:rPr>
        <w:t xml:space="preserve"> (</w:t>
      </w:r>
      <w:r w:rsidDel="00000000" w:rsidR="00000000" w:rsidRPr="00000000">
        <w:rPr>
          <w:i w:val="1"/>
          <w:sz w:val="18"/>
          <w:szCs w:val="18"/>
          <w:rtl w:val="0"/>
        </w:rPr>
        <w:t xml:space="preserve">n</w:t>
      </w:r>
      <w:r w:rsidDel="00000000" w:rsidR="00000000" w:rsidRPr="00000000">
        <w:rPr>
          <w:sz w:val="18"/>
          <w:szCs w:val="18"/>
          <w:rtl w:val="0"/>
        </w:rPr>
        <w:t xml:space="preserve"> = 18) responses, resulting in 138 users and 846 non-users.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spacing w:after="16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spacing w:after="16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spacing w:after="160" w:line="240" w:lineRule="auto"/>
        <w:rPr/>
      </w:pPr>
      <w:r w:rsidDel="00000000" w:rsidR="00000000" w:rsidRPr="00000000">
        <w:rPr>
          <w:b w:val="1"/>
          <w:rtl w:val="0"/>
        </w:rPr>
        <w:t xml:space="preserve">Table 3.</w:t>
      </w:r>
      <w:r w:rsidDel="00000000" w:rsidR="00000000" w:rsidRPr="00000000">
        <w:rPr>
          <w:rtl w:val="0"/>
        </w:rPr>
        <w:t xml:space="preserve"> Percentage of patients who decline consent for the use of AI scribes.</w:t>
      </w:r>
    </w:p>
    <w:tbl>
      <w:tblPr>
        <w:tblStyle w:val="Table3"/>
        <w:tblW w:w="9018.0" w:type="dxa"/>
        <w:jc w:val="left"/>
        <w:tblLayout w:type="fixed"/>
        <w:tblLook w:val="0400"/>
      </w:tblPr>
      <w:tblGrid>
        <w:gridCol w:w="7470"/>
        <w:gridCol w:w="1547.999999999999"/>
        <w:tblGridChange w:id="0">
          <w:tblGrid>
            <w:gridCol w:w="7470"/>
            <w:gridCol w:w="1547.999999999999"/>
          </w:tblGrid>
        </w:tblGridChange>
      </w:tblGrid>
      <w:tr>
        <w:trPr>
          <w:cantSplit w:val="0"/>
          <w:trHeight w:val="234" w:hRule="atLeast"/>
          <w:tblHeader w:val="0"/>
        </w:trPr>
        <w:tc>
          <w:tcPr>
            <w:tcBorders>
              <w:top w:color="000000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adadad" w:val="clear"/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F1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 </w:t>
            </w:r>
          </w:p>
        </w:tc>
        <w:tc>
          <w:tcPr>
            <w:tcBorders>
              <w:top w:color="000000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adadad" w:val="clear"/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F2">
            <w:pPr>
              <w:spacing w:line="240" w:lineRule="auto"/>
              <w:ind w:left="9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Users</w:t>
            </w:r>
          </w:p>
          <w:p w:rsidR="00000000" w:rsidDel="00000000" w:rsidP="00000000" w:rsidRDefault="00000000" w:rsidRPr="00000000" w14:paraId="000000F3">
            <w:pPr>
              <w:spacing w:lin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rtl w:val="0"/>
              </w:rPr>
              <w:t xml:space="preserve">n</w:t>
            </w:r>
            <w:r w:rsidDel="00000000" w:rsidR="00000000" w:rsidRPr="00000000">
              <w:rPr>
                <w:rtl w:val="0"/>
              </w:rPr>
              <w:t xml:space="preserve"> = 141) 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000000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F4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0%</w:t>
            </w:r>
          </w:p>
        </w:tc>
        <w:tc>
          <w:tcPr>
            <w:tcBorders>
              <w:top w:color="000000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F5">
            <w:pPr>
              <w:spacing w:line="240" w:lineRule="auto"/>
              <w:ind w:firstLine="90"/>
              <w:rPr/>
            </w:pPr>
            <w:r w:rsidDel="00000000" w:rsidR="00000000" w:rsidRPr="00000000">
              <w:rPr>
                <w:rtl w:val="0"/>
              </w:rPr>
              <w:t xml:space="preserve">52 (58.4%)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F6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 — 10%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F7">
            <w:pPr>
              <w:spacing w:line="240" w:lineRule="auto"/>
              <w:ind w:firstLine="90"/>
              <w:rPr/>
            </w:pPr>
            <w:r w:rsidDel="00000000" w:rsidR="00000000" w:rsidRPr="00000000">
              <w:rPr>
                <w:rtl w:val="0"/>
              </w:rPr>
              <w:t xml:space="preserve">27 (30.3%)</w:t>
            </w:r>
          </w:p>
        </w:tc>
      </w:tr>
      <w:tr>
        <w:trPr>
          <w:cantSplit w:val="0"/>
          <w:trHeight w:val="293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F8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11 — 20%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F9">
            <w:pPr>
              <w:spacing w:line="240" w:lineRule="auto"/>
              <w:ind w:firstLine="90"/>
              <w:rPr/>
            </w:pPr>
            <w:r w:rsidDel="00000000" w:rsidR="00000000" w:rsidRPr="00000000">
              <w:rPr>
                <w:rtl w:val="0"/>
              </w:rPr>
              <w:t xml:space="preserve">3 (3.4%)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F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21 — 30%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FB">
            <w:pPr>
              <w:spacing w:line="240" w:lineRule="auto"/>
              <w:ind w:firstLine="90"/>
              <w:rPr/>
            </w:pPr>
            <w:r w:rsidDel="00000000" w:rsidR="00000000" w:rsidRPr="00000000">
              <w:rPr>
                <w:rtl w:val="0"/>
              </w:rPr>
              <w:t xml:space="preserve">1 (1.1%)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1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FC">
            <w:pPr>
              <w:spacing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31% or more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18" w:val="single"/>
              <w:right w:color="ffffff" w:space="0" w:sz="8" w:val="single"/>
            </w:tcBorders>
            <w:tcMar>
              <w:top w:w="14.0" w:type="dxa"/>
              <w:left w:w="14.0" w:type="dxa"/>
              <w:bottom w:w="14.0" w:type="dxa"/>
              <w:right w:w="14.0" w:type="dxa"/>
            </w:tcMar>
          </w:tcPr>
          <w:p w:rsidR="00000000" w:rsidDel="00000000" w:rsidP="00000000" w:rsidRDefault="00000000" w:rsidRPr="00000000" w14:paraId="000000FD">
            <w:pPr>
              <w:spacing w:line="240" w:lineRule="auto"/>
              <w:ind w:firstLine="90"/>
              <w:rPr/>
            </w:pPr>
            <w:r w:rsidDel="00000000" w:rsidR="00000000" w:rsidRPr="00000000">
              <w:rPr>
                <w:rtl w:val="0"/>
              </w:rPr>
              <w:t xml:space="preserve">6 (6.7%)</w:t>
            </w:r>
          </w:p>
        </w:tc>
      </w:tr>
    </w:tbl>
    <w:p w:rsidR="00000000" w:rsidDel="00000000" w:rsidP="00000000" w:rsidRDefault="00000000" w:rsidRPr="00000000" w14:paraId="000000FE">
      <w:pPr>
        <w:spacing w:after="160" w:line="240" w:lineRule="auto"/>
        <w:ind w:left="0" w:right="-90" w:firstLine="0"/>
        <w:rPr>
          <w:b w:val="1"/>
        </w:rPr>
      </w:pPr>
      <w:r w:rsidDel="00000000" w:rsidR="00000000" w:rsidRPr="00000000">
        <w:rPr>
          <w:i w:val="1"/>
          <w:sz w:val="18"/>
          <w:szCs w:val="18"/>
          <w:rtl w:val="0"/>
        </w:rPr>
        <w:t xml:space="preserve">Note:</w:t>
      </w:r>
      <w:r w:rsidDel="00000000" w:rsidR="00000000" w:rsidRPr="00000000">
        <w:rPr>
          <w:sz w:val="18"/>
          <w:szCs w:val="18"/>
          <w:rtl w:val="0"/>
        </w:rPr>
        <w:t xml:space="preserve"> Scribes that were listed but received no votes: Augnito Spectra, Dragon Ambient eXperience (DAX), Heparin Write, HepianScribe, Lyrebird Health, Tali.AI.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spacing w:after="160" w:line="24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