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5FDF" w14:textId="77777777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t>Supplementary File 1. Assessment Instruments Used in the Study</w:t>
      </w:r>
    </w:p>
    <w:p w14:paraId="0045AA2F" w14:textId="77777777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t>General Note</w:t>
      </w:r>
    </w:p>
    <w:p w14:paraId="0B9E7B15" w14:textId="77777777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>To ensure comparability across different competency assessments, all raw scores from the following instruments were standardized to a 100-point scale before statistical analysis. The original scoring criteria and item structure are presented below for reference.</w:t>
      </w:r>
    </w:p>
    <w:p w14:paraId="7BF62FDE" w14:textId="77777777" w:rsidR="00132E93" w:rsidRPr="00132E93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81532" w14:textId="6F6560BB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2701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EE48D5">
        <w:rPr>
          <w:rFonts w:ascii="Times New Roman" w:hAnsi="Times New Roman" w:cs="Times New Roman"/>
          <w:b/>
          <w:bCs/>
          <w:sz w:val="24"/>
          <w:szCs w:val="24"/>
        </w:rPr>
        <w:t xml:space="preserve"> Scientific Writing Rubric</w:t>
      </w:r>
    </w:p>
    <w:p w14:paraId="3C3A55D5" w14:textId="77777777" w:rsidR="00132E93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t>Purpose:</w:t>
      </w:r>
    </w:p>
    <w:p w14:paraId="57520571" w14:textId="3CB06D14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>The</w:t>
      </w:r>
      <w:r w:rsidRPr="00F444DE">
        <w:rPr>
          <w:rFonts w:ascii="Times New Roman" w:hAnsi="Times New Roman" w:cs="Times New Roman"/>
          <w:sz w:val="24"/>
          <w:szCs w:val="24"/>
        </w:rPr>
        <w:t xml:space="preserve"> </w:t>
      </w:r>
      <w:r w:rsidR="00F444DE" w:rsidRPr="00F444DE">
        <w:rPr>
          <w:rFonts w:ascii="Times New Roman" w:hAnsi="Times New Roman" w:cs="Times New Roman"/>
          <w:sz w:val="24"/>
          <w:szCs w:val="24"/>
        </w:rPr>
        <w:t>Scientific Writing Rubric</w:t>
      </w:r>
      <w:r w:rsidRPr="00F444DE">
        <w:rPr>
          <w:rFonts w:ascii="Times New Roman" w:hAnsi="Times New Roman" w:cs="Times New Roman"/>
          <w:sz w:val="24"/>
          <w:szCs w:val="24"/>
        </w:rPr>
        <w:t xml:space="preserve"> </w:t>
      </w:r>
      <w:r w:rsidRPr="00EE48D5">
        <w:rPr>
          <w:rFonts w:ascii="Times New Roman" w:hAnsi="Times New Roman" w:cs="Times New Roman"/>
          <w:sz w:val="24"/>
          <w:szCs w:val="24"/>
        </w:rPr>
        <w:t>was designed internally by the teaching committee to evaluate the quality of written scientific outputs, including research proposals, reports, and manuscripts in the field of reproductive medicine.</w:t>
      </w:r>
    </w:p>
    <w:p w14:paraId="2B36E929" w14:textId="77777777" w:rsidR="00132E93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t>Structure:</w:t>
      </w:r>
    </w:p>
    <w:p w14:paraId="2239E3BE" w14:textId="2B06E78F" w:rsidR="0052701B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>The rubric includes</w:t>
      </w:r>
      <w:r w:rsidRPr="00FD74FF">
        <w:rPr>
          <w:rFonts w:ascii="Times New Roman" w:hAnsi="Times New Roman" w:cs="Times New Roman"/>
          <w:sz w:val="24"/>
          <w:szCs w:val="24"/>
        </w:rPr>
        <w:t xml:space="preserve"> four domains</w:t>
      </w:r>
      <w:r w:rsidR="0052701B" w:rsidRPr="00FD74FF">
        <w:rPr>
          <w:rFonts w:ascii="Times New Roman" w:hAnsi="Times New Roman" w:cs="Times New Roman" w:hint="eastAsia"/>
          <w:sz w:val="24"/>
          <w:szCs w:val="24"/>
        </w:rPr>
        <w:t>. E</w:t>
      </w:r>
      <w:r w:rsidRPr="00FD74FF">
        <w:rPr>
          <w:rFonts w:ascii="Times New Roman" w:hAnsi="Times New Roman" w:cs="Times New Roman"/>
          <w:sz w:val="24"/>
          <w:szCs w:val="24"/>
        </w:rPr>
        <w:t xml:space="preserve">ach </w:t>
      </w:r>
      <w:r w:rsidR="0052701B" w:rsidRPr="00FD74FF">
        <w:rPr>
          <w:rFonts w:ascii="Times New Roman" w:hAnsi="Times New Roman" w:cs="Times New Roman" w:hint="eastAsia"/>
          <w:sz w:val="24"/>
          <w:szCs w:val="24"/>
        </w:rPr>
        <w:t xml:space="preserve">domain is </w:t>
      </w:r>
      <w:r w:rsidRPr="00FD74FF">
        <w:rPr>
          <w:rFonts w:ascii="Times New Roman" w:hAnsi="Times New Roman" w:cs="Times New Roman"/>
          <w:sz w:val="24"/>
          <w:szCs w:val="24"/>
        </w:rPr>
        <w:t>rated on a 5-level scale (1–5).</w:t>
      </w:r>
    </w:p>
    <w:p w14:paraId="00A79792" w14:textId="469A22E7" w:rsidR="00132E93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>Raw total = 20 points, later converted to a 100-point scale.</w:t>
      </w:r>
    </w:p>
    <w:p w14:paraId="07A85C87" w14:textId="77777777" w:rsidR="0052701B" w:rsidRDefault="0052701B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3606BD" w14:textId="32AD2C32" w:rsidR="0052701B" w:rsidRPr="00EE48D5" w:rsidRDefault="0052701B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463C">
        <w:rPr>
          <w:rFonts w:ascii="Times New Roman" w:hAnsi="Times New Roman" w:cs="Times New Roman"/>
          <w:sz w:val="24"/>
          <w:szCs w:val="28"/>
        </w:rPr>
        <w:t>For interpretative consistency, total scores greater than 16 were defined as “well-organized and concise,” scores between 12 and 16 were considered adequate, and scores below 12 were categorized as needing improvement.</w:t>
      </w:r>
    </w:p>
    <w:p w14:paraId="10D7BDF5" w14:textId="77777777" w:rsidR="0052701B" w:rsidRDefault="0052701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6E7583" w14:textId="21E2B21D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lastRenderedPageBreak/>
        <w:t>Domains and Criteria: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4323"/>
        <w:gridCol w:w="1998"/>
      </w:tblGrid>
      <w:tr w:rsidR="00132E93" w:rsidRPr="00EE48D5" w14:paraId="2E3417B8" w14:textId="77777777" w:rsidTr="00FD74FF">
        <w:trPr>
          <w:tblHeader/>
          <w:tblCellSpacing w:w="15" w:type="dxa"/>
        </w:trPr>
        <w:tc>
          <w:tcPr>
            <w:tcW w:w="19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9EE249" w14:textId="77777777" w:rsidR="00132E93" w:rsidRPr="00EE48D5" w:rsidRDefault="00132E93" w:rsidP="00100A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42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5BB23B" w14:textId="77777777" w:rsidR="00132E93" w:rsidRPr="00EE48D5" w:rsidRDefault="00132E93" w:rsidP="00100A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D1659D" w14:textId="77777777" w:rsidR="00132E93" w:rsidRPr="00EE48D5" w:rsidRDefault="00132E93" w:rsidP="00100A0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Evaluation Focus</w:t>
            </w:r>
          </w:p>
        </w:tc>
      </w:tr>
      <w:tr w:rsidR="00132E93" w:rsidRPr="00EE48D5" w14:paraId="7D09A55A" w14:textId="77777777" w:rsidTr="00FD74FF">
        <w:trPr>
          <w:tblCellSpacing w:w="15" w:type="dxa"/>
        </w:trPr>
        <w:tc>
          <w:tcPr>
            <w:tcW w:w="1940" w:type="dxa"/>
            <w:hideMark/>
          </w:tcPr>
          <w:p w14:paraId="1F7EC5F6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 and Organization</w:t>
            </w:r>
          </w:p>
        </w:tc>
        <w:tc>
          <w:tcPr>
            <w:tcW w:w="4293" w:type="dxa"/>
            <w:hideMark/>
          </w:tcPr>
          <w:p w14:paraId="5D7D3938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Logical flow of sections (Introduction–Methods–Results–Discussion), clarity of aims.</w:t>
            </w:r>
          </w:p>
        </w:tc>
        <w:tc>
          <w:tcPr>
            <w:tcW w:w="0" w:type="auto"/>
            <w:hideMark/>
          </w:tcPr>
          <w:p w14:paraId="280904CB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Manuscript coherence</w:t>
            </w:r>
          </w:p>
        </w:tc>
      </w:tr>
      <w:tr w:rsidR="00132E93" w:rsidRPr="00EE48D5" w14:paraId="2F0FE667" w14:textId="77777777" w:rsidTr="00FD74FF">
        <w:trPr>
          <w:tblCellSpacing w:w="15" w:type="dxa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196414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Argument Clarity and Scientific Reasoning</w:t>
            </w:r>
          </w:p>
        </w:tc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21532B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Ability to justify research rationale and interpret data critically.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8074DB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Analytical depth</w:t>
            </w:r>
          </w:p>
        </w:tc>
      </w:tr>
      <w:tr w:rsidR="00132E93" w:rsidRPr="00EE48D5" w14:paraId="0B50F155" w14:textId="77777777" w:rsidTr="00FD74FF">
        <w:trPr>
          <w:tblCellSpacing w:w="15" w:type="dxa"/>
        </w:trPr>
        <w:tc>
          <w:tcPr>
            <w:tcW w:w="1940" w:type="dxa"/>
            <w:tcBorders>
              <w:bottom w:val="single" w:sz="4" w:space="0" w:color="auto"/>
            </w:tcBorders>
            <w:hideMark/>
          </w:tcPr>
          <w:p w14:paraId="1006C607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Evidence Integration</w:t>
            </w:r>
          </w:p>
        </w:tc>
        <w:tc>
          <w:tcPr>
            <w:tcW w:w="4293" w:type="dxa"/>
            <w:tcBorders>
              <w:bottom w:val="single" w:sz="4" w:space="0" w:color="auto"/>
            </w:tcBorders>
            <w:hideMark/>
          </w:tcPr>
          <w:p w14:paraId="6EE7AE64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Use of reproductive medicine literature, integration of basic and clinical evidence.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91A26D7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Scholarly synthesis</w:t>
            </w:r>
          </w:p>
        </w:tc>
      </w:tr>
      <w:tr w:rsidR="00132E93" w:rsidRPr="00EE48D5" w14:paraId="1078AEE1" w14:textId="77777777" w:rsidTr="00FD74FF">
        <w:trPr>
          <w:tblCellSpacing w:w="15" w:type="dxa"/>
        </w:trPr>
        <w:tc>
          <w:tcPr>
            <w:tcW w:w="1940" w:type="dxa"/>
            <w:tcBorders>
              <w:bottom w:val="single" w:sz="12" w:space="0" w:color="auto"/>
            </w:tcBorders>
            <w:hideMark/>
          </w:tcPr>
          <w:p w14:paraId="3B46FA95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Visual and Linguistic Presentation</w:t>
            </w:r>
          </w:p>
        </w:tc>
        <w:tc>
          <w:tcPr>
            <w:tcW w:w="4293" w:type="dxa"/>
            <w:tcBorders>
              <w:bottom w:val="single" w:sz="12" w:space="0" w:color="auto"/>
            </w:tcBorders>
            <w:hideMark/>
          </w:tcPr>
          <w:p w14:paraId="2D080284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Quality of figures, tables, and English academic writing.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27555A5F" w14:textId="77777777" w:rsidR="00132E93" w:rsidRPr="00EE48D5" w:rsidRDefault="00132E93" w:rsidP="00FD74FF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5">
              <w:rPr>
                <w:rFonts w:ascii="Times New Roman" w:hAnsi="Times New Roman" w:cs="Times New Roman"/>
                <w:sz w:val="24"/>
                <w:szCs w:val="24"/>
              </w:rPr>
              <w:t>Professional communication</w:t>
            </w:r>
          </w:p>
        </w:tc>
      </w:tr>
    </w:tbl>
    <w:p w14:paraId="04F71CD9" w14:textId="77777777" w:rsidR="00FD74FF" w:rsidRDefault="00FD74FF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B8E0F" w14:textId="37F67519" w:rsidR="00132E93" w:rsidRDefault="00132E93" w:rsidP="00132E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8D5">
        <w:rPr>
          <w:rFonts w:ascii="Times New Roman" w:hAnsi="Times New Roman" w:cs="Times New Roman"/>
          <w:b/>
          <w:bCs/>
          <w:sz w:val="24"/>
          <w:szCs w:val="24"/>
        </w:rPr>
        <w:t>Scoring Example:</w:t>
      </w:r>
    </w:p>
    <w:p w14:paraId="0C308B56" w14:textId="77777777" w:rsidR="00132E93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>Raw total = 4 domains × 5 = 20 points.</w:t>
      </w:r>
    </w:p>
    <w:p w14:paraId="00D9A258" w14:textId="258CD0EB" w:rsidR="00132E93" w:rsidRPr="00EE48D5" w:rsidRDefault="00132E93" w:rsidP="00132E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48D5">
        <w:rPr>
          <w:rFonts w:ascii="Times New Roman" w:hAnsi="Times New Roman" w:cs="Times New Roman"/>
          <w:sz w:val="24"/>
          <w:szCs w:val="24"/>
        </w:rPr>
        <w:t xml:space="preserve">Standardized </w:t>
      </w:r>
      <w:r w:rsidR="003A7CA6" w:rsidRPr="00F444DE">
        <w:rPr>
          <w:rFonts w:ascii="Times New Roman" w:hAnsi="Times New Roman" w:cs="Times New Roman"/>
          <w:sz w:val="24"/>
          <w:szCs w:val="24"/>
        </w:rPr>
        <w:t>Scientific Writing Rubric</w:t>
      </w:r>
      <w:r w:rsidRPr="00EE48D5">
        <w:rPr>
          <w:rFonts w:ascii="Times New Roman" w:hAnsi="Times New Roman" w:cs="Times New Roman"/>
          <w:sz w:val="24"/>
          <w:szCs w:val="24"/>
        </w:rPr>
        <w:t xml:space="preserve"> score = (raw score ÷ 20) × 100.</w:t>
      </w:r>
    </w:p>
    <w:p w14:paraId="29AFD374" w14:textId="77777777" w:rsidR="00EB73F4" w:rsidRPr="0052701B" w:rsidRDefault="00EB73F4">
      <w:pPr>
        <w:rPr>
          <w:rFonts w:hint="eastAsia"/>
        </w:rPr>
      </w:pPr>
    </w:p>
    <w:sectPr w:rsidR="00EB73F4" w:rsidRPr="00527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F731" w14:textId="77777777" w:rsidR="00F4422D" w:rsidRDefault="00F4422D" w:rsidP="00132E93">
      <w:pPr>
        <w:rPr>
          <w:rFonts w:hint="eastAsia"/>
        </w:rPr>
      </w:pPr>
      <w:r>
        <w:separator/>
      </w:r>
    </w:p>
  </w:endnote>
  <w:endnote w:type="continuationSeparator" w:id="0">
    <w:p w14:paraId="1AA92141" w14:textId="77777777" w:rsidR="00F4422D" w:rsidRDefault="00F4422D" w:rsidP="00132E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D0F5" w14:textId="77777777" w:rsidR="00F4422D" w:rsidRDefault="00F4422D" w:rsidP="00132E93">
      <w:pPr>
        <w:rPr>
          <w:rFonts w:hint="eastAsia"/>
        </w:rPr>
      </w:pPr>
      <w:r>
        <w:separator/>
      </w:r>
    </w:p>
  </w:footnote>
  <w:footnote w:type="continuationSeparator" w:id="0">
    <w:p w14:paraId="235C92E0" w14:textId="77777777" w:rsidR="00F4422D" w:rsidRDefault="00F4422D" w:rsidP="00132E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98"/>
    <w:rsid w:val="00010F04"/>
    <w:rsid w:val="00132E93"/>
    <w:rsid w:val="003A7CA6"/>
    <w:rsid w:val="004F6498"/>
    <w:rsid w:val="0052701B"/>
    <w:rsid w:val="00557102"/>
    <w:rsid w:val="006A2343"/>
    <w:rsid w:val="006E658B"/>
    <w:rsid w:val="00773A96"/>
    <w:rsid w:val="007F5EF6"/>
    <w:rsid w:val="00853446"/>
    <w:rsid w:val="009A46CC"/>
    <w:rsid w:val="00A255C0"/>
    <w:rsid w:val="00A62850"/>
    <w:rsid w:val="00EB73F4"/>
    <w:rsid w:val="00F4422D"/>
    <w:rsid w:val="00F444DE"/>
    <w:rsid w:val="00F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E03AA"/>
  <w15:chartTrackingRefBased/>
  <w15:docId w15:val="{F47C7B15-14A8-40EC-8DD6-A5FA57C3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9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4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4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49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49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49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4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4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4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4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6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6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64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649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64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64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64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64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64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4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64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64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64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4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64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6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64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64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2E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2E9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2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2E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芸川 田</dc:creator>
  <cp:keywords/>
  <dc:description/>
  <cp:lastModifiedBy>芸川 田</cp:lastModifiedBy>
  <cp:revision>20</cp:revision>
  <dcterms:created xsi:type="dcterms:W3CDTF">2025-11-02T02:56:00Z</dcterms:created>
  <dcterms:modified xsi:type="dcterms:W3CDTF">2025-11-03T07:54:00Z</dcterms:modified>
</cp:coreProperties>
</file>