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954F" w14:textId="77777777" w:rsidR="007A46BF" w:rsidRPr="007A46BF" w:rsidRDefault="007A46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6BF">
        <w:rPr>
          <w:rFonts w:ascii="Times New Roman" w:hAnsi="Times New Roman" w:cs="Times New Roman"/>
          <w:b/>
          <w:bCs/>
          <w:sz w:val="24"/>
          <w:szCs w:val="24"/>
        </w:rPr>
        <w:t>More explanation of the figures in the manuscript</w:t>
      </w:r>
    </w:p>
    <w:p w14:paraId="4214B8CE" w14:textId="5525E60E" w:rsidR="003072DD" w:rsidRPr="007A46BF" w:rsidRDefault="007A46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6BF">
        <w:rPr>
          <w:rFonts w:ascii="Times New Roman" w:hAnsi="Times New Roman" w:cs="Times New Roman"/>
          <w:b/>
          <w:bCs/>
          <w:sz w:val="24"/>
          <w:szCs w:val="24"/>
        </w:rPr>
        <w:t>Figure 1 explanation</w:t>
      </w:r>
    </w:p>
    <w:p w14:paraId="4F48BF8D" w14:textId="77777777" w:rsidR="007A46BF" w:rsidRDefault="007A46BF">
      <w:pPr>
        <w:rPr>
          <w:rFonts w:ascii="Times New Roman" w:hAnsi="Times New Roman" w:cs="Times New Roman"/>
          <w:sz w:val="20"/>
          <w:szCs w:val="20"/>
        </w:rPr>
      </w:pPr>
      <w:r w:rsidRPr="004923C0">
        <w:rPr>
          <w:rFonts w:ascii="Times New Roman" w:hAnsi="Times New Roman" w:cs="Times New Roman"/>
          <w:sz w:val="20"/>
          <w:szCs w:val="20"/>
        </w:rPr>
        <w:t xml:space="preserve">Flow diagram showing the systematic selection of patients with </w:t>
      </w:r>
      <w:r>
        <w:rPr>
          <w:rFonts w:ascii="Times New Roman" w:hAnsi="Times New Roman" w:cs="Times New Roman"/>
          <w:sz w:val="20"/>
          <w:szCs w:val="20"/>
        </w:rPr>
        <w:t>severe</w:t>
      </w:r>
      <w:r w:rsidRPr="004923C0">
        <w:rPr>
          <w:rFonts w:ascii="Times New Roman" w:hAnsi="Times New Roman" w:cs="Times New Roman"/>
          <w:sz w:val="20"/>
          <w:szCs w:val="20"/>
        </w:rPr>
        <w:t xml:space="preserve"> infections caused by </w:t>
      </w:r>
      <w:proofErr w:type="spellStart"/>
      <w:r w:rsidRPr="004923C0">
        <w:rPr>
          <w:rFonts w:ascii="Times New Roman" w:hAnsi="Times New Roman" w:cs="Times New Roman"/>
          <w:sz w:val="20"/>
          <w:szCs w:val="20"/>
        </w:rPr>
        <w:t>AmpC</w:t>
      </w:r>
      <w:proofErr w:type="spellEnd"/>
      <w:r w:rsidRPr="004923C0">
        <w:rPr>
          <w:rFonts w:ascii="Times New Roman" w:hAnsi="Times New Roman" w:cs="Times New Roman"/>
          <w:sz w:val="20"/>
          <w:szCs w:val="20"/>
        </w:rPr>
        <w:t xml:space="preserve"> β-lactamase-producing </w:t>
      </w:r>
      <w:r w:rsidRPr="004923C0">
        <w:rPr>
          <w:rFonts w:ascii="Times New Roman" w:hAnsi="Times New Roman" w:cs="Times New Roman"/>
          <w:i/>
          <w:iCs/>
          <w:sz w:val="20"/>
          <w:szCs w:val="20"/>
        </w:rPr>
        <w:t>Enterobacteriaceae</w:t>
      </w:r>
      <w:r w:rsidRPr="004923C0">
        <w:rPr>
          <w:rFonts w:ascii="Times New Roman" w:hAnsi="Times New Roman" w:cs="Times New Roman"/>
          <w:sz w:val="20"/>
          <w:szCs w:val="20"/>
        </w:rPr>
        <w:t xml:space="preserve"> from January 2019 to May 2024 at King Faisal Specialist Hospital &amp; Research </w:t>
      </w:r>
      <w:r>
        <w:rPr>
          <w:rFonts w:ascii="Times New Roman" w:hAnsi="Times New Roman" w:cs="Times New Roman"/>
          <w:sz w:val="20"/>
          <w:szCs w:val="20"/>
        </w:rPr>
        <w:t>Centre</w:t>
      </w:r>
      <w:r w:rsidRPr="004923C0">
        <w:rPr>
          <w:rFonts w:ascii="Times New Roman" w:hAnsi="Times New Roman" w:cs="Times New Roman"/>
          <w:sz w:val="20"/>
          <w:szCs w:val="20"/>
        </w:rPr>
        <w:t xml:space="preserve">, Jeddah. Of 1064 patients initially screened, 939 were excluded. The final cohort (n=125) was divided into carbapenem group (n=68, 54.4%) and non-carbapenem group (n=57, 45.6%). In the carbapenem group, meropenem was the most frequently used agent (85.3%), while cefepime was the most common non-carbapenem agent (66.7%). Some patients in the non-carbapenem group received combination therapy with multiple agents. </w:t>
      </w:r>
    </w:p>
    <w:p w14:paraId="5C0E7880" w14:textId="65281F61" w:rsidR="007A46BF" w:rsidRPr="007A46BF" w:rsidRDefault="007A46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6BF">
        <w:rPr>
          <w:rFonts w:ascii="Times New Roman" w:hAnsi="Times New Roman" w:cs="Times New Roman"/>
          <w:b/>
          <w:bCs/>
          <w:sz w:val="24"/>
          <w:szCs w:val="24"/>
        </w:rPr>
        <w:t>Figure 2 explanation</w:t>
      </w:r>
    </w:p>
    <w:p w14:paraId="2DC0A606" w14:textId="7709CDC4" w:rsidR="007A46BF" w:rsidRDefault="007A46BF">
      <w:pPr>
        <w:rPr>
          <w:rFonts w:ascii="Times New Roman" w:hAnsi="Times New Roman" w:cs="Times New Roman"/>
          <w:sz w:val="20"/>
          <w:szCs w:val="20"/>
        </w:rPr>
      </w:pPr>
      <w:r w:rsidRPr="004923C0">
        <w:rPr>
          <w:rFonts w:ascii="Times New Roman" w:hAnsi="Times New Roman" w:cs="Times New Roman"/>
          <w:sz w:val="20"/>
          <w:szCs w:val="20"/>
        </w:rPr>
        <w:t>Comparison of 30-day and 90-day mortality rates between carbapenem and non-carbapenem therapy groups. Data shows consistently lower mortality rates in the non-carbapenem group at both time points, though differences were not statistically significant (30-day: p=0.708; 90-day: p=0.429).</w:t>
      </w:r>
    </w:p>
    <w:p w14:paraId="6869ADC0" w14:textId="6071BF29" w:rsidR="007A46BF" w:rsidRPr="007A46BF" w:rsidRDefault="007A46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6BF">
        <w:rPr>
          <w:rFonts w:ascii="Times New Roman" w:hAnsi="Times New Roman" w:cs="Times New Roman"/>
          <w:b/>
          <w:bCs/>
          <w:sz w:val="24"/>
          <w:szCs w:val="24"/>
        </w:rPr>
        <w:t>Figure 3 explanation</w:t>
      </w:r>
    </w:p>
    <w:p w14:paraId="780F4FB7" w14:textId="2CEEEACE" w:rsidR="007A46BF" w:rsidRDefault="007A46B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23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Odds ratios (squares) with 95% confidence intervals (horizontal lines) for mortality endpoints comparing non-carbapenem to carbapenem therapy. The vertical dashed line represents no treatment effect (OR = 1.0). Values to the left of the line </w:t>
      </w:r>
      <w:proofErr w:type="spellStart"/>
      <w:r w:rsidRPr="004923C0">
        <w:rPr>
          <w:rFonts w:ascii="Times New Roman" w:hAnsi="Times New Roman" w:cs="Times New Roman"/>
          <w:color w:val="000000" w:themeColor="text1"/>
          <w:sz w:val="20"/>
          <w:szCs w:val="20"/>
        </w:rPr>
        <w:t>favor</w:t>
      </w:r>
      <w:proofErr w:type="spellEnd"/>
      <w:r w:rsidRPr="004923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non-carbapenem therapy. Event numbers show non-carbapenem versus carbapenem group events. </w:t>
      </w:r>
    </w:p>
    <w:p w14:paraId="222250B7" w14:textId="3AFD41B6" w:rsidR="007A46BF" w:rsidRPr="007A46BF" w:rsidRDefault="007A46B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46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4 explanation</w:t>
      </w:r>
    </w:p>
    <w:p w14:paraId="4394B9A1" w14:textId="3BA21C4C" w:rsidR="007A46BF" w:rsidRDefault="007A46BF">
      <w:pPr>
        <w:rPr>
          <w:rFonts w:ascii="Times New Roman" w:hAnsi="Times New Roman" w:cs="Times New Roman"/>
          <w:sz w:val="24"/>
          <w:szCs w:val="24"/>
        </w:rPr>
      </w:pPr>
      <w:r w:rsidRPr="004923C0">
        <w:rPr>
          <w:rFonts w:ascii="Times New Roman" w:hAnsi="Times New Roman" w:cs="Times New Roman"/>
          <w:sz w:val="20"/>
          <w:szCs w:val="20"/>
        </w:rPr>
        <w:t>Bar chart showing 30-day mortality rates stratified by comorbidity burden (≤2 vs ≥3 comorbidities) and treatment group. Among patients with low comorbidity burden (n=45), the non-carbapenem group showed lower mortality (6.7% vs 13.3%, p = 0.593). For patients with high comorbidity burden, mortality rates were similar between groups (18.5% vs 15.1%, p = 0.744). The interaction between comorbidity burden and treatment group was not statistically significant (p = 0.856).</w:t>
      </w:r>
    </w:p>
    <w:p w14:paraId="582E9EEE" w14:textId="77777777" w:rsidR="007A46BF" w:rsidRDefault="007A46B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2A68C4E6" w14:textId="77777777" w:rsidR="00827D1D" w:rsidRPr="00827D1D" w:rsidRDefault="00827D1D" w:rsidP="00827D1D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7D1D">
        <w:rPr>
          <w:rFonts w:ascii="Times New Roman" w:hAnsi="Times New Roman" w:cs="Times New Roman"/>
          <w:b/>
          <w:bCs/>
          <w:sz w:val="20"/>
          <w:szCs w:val="20"/>
        </w:rPr>
        <w:lastRenderedPageBreak/>
        <w:t>Rationale for Endpoint Selection</w:t>
      </w:r>
    </w:p>
    <w:p w14:paraId="36B10B28" w14:textId="24A647CC" w:rsidR="00C765E2" w:rsidRPr="00827D1D" w:rsidRDefault="00827D1D" w:rsidP="00827D1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selection of a 30-day all-cause mortality as the primary endpoint was predicated on multiple considerations. Firstly, mortality </w:t>
      </w:r>
      <w:r w:rsidR="00D70B6D">
        <w:rPr>
          <w:rFonts w:ascii="Times New Roman" w:hAnsi="Times New Roman" w:cs="Times New Roman"/>
          <w:sz w:val="20"/>
          <w:szCs w:val="20"/>
        </w:rPr>
        <w:t>is the most clinically significant and unequivocal outcome for patients with severe infections, directly indicating the effectiveness of treatment in preventing the most adverse events</w:t>
      </w:r>
      <w:r>
        <w:rPr>
          <w:rFonts w:ascii="Times New Roman" w:hAnsi="Times New Roman" w:cs="Times New Roman"/>
          <w:sz w:val="20"/>
          <w:szCs w:val="20"/>
        </w:rPr>
        <w:t xml:space="preserve">. Secondly, all-cause mortality circumvents the attribution bias associated with infection-specific mortality assessments and has been endorsed as the gold-standard endpoint in antimicrobial comparative effectiveness research. Thirdly, the 30-day interval provides a suitable duration for follow-up to encompass infection-related deaths while reducing confounding mortality risks attributable to underlying comorbidities. This timeframe </w:t>
      </w:r>
      <w:r w:rsidRPr="00827D1D">
        <w:rPr>
          <w:rFonts w:ascii="Times New Roman" w:hAnsi="Times New Roman" w:cs="Times New Roman"/>
          <w:sz w:val="20"/>
          <w:szCs w:val="20"/>
        </w:rPr>
        <w:t>corresponds with established standards in infectious disease clinical trials and regulatory guidelines</w:t>
      </w:r>
      <w:r w:rsidR="00D70B6D">
        <w:rPr>
          <w:rFonts w:ascii="Times New Roman" w:hAnsi="Times New Roman" w:cs="Times New Roman"/>
          <w:sz w:val="20"/>
          <w:szCs w:val="20"/>
        </w:rPr>
        <w:t xml:space="preserve"> [1,2]</w:t>
      </w:r>
      <w:r w:rsidRPr="00827D1D">
        <w:rPr>
          <w:rFonts w:ascii="Times New Roman" w:hAnsi="Times New Roman" w:cs="Times New Roman"/>
          <w:sz w:val="20"/>
          <w:szCs w:val="20"/>
        </w:rPr>
        <w:t>.</w:t>
      </w:r>
    </w:p>
    <w:p w14:paraId="18E1E0A7" w14:textId="4051E225" w:rsidR="00C765E2" w:rsidRDefault="00827D1D" w:rsidP="007A46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7D1D">
        <w:rPr>
          <w:rFonts w:ascii="Times New Roman" w:hAnsi="Times New Roman" w:cs="Times New Roman"/>
          <w:sz w:val="20"/>
          <w:szCs w:val="20"/>
        </w:rPr>
        <w:t xml:space="preserve">Secondary endpoints were selected to provide 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827D1D">
        <w:rPr>
          <w:rFonts w:ascii="Times New Roman" w:hAnsi="Times New Roman" w:cs="Times New Roman"/>
          <w:sz w:val="20"/>
          <w:szCs w:val="20"/>
        </w:rPr>
        <w:t>comprehensive assessment of treatment effectiveness across multiple clinically relevant domains. Clinical cure and microbiological eradication assess treatment efficacy from clinical and microbiological perspectives, respectively. The 90-day mortality extends the primary endpoint assessment to capture delayed treatment effects or infection-related complications. Length of stay, treatment escalation, infection recurrence, and adverse drug reactions represent pragmatic outcomes important for antimicrobial stewardship decisions and patient-</w:t>
      </w:r>
      <w:proofErr w:type="spellStart"/>
      <w:r w:rsidRPr="00827D1D">
        <w:rPr>
          <w:rFonts w:ascii="Times New Roman" w:hAnsi="Times New Roman" w:cs="Times New Roman"/>
          <w:sz w:val="20"/>
          <w:szCs w:val="20"/>
        </w:rPr>
        <w:t>centered</w:t>
      </w:r>
      <w:proofErr w:type="spellEnd"/>
      <w:r w:rsidRPr="00827D1D">
        <w:rPr>
          <w:rFonts w:ascii="Times New Roman" w:hAnsi="Times New Roman" w:cs="Times New Roman"/>
          <w:sz w:val="20"/>
          <w:szCs w:val="20"/>
        </w:rPr>
        <w:t xml:space="preserve"> care</w:t>
      </w:r>
      <w:r w:rsidR="00D70B6D">
        <w:rPr>
          <w:rFonts w:ascii="Times New Roman" w:hAnsi="Times New Roman" w:cs="Times New Roman"/>
          <w:sz w:val="20"/>
          <w:szCs w:val="20"/>
        </w:rPr>
        <w:t xml:space="preserve"> [3,4]</w:t>
      </w:r>
      <w:r w:rsidRPr="00827D1D">
        <w:rPr>
          <w:rFonts w:ascii="Times New Roman" w:hAnsi="Times New Roman" w:cs="Times New Roman"/>
          <w:sz w:val="20"/>
          <w:szCs w:val="20"/>
        </w:rPr>
        <w:t>.</w:t>
      </w:r>
    </w:p>
    <w:p w14:paraId="7509FB21" w14:textId="0839161B" w:rsidR="00FA0443" w:rsidRPr="00FA0443" w:rsidRDefault="00FA0443" w:rsidP="007A46B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A0443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431FA336" w14:textId="3FC7F4E0" w:rsidR="00D70B6D" w:rsidRPr="00F22BDF" w:rsidRDefault="00D70B6D" w:rsidP="00F22B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22BDF">
        <w:rPr>
          <w:rFonts w:ascii="Times New Roman" w:hAnsi="Times New Roman" w:cs="Times New Roman"/>
          <w:sz w:val="20"/>
          <w:szCs w:val="20"/>
        </w:rPr>
        <w:t>McLeod C, Norman R, Litton E, Saville BR, Webb S, Snelling TL. Choosing primary endpoints for clinical trials of health care interventions. </w:t>
      </w:r>
      <w:proofErr w:type="spellStart"/>
      <w:r w:rsidRPr="00F22BDF">
        <w:rPr>
          <w:rFonts w:ascii="Times New Roman" w:hAnsi="Times New Roman" w:cs="Times New Roman"/>
          <w:i/>
          <w:iCs/>
          <w:sz w:val="20"/>
          <w:szCs w:val="20"/>
        </w:rPr>
        <w:t>Contemp</w:t>
      </w:r>
      <w:proofErr w:type="spellEnd"/>
      <w:r w:rsidRPr="00F22BDF">
        <w:rPr>
          <w:rFonts w:ascii="Times New Roman" w:hAnsi="Times New Roman" w:cs="Times New Roman"/>
          <w:i/>
          <w:iCs/>
          <w:sz w:val="20"/>
          <w:szCs w:val="20"/>
        </w:rPr>
        <w:t xml:space="preserve"> Clin Trials Commun</w:t>
      </w:r>
      <w:r w:rsidRPr="00F22BDF">
        <w:rPr>
          <w:rFonts w:ascii="Times New Roman" w:hAnsi="Times New Roman" w:cs="Times New Roman"/>
          <w:sz w:val="20"/>
          <w:szCs w:val="20"/>
        </w:rPr>
        <w:t>. 2019;16:100486.</w:t>
      </w:r>
    </w:p>
    <w:p w14:paraId="68B3BA2E" w14:textId="36E27308" w:rsidR="00D70B6D" w:rsidRPr="00F22BDF" w:rsidRDefault="00D70B6D" w:rsidP="00F22B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22BDF">
        <w:rPr>
          <w:rFonts w:ascii="Times New Roman" w:hAnsi="Times New Roman" w:cs="Times New Roman"/>
          <w:sz w:val="20"/>
          <w:szCs w:val="20"/>
        </w:rPr>
        <w:t>Colin B. Begg, Justifying the Choice of Endpoints for Clinical Trials, </w:t>
      </w:r>
      <w:r w:rsidRPr="00F22BDF">
        <w:rPr>
          <w:rFonts w:ascii="Times New Roman" w:hAnsi="Times New Roman" w:cs="Times New Roman"/>
          <w:i/>
          <w:iCs/>
          <w:sz w:val="20"/>
          <w:szCs w:val="20"/>
        </w:rPr>
        <w:t>JNCI: Journal of the National Cancer Institute</w:t>
      </w:r>
      <w:r w:rsidRPr="00F22BDF">
        <w:rPr>
          <w:rFonts w:ascii="Times New Roman" w:hAnsi="Times New Roman" w:cs="Times New Roman"/>
          <w:sz w:val="20"/>
          <w:szCs w:val="20"/>
        </w:rPr>
        <w:t>. 2013;</w:t>
      </w:r>
      <w:r w:rsidRPr="00F22BDF">
        <w:rPr>
          <w:rFonts w:ascii="Times New Roman" w:hAnsi="Times New Roman" w:cs="Times New Roman"/>
          <w:sz w:val="20"/>
          <w:szCs w:val="20"/>
        </w:rPr>
        <w:t>105</w:t>
      </w:r>
      <w:r w:rsidRPr="00F22BDF">
        <w:rPr>
          <w:rFonts w:ascii="Times New Roman" w:hAnsi="Times New Roman" w:cs="Times New Roman"/>
          <w:sz w:val="20"/>
          <w:szCs w:val="20"/>
        </w:rPr>
        <w:t>(21):</w:t>
      </w:r>
      <w:r w:rsidRPr="00F22BDF">
        <w:rPr>
          <w:rFonts w:ascii="Times New Roman" w:hAnsi="Times New Roman" w:cs="Times New Roman"/>
          <w:sz w:val="20"/>
          <w:szCs w:val="20"/>
        </w:rPr>
        <w:t>1594–1595</w:t>
      </w:r>
      <w:r w:rsidRPr="00F22BDF">
        <w:rPr>
          <w:rFonts w:ascii="Times New Roman" w:hAnsi="Times New Roman" w:cs="Times New Roman"/>
          <w:sz w:val="20"/>
          <w:szCs w:val="20"/>
        </w:rPr>
        <w:t>.</w:t>
      </w:r>
    </w:p>
    <w:p w14:paraId="496059AB" w14:textId="4E74D5ED" w:rsidR="00D70B6D" w:rsidRPr="00F22BDF" w:rsidRDefault="00D70B6D" w:rsidP="00F22B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22BDF">
        <w:rPr>
          <w:rFonts w:ascii="Times New Roman" w:hAnsi="Times New Roman" w:cs="Times New Roman"/>
          <w:sz w:val="20"/>
          <w:szCs w:val="20"/>
        </w:rPr>
        <w:t xml:space="preserve">Miller AC, </w:t>
      </w:r>
      <w:proofErr w:type="spellStart"/>
      <w:r w:rsidRPr="00F22BDF">
        <w:rPr>
          <w:rFonts w:ascii="Times New Roman" w:hAnsi="Times New Roman" w:cs="Times New Roman"/>
          <w:sz w:val="20"/>
          <w:szCs w:val="20"/>
        </w:rPr>
        <w:t>Arakkal</w:t>
      </w:r>
      <w:proofErr w:type="spellEnd"/>
      <w:r w:rsidRPr="00F22BDF">
        <w:rPr>
          <w:rFonts w:ascii="Times New Roman" w:hAnsi="Times New Roman" w:cs="Times New Roman"/>
          <w:sz w:val="20"/>
          <w:szCs w:val="20"/>
        </w:rPr>
        <w:t xml:space="preserve"> AT, Sewell DK, et al. Comparison of Different Antibiotics and the Risk for Community-Associated </w:t>
      </w:r>
      <w:proofErr w:type="spellStart"/>
      <w:r w:rsidRPr="00F22BDF">
        <w:rPr>
          <w:rFonts w:ascii="Times New Roman" w:hAnsi="Times New Roman" w:cs="Times New Roman"/>
          <w:i/>
          <w:iCs/>
          <w:sz w:val="20"/>
          <w:szCs w:val="20"/>
        </w:rPr>
        <w:t>Clostridioides</w:t>
      </w:r>
      <w:proofErr w:type="spellEnd"/>
      <w:r w:rsidRPr="00F22BDF">
        <w:rPr>
          <w:rFonts w:ascii="Times New Roman" w:hAnsi="Times New Roman" w:cs="Times New Roman"/>
          <w:i/>
          <w:iCs/>
          <w:sz w:val="20"/>
          <w:szCs w:val="20"/>
        </w:rPr>
        <w:t xml:space="preserve"> difficile</w:t>
      </w:r>
      <w:r w:rsidRPr="00F22BDF">
        <w:rPr>
          <w:rFonts w:ascii="Times New Roman" w:hAnsi="Times New Roman" w:cs="Times New Roman"/>
          <w:sz w:val="20"/>
          <w:szCs w:val="20"/>
        </w:rPr>
        <w:t> Infection: A Case-Control Study. </w:t>
      </w:r>
      <w:r w:rsidRPr="00F22BDF">
        <w:rPr>
          <w:rFonts w:ascii="Times New Roman" w:hAnsi="Times New Roman" w:cs="Times New Roman"/>
          <w:i/>
          <w:iCs/>
          <w:sz w:val="20"/>
          <w:szCs w:val="20"/>
        </w:rPr>
        <w:t>Open Forum Infect Dis</w:t>
      </w:r>
      <w:r w:rsidRPr="00F22BDF">
        <w:rPr>
          <w:rFonts w:ascii="Times New Roman" w:hAnsi="Times New Roman" w:cs="Times New Roman"/>
          <w:sz w:val="20"/>
          <w:szCs w:val="20"/>
        </w:rPr>
        <w:t>. 2023;10(8):ofad413.</w:t>
      </w:r>
    </w:p>
    <w:p w14:paraId="7197F752" w14:textId="5EEA449D" w:rsidR="00AB5F2A" w:rsidRPr="00F22BDF" w:rsidRDefault="003C17DC" w:rsidP="00F22B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22BDF">
        <w:rPr>
          <w:rFonts w:ascii="Times New Roman" w:hAnsi="Times New Roman" w:cs="Times New Roman"/>
          <w:sz w:val="20"/>
          <w:szCs w:val="20"/>
        </w:rPr>
        <w:t xml:space="preserve">FDA. Multiple Endpoints in Clinical Trials. Biostatistics. 2022. Accessed from </w:t>
      </w:r>
      <w:hyperlink r:id="rId5" w:history="1">
        <w:r w:rsidRPr="00F22BDF">
          <w:rPr>
            <w:rStyle w:val="Hyperlink"/>
            <w:rFonts w:ascii="Times New Roman" w:hAnsi="Times New Roman" w:cs="Times New Roman"/>
            <w:sz w:val="20"/>
            <w:szCs w:val="20"/>
          </w:rPr>
          <w:t>https://www.fda.gov/media/162416/download</w:t>
        </w:r>
      </w:hyperlink>
      <w:r w:rsidRPr="00F22B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5716BF" w14:textId="77777777" w:rsidR="00AB5F2A" w:rsidRDefault="00AB5F2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94CE36E" w14:textId="77777777" w:rsidR="00AB5F2A" w:rsidRPr="00AB5F2A" w:rsidRDefault="00AB5F2A" w:rsidP="00AB5F2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B5F2A">
        <w:rPr>
          <w:rFonts w:ascii="Times New Roman" w:hAnsi="Times New Roman" w:cs="Times New Roman"/>
          <w:b/>
          <w:bCs/>
          <w:sz w:val="20"/>
          <w:szCs w:val="20"/>
        </w:rPr>
        <w:lastRenderedPageBreak/>
        <w:t>Rationale for Treatment Group Classification</w:t>
      </w:r>
    </w:p>
    <w:p w14:paraId="0627C78E" w14:textId="6D0EE791" w:rsidR="00AB5F2A" w:rsidRDefault="00AB5F2A" w:rsidP="00AB5F2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classification of antibiotics into carbapenem and non-carbapenem groups, rather than comparing individual agents, was based on several methodological and clinical considerations. First, this grouping approach addresses the primary research question of carbapenem-sparing antimicrobial stewardship: whether alternative agents as a therapeutic class can replace carbapenems for </w:t>
      </w:r>
      <w:proofErr w:type="spellStart"/>
      <w:r>
        <w:rPr>
          <w:rFonts w:ascii="Times New Roman" w:hAnsi="Times New Roman" w:cs="Times New Roman"/>
          <w:sz w:val="20"/>
          <w:szCs w:val="20"/>
        </w:rPr>
        <w:t>AmpC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-producing infections. </w:t>
      </w:r>
      <w:r w:rsidR="00F22BDF">
        <w:rPr>
          <w:rFonts w:ascii="Times New Roman" w:hAnsi="Times New Roman" w:cs="Times New Roman"/>
          <w:sz w:val="20"/>
          <w:szCs w:val="20"/>
        </w:rPr>
        <w:t>Comparing individual agents</w:t>
      </w:r>
      <w:r>
        <w:rPr>
          <w:rFonts w:ascii="Times New Roman" w:hAnsi="Times New Roman" w:cs="Times New Roman"/>
          <w:sz w:val="20"/>
          <w:szCs w:val="20"/>
        </w:rPr>
        <w:t xml:space="preserve"> would require substantially larger sample sizes to achieve adequate statistical power and would not directly address the overarching stewardship question</w:t>
      </w:r>
      <w:r w:rsidR="00F22BDF">
        <w:rPr>
          <w:rFonts w:ascii="Times New Roman" w:hAnsi="Times New Roman" w:cs="Times New Roman"/>
          <w:sz w:val="20"/>
          <w:szCs w:val="20"/>
        </w:rPr>
        <w:t xml:space="preserve"> [1,2]</w:t>
      </w:r>
      <w:r>
        <w:rPr>
          <w:rFonts w:ascii="Times New Roman" w:hAnsi="Times New Roman" w:cs="Times New Roman"/>
          <w:sz w:val="20"/>
          <w:szCs w:val="20"/>
        </w:rPr>
        <w:t>.</w:t>
      </w:r>
      <w:r w:rsidR="00F22B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Secondly, this grouping strategy </w:t>
      </w:r>
      <w:r w:rsidR="00F22BDF">
        <w:rPr>
          <w:rFonts w:ascii="Times New Roman" w:hAnsi="Times New Roman" w:cs="Times New Roman"/>
          <w:sz w:val="20"/>
          <w:szCs w:val="20"/>
        </w:rPr>
        <w:t>is used in comparative effectiveness research on antimicrobial resistance, where comparisons among treatment classes provide generalizable evidence for real-world prescribing decisions, especially when multiple agents within a class are available</w:t>
      </w:r>
      <w:r>
        <w:rPr>
          <w:rFonts w:ascii="Times New Roman" w:hAnsi="Times New Roman" w:cs="Times New Roman"/>
          <w:sz w:val="20"/>
          <w:szCs w:val="20"/>
        </w:rPr>
        <w:t>. Several landmark studies addressing analogous research questions have utilized comparable grouping methodologies</w:t>
      </w:r>
      <w:r w:rsidR="00F22BDF">
        <w:rPr>
          <w:rFonts w:ascii="Times New Roman" w:hAnsi="Times New Roman" w:cs="Times New Roman"/>
          <w:sz w:val="20"/>
          <w:szCs w:val="20"/>
        </w:rPr>
        <w:t xml:space="preserve"> [1-3].</w:t>
      </w:r>
    </w:p>
    <w:p w14:paraId="1B8AFBCA" w14:textId="6AC3E933" w:rsidR="00AB5F2A" w:rsidRPr="00AB5F2A" w:rsidRDefault="00AB5F2A" w:rsidP="00AB5F2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B5F2A">
        <w:rPr>
          <w:rFonts w:ascii="Times New Roman" w:hAnsi="Times New Roman" w:cs="Times New Roman"/>
          <w:sz w:val="20"/>
          <w:szCs w:val="20"/>
        </w:rPr>
        <w:t xml:space="preserve">Third, the antibiotics grouped within each category share relevant pharmacological characteristics. All carbapenems (meropenem, imipenem, ertapenem) demonstrate stability against </w:t>
      </w:r>
      <w:proofErr w:type="spellStart"/>
      <w:r w:rsidRPr="00AB5F2A">
        <w:rPr>
          <w:rFonts w:ascii="Times New Roman" w:hAnsi="Times New Roman" w:cs="Times New Roman"/>
          <w:sz w:val="20"/>
          <w:szCs w:val="20"/>
        </w:rPr>
        <w:t>AmpC</w:t>
      </w:r>
      <w:proofErr w:type="spellEnd"/>
      <w:r w:rsidRPr="00AB5F2A">
        <w:rPr>
          <w:rFonts w:ascii="Times New Roman" w:hAnsi="Times New Roman" w:cs="Times New Roman"/>
          <w:sz w:val="20"/>
          <w:szCs w:val="20"/>
        </w:rPr>
        <w:t xml:space="preserve"> β-lactamases and comparable spectra of activity against </w:t>
      </w:r>
      <w:proofErr w:type="spellStart"/>
      <w:r w:rsidRPr="00AB5F2A">
        <w:rPr>
          <w:rFonts w:ascii="Times New Roman" w:hAnsi="Times New Roman" w:cs="Times New Roman"/>
          <w:sz w:val="20"/>
          <w:szCs w:val="20"/>
        </w:rPr>
        <w:t>AmpC</w:t>
      </w:r>
      <w:proofErr w:type="spellEnd"/>
      <w:r w:rsidRPr="00AB5F2A">
        <w:rPr>
          <w:rFonts w:ascii="Times New Roman" w:hAnsi="Times New Roman" w:cs="Times New Roman"/>
          <w:sz w:val="20"/>
          <w:szCs w:val="20"/>
        </w:rPr>
        <w:t xml:space="preserve">-producing </w:t>
      </w:r>
      <w:r w:rsidRPr="00F22BDF">
        <w:rPr>
          <w:rFonts w:ascii="Times New Roman" w:hAnsi="Times New Roman" w:cs="Times New Roman"/>
          <w:i/>
          <w:iCs/>
          <w:sz w:val="20"/>
          <w:szCs w:val="20"/>
        </w:rPr>
        <w:t>Enterobacteriaceae</w:t>
      </w:r>
      <w:r w:rsidRPr="00AB5F2A">
        <w:rPr>
          <w:rFonts w:ascii="Times New Roman" w:hAnsi="Times New Roman" w:cs="Times New Roman"/>
          <w:sz w:val="20"/>
          <w:szCs w:val="20"/>
        </w:rPr>
        <w:t xml:space="preserve">. Similarly, the non-carbapenem agents included (cefepime, piperacillin-tazobactam, fluoroquinolones, trimethoprim-sulfamethoxazole) represent established alternatives with documented activity against </w:t>
      </w:r>
      <w:proofErr w:type="spellStart"/>
      <w:r w:rsidRPr="00AB5F2A">
        <w:rPr>
          <w:rFonts w:ascii="Times New Roman" w:hAnsi="Times New Roman" w:cs="Times New Roman"/>
          <w:sz w:val="20"/>
          <w:szCs w:val="20"/>
        </w:rPr>
        <w:t>AmpC</w:t>
      </w:r>
      <w:proofErr w:type="spellEnd"/>
      <w:r w:rsidRPr="00AB5F2A">
        <w:rPr>
          <w:rFonts w:ascii="Times New Roman" w:hAnsi="Times New Roman" w:cs="Times New Roman"/>
          <w:sz w:val="20"/>
          <w:szCs w:val="20"/>
        </w:rPr>
        <w:t>-producing organisms based on in vitro susceptibility and clinical evidence</w:t>
      </w:r>
      <w:r w:rsidR="00F22BDF">
        <w:rPr>
          <w:rFonts w:ascii="Times New Roman" w:hAnsi="Times New Roman" w:cs="Times New Roman"/>
          <w:sz w:val="20"/>
          <w:szCs w:val="20"/>
        </w:rPr>
        <w:t xml:space="preserve"> [1]</w:t>
      </w:r>
      <w:r w:rsidRPr="00AB5F2A">
        <w:rPr>
          <w:rFonts w:ascii="Times New Roman" w:hAnsi="Times New Roman" w:cs="Times New Roman"/>
          <w:sz w:val="20"/>
          <w:szCs w:val="20"/>
        </w:rPr>
        <w:t>.</w:t>
      </w:r>
      <w:r w:rsidR="00F22BDF">
        <w:rPr>
          <w:rFonts w:ascii="Times New Roman" w:hAnsi="Times New Roman" w:cs="Times New Roman"/>
          <w:sz w:val="20"/>
          <w:szCs w:val="20"/>
        </w:rPr>
        <w:t xml:space="preserve"> </w:t>
      </w:r>
      <w:r w:rsidRPr="00AB5F2A">
        <w:rPr>
          <w:rFonts w:ascii="Times New Roman" w:hAnsi="Times New Roman" w:cs="Times New Roman"/>
          <w:sz w:val="20"/>
          <w:szCs w:val="20"/>
        </w:rPr>
        <w:t>Fourth, all included isolates demonstrated in vitro susceptibility to the administered agents per CLSI breakpoints, ensuring therapeutic appropriateness regardless of the specific agent selected within each group. This susceptibility-based selection minimizes bias from inherent resistance differences across agents. Finally, subgroup analyses by specific non-carbapenem agents (cefepime, piperacillin-tazobactam, fluoroquinolones) were performed to explore potential heterogeneity in treatment effects within the non-carbapenem group, addressing concerns about the validity of the composite classification</w:t>
      </w:r>
      <w:r w:rsidR="00F22BDF">
        <w:rPr>
          <w:rFonts w:ascii="Times New Roman" w:hAnsi="Times New Roman" w:cs="Times New Roman"/>
          <w:sz w:val="20"/>
          <w:szCs w:val="20"/>
        </w:rPr>
        <w:t xml:space="preserve"> [2]</w:t>
      </w:r>
      <w:r w:rsidRPr="00AB5F2A">
        <w:rPr>
          <w:rFonts w:ascii="Times New Roman" w:hAnsi="Times New Roman" w:cs="Times New Roman"/>
          <w:sz w:val="20"/>
          <w:szCs w:val="20"/>
        </w:rPr>
        <w:t>.</w:t>
      </w:r>
    </w:p>
    <w:p w14:paraId="2C9F6B9C" w14:textId="77777777" w:rsidR="00F22BDF" w:rsidRDefault="00F22BD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7AF009EC" w14:textId="77777777" w:rsidR="00F22BDF" w:rsidRPr="00F22BDF" w:rsidRDefault="00F22BDF" w:rsidP="00F22B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22BDF">
        <w:rPr>
          <w:rFonts w:ascii="Times New Roman" w:hAnsi="Times New Roman" w:cs="Times New Roman"/>
          <w:sz w:val="20"/>
          <w:szCs w:val="20"/>
        </w:rPr>
        <w:t xml:space="preserve">Miller AC, </w:t>
      </w:r>
      <w:proofErr w:type="spellStart"/>
      <w:r w:rsidRPr="00F22BDF">
        <w:rPr>
          <w:rFonts w:ascii="Times New Roman" w:hAnsi="Times New Roman" w:cs="Times New Roman"/>
          <w:sz w:val="20"/>
          <w:szCs w:val="20"/>
        </w:rPr>
        <w:t>Arakkal</w:t>
      </w:r>
      <w:proofErr w:type="spellEnd"/>
      <w:r w:rsidRPr="00F22BDF">
        <w:rPr>
          <w:rFonts w:ascii="Times New Roman" w:hAnsi="Times New Roman" w:cs="Times New Roman"/>
          <w:sz w:val="20"/>
          <w:szCs w:val="20"/>
        </w:rPr>
        <w:t xml:space="preserve"> AT, Sewell DK, et al. Comparison of Different Antibiotics and the Risk for Community-Associated </w:t>
      </w:r>
      <w:proofErr w:type="spellStart"/>
      <w:r w:rsidRPr="00F22BDF">
        <w:rPr>
          <w:rFonts w:ascii="Times New Roman" w:hAnsi="Times New Roman" w:cs="Times New Roman"/>
          <w:i/>
          <w:iCs/>
          <w:sz w:val="20"/>
          <w:szCs w:val="20"/>
        </w:rPr>
        <w:t>Clostridioides</w:t>
      </w:r>
      <w:proofErr w:type="spellEnd"/>
      <w:r w:rsidRPr="00F22BDF">
        <w:rPr>
          <w:rFonts w:ascii="Times New Roman" w:hAnsi="Times New Roman" w:cs="Times New Roman"/>
          <w:i/>
          <w:iCs/>
          <w:sz w:val="20"/>
          <w:szCs w:val="20"/>
        </w:rPr>
        <w:t xml:space="preserve"> difficile</w:t>
      </w:r>
      <w:r w:rsidRPr="00F22BDF">
        <w:rPr>
          <w:rFonts w:ascii="Times New Roman" w:hAnsi="Times New Roman" w:cs="Times New Roman"/>
          <w:sz w:val="20"/>
          <w:szCs w:val="20"/>
        </w:rPr>
        <w:t> Infection: A Case-Control Study. </w:t>
      </w:r>
      <w:r w:rsidRPr="00F22BDF">
        <w:rPr>
          <w:rFonts w:ascii="Times New Roman" w:hAnsi="Times New Roman" w:cs="Times New Roman"/>
          <w:i/>
          <w:iCs/>
          <w:sz w:val="20"/>
          <w:szCs w:val="20"/>
        </w:rPr>
        <w:t>Open Forum Infect Dis</w:t>
      </w:r>
      <w:r w:rsidRPr="00F22BDF">
        <w:rPr>
          <w:rFonts w:ascii="Times New Roman" w:hAnsi="Times New Roman" w:cs="Times New Roman"/>
          <w:sz w:val="20"/>
          <w:szCs w:val="20"/>
        </w:rPr>
        <w:t>. 2023;10(8):ofad413.</w:t>
      </w:r>
    </w:p>
    <w:p w14:paraId="16957C47" w14:textId="77777777" w:rsidR="00F22BDF" w:rsidRPr="00F22BDF" w:rsidRDefault="00F22BDF" w:rsidP="00F22B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22BDF">
        <w:rPr>
          <w:rFonts w:ascii="Times New Roman" w:hAnsi="Times New Roman" w:cs="Times New Roman"/>
          <w:sz w:val="20"/>
          <w:szCs w:val="20"/>
        </w:rPr>
        <w:t>Sheibani</w:t>
      </w:r>
      <w:proofErr w:type="spellEnd"/>
      <w:r w:rsidRPr="00F22BDF">
        <w:rPr>
          <w:rFonts w:ascii="Times New Roman" w:hAnsi="Times New Roman" w:cs="Times New Roman"/>
          <w:sz w:val="20"/>
          <w:szCs w:val="20"/>
        </w:rPr>
        <w:t xml:space="preserve"> M, Sadeghifar A, Shafa S, et al. Comparative effectiveness of prophylactic antibiotic regimens in preventing infection in open fractures: a prospective cohort study. </w:t>
      </w:r>
      <w:r w:rsidRPr="00F22BDF">
        <w:rPr>
          <w:rFonts w:ascii="Times New Roman" w:hAnsi="Times New Roman" w:cs="Times New Roman"/>
          <w:i/>
          <w:iCs/>
          <w:sz w:val="20"/>
          <w:szCs w:val="20"/>
        </w:rPr>
        <w:t xml:space="preserve">BMC </w:t>
      </w:r>
      <w:proofErr w:type="spellStart"/>
      <w:r w:rsidRPr="00F22BDF">
        <w:rPr>
          <w:rFonts w:ascii="Times New Roman" w:hAnsi="Times New Roman" w:cs="Times New Roman"/>
          <w:i/>
          <w:iCs/>
          <w:sz w:val="20"/>
          <w:szCs w:val="20"/>
        </w:rPr>
        <w:t>Musculoskelet</w:t>
      </w:r>
      <w:proofErr w:type="spellEnd"/>
      <w:r w:rsidRPr="00F22BD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F22BDF">
        <w:rPr>
          <w:rFonts w:ascii="Times New Roman" w:hAnsi="Times New Roman" w:cs="Times New Roman"/>
          <w:i/>
          <w:iCs/>
          <w:sz w:val="20"/>
          <w:szCs w:val="20"/>
        </w:rPr>
        <w:t>Disord</w:t>
      </w:r>
      <w:proofErr w:type="spellEnd"/>
      <w:r w:rsidRPr="00F22BDF">
        <w:rPr>
          <w:rFonts w:ascii="Times New Roman" w:hAnsi="Times New Roman" w:cs="Times New Roman"/>
          <w:sz w:val="20"/>
          <w:szCs w:val="20"/>
        </w:rPr>
        <w:t>. 2025;26(1):809.</w:t>
      </w:r>
    </w:p>
    <w:p w14:paraId="7426FBC4" w14:textId="4829A9EE" w:rsidR="00F22BDF" w:rsidRPr="00F22BDF" w:rsidRDefault="00F22BDF" w:rsidP="00F22B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22BDF">
        <w:rPr>
          <w:rFonts w:ascii="Times New Roman" w:hAnsi="Times New Roman" w:cs="Times New Roman"/>
          <w:sz w:val="20"/>
          <w:szCs w:val="20"/>
        </w:rPr>
        <w:t xml:space="preserve">D.C. Angst, B. </w:t>
      </w:r>
      <w:proofErr w:type="spellStart"/>
      <w:r w:rsidRPr="00F22BDF">
        <w:rPr>
          <w:rFonts w:ascii="Times New Roman" w:hAnsi="Times New Roman" w:cs="Times New Roman"/>
          <w:sz w:val="20"/>
          <w:szCs w:val="20"/>
        </w:rPr>
        <w:t>Tepekule</w:t>
      </w:r>
      <w:proofErr w:type="spellEnd"/>
      <w:r w:rsidRPr="00F22BDF">
        <w:rPr>
          <w:rFonts w:ascii="Times New Roman" w:hAnsi="Times New Roman" w:cs="Times New Roman"/>
          <w:sz w:val="20"/>
          <w:szCs w:val="20"/>
        </w:rPr>
        <w:t xml:space="preserve">, L. Sun, B. Bogos, &amp; S. Bonhoeffer, Comparing treatment strategies to reduce antibiotic resistance in an in vitro epidemiological setting, Proc. </w:t>
      </w:r>
      <w:r w:rsidRPr="00F22BDF">
        <w:rPr>
          <w:rFonts w:ascii="Times New Roman" w:hAnsi="Times New Roman" w:cs="Times New Roman"/>
          <w:i/>
          <w:iCs/>
          <w:sz w:val="20"/>
          <w:szCs w:val="20"/>
        </w:rPr>
        <w:t>Natl. Acad. Sci. U.S.A.</w:t>
      </w:r>
      <w:r w:rsidRPr="00F22BDF">
        <w:rPr>
          <w:rFonts w:ascii="Times New Roman" w:hAnsi="Times New Roman" w:cs="Times New Roman"/>
          <w:sz w:val="20"/>
          <w:szCs w:val="20"/>
        </w:rPr>
        <w:t xml:space="preserve"> </w:t>
      </w:r>
      <w:r w:rsidRPr="00F22BDF">
        <w:rPr>
          <w:rFonts w:ascii="Times New Roman" w:hAnsi="Times New Roman" w:cs="Times New Roman"/>
          <w:sz w:val="20"/>
          <w:szCs w:val="20"/>
        </w:rPr>
        <w:t>2021;</w:t>
      </w:r>
      <w:r w:rsidRPr="00F22BDF">
        <w:rPr>
          <w:rFonts w:ascii="Times New Roman" w:hAnsi="Times New Roman" w:cs="Times New Roman"/>
          <w:sz w:val="20"/>
          <w:szCs w:val="20"/>
        </w:rPr>
        <w:t>118 (13) e2023467118</w:t>
      </w:r>
      <w:r w:rsidRPr="00F22BDF">
        <w:rPr>
          <w:rFonts w:ascii="Times New Roman" w:hAnsi="Times New Roman" w:cs="Times New Roman"/>
          <w:sz w:val="20"/>
          <w:szCs w:val="20"/>
        </w:rPr>
        <w:t>.</w:t>
      </w:r>
    </w:p>
    <w:p w14:paraId="4D152767" w14:textId="76B5843F" w:rsidR="003C17DC" w:rsidRDefault="003C17D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E2C8B3B" w14:textId="59026CCF" w:rsidR="007A46BF" w:rsidRPr="004923C0" w:rsidRDefault="007A46BF" w:rsidP="007A46BF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923C0">
        <w:rPr>
          <w:rFonts w:ascii="Times New Roman" w:hAnsi="Times New Roman" w:cs="Times New Roman"/>
          <w:b/>
          <w:bCs/>
          <w:sz w:val="20"/>
          <w:szCs w:val="20"/>
        </w:rPr>
        <w:lastRenderedPageBreak/>
        <w:t>Data Quality and Management</w:t>
      </w:r>
    </w:p>
    <w:p w14:paraId="1DE63AB1" w14:textId="77777777" w:rsidR="007A46BF" w:rsidRPr="004923C0" w:rsidRDefault="007A46BF" w:rsidP="007A46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923C0">
        <w:rPr>
          <w:rFonts w:ascii="Times New Roman" w:hAnsi="Times New Roman" w:cs="Times New Roman"/>
          <w:sz w:val="20"/>
          <w:szCs w:val="20"/>
        </w:rPr>
        <w:t xml:space="preserve">Data were stored securely in </w:t>
      </w:r>
      <w:proofErr w:type="spellStart"/>
      <w:r w:rsidRPr="004923C0">
        <w:rPr>
          <w:rFonts w:ascii="Times New Roman" w:hAnsi="Times New Roman" w:cs="Times New Roman"/>
          <w:sz w:val="20"/>
          <w:szCs w:val="20"/>
        </w:rPr>
        <w:t>REDCap</w:t>
      </w:r>
      <w:proofErr w:type="spellEnd"/>
      <w:r w:rsidRPr="004923C0">
        <w:rPr>
          <w:rFonts w:ascii="Times New Roman" w:hAnsi="Times New Roman" w:cs="Times New Roman"/>
          <w:sz w:val="20"/>
          <w:szCs w:val="20"/>
        </w:rPr>
        <w:t xml:space="preserve"> with restricted access limited to study investigators. Patient confidentiality was maintained through the use of unique study identifiers linked to medical record numbers. All data collection and storage followed KFSH&amp;RC policies.</w:t>
      </w:r>
    </w:p>
    <w:p w14:paraId="24664D21" w14:textId="77777777" w:rsidR="007A46BF" w:rsidRPr="004923C0" w:rsidRDefault="007A46BF" w:rsidP="007A46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923C0">
        <w:rPr>
          <w:rFonts w:ascii="Times New Roman" w:hAnsi="Times New Roman" w:cs="Times New Roman"/>
          <w:sz w:val="20"/>
          <w:szCs w:val="20"/>
        </w:rPr>
        <w:t>Regular data quality checks included:</w:t>
      </w:r>
    </w:p>
    <w:p w14:paraId="03A9A0A4" w14:textId="77777777" w:rsidR="007A46BF" w:rsidRPr="004923C0" w:rsidRDefault="007A46BF" w:rsidP="007A46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923C0">
        <w:rPr>
          <w:rFonts w:ascii="Times New Roman" w:hAnsi="Times New Roman" w:cs="Times New Roman"/>
          <w:sz w:val="20"/>
          <w:szCs w:val="20"/>
        </w:rPr>
        <w:t>Duplicate record identification and resolution</w:t>
      </w:r>
    </w:p>
    <w:p w14:paraId="1D846927" w14:textId="77777777" w:rsidR="007A46BF" w:rsidRPr="004923C0" w:rsidRDefault="007A46BF" w:rsidP="007A46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923C0">
        <w:rPr>
          <w:rFonts w:ascii="Times New Roman" w:hAnsi="Times New Roman" w:cs="Times New Roman"/>
          <w:sz w:val="20"/>
          <w:szCs w:val="20"/>
        </w:rPr>
        <w:t>Independent review of 10% of cases for data accuracy</w:t>
      </w:r>
    </w:p>
    <w:p w14:paraId="2EFD8037" w14:textId="77777777" w:rsidR="007A46BF" w:rsidRPr="007A46BF" w:rsidRDefault="007A46BF">
      <w:pPr>
        <w:rPr>
          <w:rFonts w:ascii="Times New Roman" w:hAnsi="Times New Roman" w:cs="Times New Roman"/>
          <w:sz w:val="24"/>
          <w:szCs w:val="24"/>
        </w:rPr>
      </w:pPr>
    </w:p>
    <w:sectPr w:rsidR="007A46BF" w:rsidRPr="007A4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1B6"/>
    <w:multiLevelType w:val="hybridMultilevel"/>
    <w:tmpl w:val="D15C51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E010E6"/>
    <w:multiLevelType w:val="hybridMultilevel"/>
    <w:tmpl w:val="DBFCD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29178A"/>
    <w:multiLevelType w:val="hybridMultilevel"/>
    <w:tmpl w:val="679AD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420493">
    <w:abstractNumId w:val="1"/>
  </w:num>
  <w:num w:numId="2" w16cid:durableId="1403412158">
    <w:abstractNumId w:val="2"/>
  </w:num>
  <w:num w:numId="3" w16cid:durableId="122375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03"/>
    <w:rsid w:val="00026E03"/>
    <w:rsid w:val="000C1317"/>
    <w:rsid w:val="003072DD"/>
    <w:rsid w:val="003C17DC"/>
    <w:rsid w:val="0051232F"/>
    <w:rsid w:val="007A46BF"/>
    <w:rsid w:val="00827D1D"/>
    <w:rsid w:val="009D0266"/>
    <w:rsid w:val="00AB5F2A"/>
    <w:rsid w:val="00C765E2"/>
    <w:rsid w:val="00D70B6D"/>
    <w:rsid w:val="00DE6B12"/>
    <w:rsid w:val="00F22BDF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EF742"/>
  <w15:chartTrackingRefBased/>
  <w15:docId w15:val="{0203CE5B-67DF-4340-91D5-FCF9417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C1317"/>
    <w:pPr>
      <w:keepNext/>
      <w:keepLines/>
      <w:spacing w:before="520" w:line="240" w:lineRule="auto"/>
      <w:outlineLvl w:val="0"/>
    </w:pPr>
    <w:rPr>
      <w:rFonts w:ascii="Arial" w:eastAsiaTheme="majorEastAsia" w:hAnsi="Arial" w:cstheme="majorBidi"/>
      <w:b/>
      <w:color w:val="0A2F41" w:themeColor="accent1" w:themeShade="80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317"/>
    <w:rPr>
      <w:rFonts w:ascii="Arial" w:eastAsiaTheme="majorEastAsia" w:hAnsi="Arial" w:cstheme="majorBidi"/>
      <w:b/>
      <w:color w:val="0A2F41" w:themeColor="accent1" w:themeShade="80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E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0B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da.gov/media/162416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6449</Characters>
  <Application>Microsoft Office Word</Application>
  <DocSecurity>0</DocSecurity>
  <Lines>91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Ali</dc:creator>
  <cp:keywords/>
  <dc:description/>
  <cp:lastModifiedBy>Majid Ali</cp:lastModifiedBy>
  <cp:revision>22</cp:revision>
  <dcterms:created xsi:type="dcterms:W3CDTF">2025-10-14T05:44:00Z</dcterms:created>
  <dcterms:modified xsi:type="dcterms:W3CDTF">2025-10-14T06:15:00Z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8ff0a43d-3041-44f2-bb65-2d71c3d96e63</vt:lpwstr>
  </property>
</Properties>
</file>