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73" w:rsidRPr="007F4073" w:rsidRDefault="007F4073" w:rsidP="007F4073">
      <w:pPr>
        <w:spacing w:before="120" w:after="12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F4073">
        <w:rPr>
          <w:rFonts w:ascii="Times New Roman" w:eastAsiaTheme="majorEastAsia" w:hAnsi="Times New Roman" w:cs="Times New Roman"/>
          <w:b/>
          <w:bCs/>
          <w:sz w:val="28"/>
          <w:szCs w:val="28"/>
        </w:rPr>
        <w:t>APPENDIX 1</w:t>
      </w:r>
    </w:p>
    <w:p w:rsidR="007F4073" w:rsidRDefault="007F4073" w:rsidP="007F4073">
      <w:pPr>
        <w:spacing w:before="120" w:after="12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QUESTIONAIRE</w:t>
      </w:r>
      <w:r w:rsidRPr="007F407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ON THE CURRENT SITUATION AND SOME FACTORS AFFECTING CONTINUOUS MEDICAL </w:t>
      </w:r>
      <w:r w:rsidR="00787974">
        <w:rPr>
          <w:rFonts w:ascii="Times New Roman" w:eastAsiaTheme="majorEastAsia" w:hAnsi="Times New Roman" w:cs="Times New Roman"/>
          <w:b/>
          <w:bCs/>
          <w:sz w:val="28"/>
          <w:szCs w:val="28"/>
        </w:rPr>
        <w:t>EDUCATION</w:t>
      </w:r>
      <w:r w:rsidRPr="007F407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ACTIVITIES AMONG PRACTITIONERS AT DA NANG HOSPITAL IN THE PERIOD 2020-2025.</w:t>
      </w:r>
    </w:p>
    <w:p w:rsidR="00787974" w:rsidRPr="001009FC" w:rsidRDefault="00787974" w:rsidP="007F407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*** In order to give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evidence based </w:t>
      </w:r>
      <w:r w:rsidRPr="00787974">
        <w:rPr>
          <w:rFonts w:ascii="Times New Roman" w:hAnsi="Times New Roman" w:cs="Times New Roman"/>
          <w:bCs/>
          <w:sz w:val="28"/>
          <w:szCs w:val="28"/>
        </w:rPr>
        <w:t>recommendations to help the continuous training of medical staff be scientifically</w:t>
      </w:r>
      <w:r>
        <w:rPr>
          <w:rFonts w:ascii="Times New Roman" w:hAnsi="Times New Roman" w:cs="Times New Roman"/>
          <w:bCs/>
          <w:sz w:val="28"/>
          <w:szCs w:val="28"/>
        </w:rPr>
        <w:t>, practically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organiz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ed, and in line with the needs in the context of changes in the system of newly </w:t>
      </w:r>
      <w:r>
        <w:rPr>
          <w:rFonts w:ascii="Times New Roman" w:hAnsi="Times New Roman" w:cs="Times New Roman"/>
          <w:bCs/>
          <w:sz w:val="28"/>
          <w:szCs w:val="28"/>
        </w:rPr>
        <w:t>issued legal guidance documents</w:t>
      </w:r>
      <w:r w:rsidRPr="00787974">
        <w:rPr>
          <w:rFonts w:ascii="Times New Roman" w:hAnsi="Times New Roman" w:cs="Times New Roman"/>
          <w:bCs/>
          <w:sz w:val="28"/>
          <w:szCs w:val="28"/>
        </w:rPr>
        <w:t>, the research team conducted</w:t>
      </w:r>
      <w:r>
        <w:rPr>
          <w:rFonts w:ascii="Times New Roman" w:hAnsi="Times New Roman" w:cs="Times New Roman"/>
          <w:bCs/>
          <w:sz w:val="28"/>
          <w:szCs w:val="28"/>
        </w:rPr>
        <w:t xml:space="preserve"> this s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urvey of </w:t>
      </w:r>
      <w:r>
        <w:rPr>
          <w:rFonts w:ascii="Times New Roman" w:hAnsi="Times New Roman" w:cs="Times New Roman"/>
          <w:bCs/>
          <w:sz w:val="28"/>
          <w:szCs w:val="28"/>
        </w:rPr>
        <w:t>“T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he current situation and some factors affecting continuous medical </w:t>
      </w:r>
      <w:r>
        <w:rPr>
          <w:rFonts w:ascii="Times New Roman" w:hAnsi="Times New Roman" w:cs="Times New Roman"/>
          <w:bCs/>
          <w:sz w:val="28"/>
          <w:szCs w:val="28"/>
        </w:rPr>
        <w:t>education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 among practitioners at Da Nang Hospital in the period of 2020-2025" with two research objectives:</w:t>
      </w: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87974">
        <w:rPr>
          <w:rFonts w:ascii="Times New Roman" w:hAnsi="Times New Roman" w:cs="Times New Roman"/>
          <w:bCs/>
          <w:sz w:val="28"/>
          <w:szCs w:val="28"/>
        </w:rPr>
        <w:t xml:space="preserve">• Describe the current situation of continuous medical </w:t>
      </w:r>
      <w:r>
        <w:rPr>
          <w:rFonts w:ascii="Times New Roman" w:hAnsi="Times New Roman" w:cs="Times New Roman"/>
          <w:bCs/>
          <w:sz w:val="28"/>
          <w:szCs w:val="28"/>
        </w:rPr>
        <w:t>education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 among practitioners at Da Nang Hospital in the period of 2020-2025.</w:t>
      </w: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7F4073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87974">
        <w:rPr>
          <w:rFonts w:ascii="Times New Roman" w:hAnsi="Times New Roman" w:cs="Times New Roman"/>
          <w:bCs/>
          <w:sz w:val="28"/>
          <w:szCs w:val="28"/>
        </w:rPr>
        <w:t xml:space="preserve">• Analyze some factors affecting continuous medical </w:t>
      </w:r>
      <w:r>
        <w:rPr>
          <w:rFonts w:ascii="Times New Roman" w:hAnsi="Times New Roman" w:cs="Times New Roman"/>
          <w:bCs/>
          <w:sz w:val="28"/>
          <w:szCs w:val="28"/>
        </w:rPr>
        <w:t>education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 activities among practitioners at Da Nang Hospital.</w:t>
      </w:r>
    </w:p>
    <w:p w:rsid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EF361E" w:rsidRDefault="00EF361E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***</w:t>
      </w:r>
      <w:r w:rsidRPr="00787974">
        <w:t xml:space="preserve"> 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The </w:t>
      </w:r>
      <w:r>
        <w:rPr>
          <w:rFonts w:ascii="Times New Roman" w:hAnsi="Times New Roman" w:cs="Times New Roman"/>
          <w:bCs/>
          <w:sz w:val="28"/>
          <w:szCs w:val="28"/>
        </w:rPr>
        <w:t>DOHA</w:t>
      </w:r>
      <w:r w:rsidRPr="00787974">
        <w:rPr>
          <w:rFonts w:ascii="Times New Roman" w:hAnsi="Times New Roman" w:cs="Times New Roman"/>
          <w:bCs/>
          <w:sz w:val="28"/>
          <w:szCs w:val="28"/>
        </w:rPr>
        <w:t xml:space="preserve"> Department is collecting data on continuing education of medical staff.</w:t>
      </w: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87974">
        <w:rPr>
          <w:rFonts w:ascii="Times New Roman" w:hAnsi="Times New Roman" w:cs="Times New Roman"/>
          <w:bCs/>
          <w:sz w:val="28"/>
          <w:szCs w:val="28"/>
        </w:rPr>
        <w:t>We assure you that the information you provide will be kept strictly confidential.</w:t>
      </w:r>
    </w:p>
    <w:p w:rsidR="00787974" w:rsidRP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787974" w:rsidRDefault="00787974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87974">
        <w:rPr>
          <w:rFonts w:ascii="Times New Roman" w:hAnsi="Times New Roman" w:cs="Times New Roman"/>
          <w:bCs/>
          <w:sz w:val="28"/>
          <w:szCs w:val="28"/>
        </w:rPr>
        <w:t>We hope you agree to participate in the survey.</w:t>
      </w:r>
    </w:p>
    <w:p w:rsidR="00EF361E" w:rsidRDefault="00EF361E" w:rsidP="00787974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EF361E" w:rsidRDefault="00EF361E" w:rsidP="00EF361E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agree to participate in this survey</w:t>
      </w:r>
    </w:p>
    <w:p w:rsidR="00EF361E" w:rsidRDefault="00EF361E" w:rsidP="00EF361E">
      <w:pPr>
        <w:pStyle w:val="ListParagraph"/>
        <w:spacing w:before="120" w:after="120" w:line="360" w:lineRule="auto"/>
        <w:ind w:left="1004"/>
        <w:rPr>
          <w:rFonts w:ascii="Times New Roman" w:hAnsi="Times New Roman" w:cs="Times New Roman"/>
          <w:bCs/>
          <w:sz w:val="28"/>
          <w:szCs w:val="28"/>
        </w:rPr>
      </w:pPr>
    </w:p>
    <w:p w:rsidR="00EF361E" w:rsidRPr="00787974" w:rsidRDefault="00EF361E" w:rsidP="00EF361E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 do not agree to </w:t>
      </w:r>
      <w:r>
        <w:rPr>
          <w:rFonts w:ascii="Times New Roman" w:hAnsi="Times New Roman" w:cs="Times New Roman"/>
          <w:bCs/>
          <w:sz w:val="28"/>
          <w:szCs w:val="28"/>
        </w:rPr>
        <w:t>participate in this survey</w:t>
      </w:r>
    </w:p>
    <w:p w:rsidR="00787974" w:rsidRPr="005C2035" w:rsidRDefault="00787974" w:rsidP="007F4073">
      <w:pPr>
        <w:pStyle w:val="ListParagraph"/>
        <w:spacing w:before="120" w:after="12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61E" w:rsidRDefault="00EF361E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p w:rsidR="007F4073" w:rsidRPr="001009FC" w:rsidRDefault="007F4073" w:rsidP="007F4073">
      <w:pPr>
        <w:pStyle w:val="ListParagraph"/>
        <w:spacing w:before="120" w:after="120" w:line="360" w:lineRule="auto"/>
        <w:ind w:left="284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1.1</w:t>
      </w:r>
      <w:r w:rsidRPr="005C20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General information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3402"/>
        <w:gridCol w:w="2554"/>
        <w:gridCol w:w="2280"/>
      </w:tblGrid>
      <w:tr w:rsidR="007F4073" w:rsidRPr="005C2035" w:rsidTr="007F4073">
        <w:trPr>
          <w:trHeight w:val="300"/>
        </w:trPr>
        <w:tc>
          <w:tcPr>
            <w:tcW w:w="817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956" w:type="dxa"/>
            <w:gridSpan w:val="2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Information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073">
              <w:rPr>
                <w:rFonts w:ascii="Times New Roman" w:hAnsi="Times New Roman" w:cs="Times New Roman"/>
                <w:b/>
                <w:sz w:val="28"/>
                <w:szCs w:val="28"/>
              </w:rPr>
              <w:t>Answer (mark X or fill in appropriate information)</w:t>
            </w:r>
          </w:p>
        </w:tc>
      </w:tr>
      <w:tr w:rsidR="007F4073" w:rsidRPr="005C2035" w:rsidTr="007F4073">
        <w:trPr>
          <w:trHeight w:val="321"/>
        </w:trPr>
        <w:tc>
          <w:tcPr>
            <w:tcW w:w="817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6" w:type="dxa"/>
            <w:gridSpan w:val="2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073">
              <w:rPr>
                <w:rFonts w:ascii="Times New Roman" w:eastAsia="Times New Roman" w:hAnsi="Times New Roman" w:cs="Times New Roman"/>
                <w:sz w:val="28"/>
                <w:szCs w:val="28"/>
              </w:rPr>
              <w:t>Year of birth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300"/>
        </w:trPr>
        <w:tc>
          <w:tcPr>
            <w:tcW w:w="817" w:type="dxa"/>
            <w:vMerge w:val="restart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7F4073" w:rsidRPr="007F4073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Sex</w:t>
            </w:r>
          </w:p>
        </w:tc>
        <w:tc>
          <w:tcPr>
            <w:tcW w:w="2554" w:type="dxa"/>
            <w:vAlign w:val="center"/>
          </w:tcPr>
          <w:p w:rsidR="007F4073" w:rsidRPr="007F4073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Male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285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7F4073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Female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459"/>
        </w:trPr>
        <w:tc>
          <w:tcPr>
            <w:tcW w:w="817" w:type="dxa"/>
            <w:vMerge w:val="restart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07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Occupational title</w:t>
            </w:r>
          </w:p>
        </w:tc>
        <w:tc>
          <w:tcPr>
            <w:tcW w:w="2554" w:type="dxa"/>
            <w:vAlign w:val="center"/>
          </w:tcPr>
          <w:p w:rsidR="007F4073" w:rsidRPr="007F4073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Physician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285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7F4073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Medicine man (not a physician)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300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7F4073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Nurse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300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AD384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Midwife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285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AD384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Technician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315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AD384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Clinical nutrition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ist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285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AD384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Pharmacist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880024" w:rsidRPr="005C2035" w:rsidTr="00880024">
        <w:trPr>
          <w:trHeight w:val="224"/>
        </w:trPr>
        <w:tc>
          <w:tcPr>
            <w:tcW w:w="817" w:type="dxa"/>
            <w:vMerge w:val="restart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:rsidR="00880024" w:rsidRPr="005C2035" w:rsidRDefault="00880024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Professional qualification</w:t>
            </w:r>
          </w:p>
        </w:tc>
        <w:tc>
          <w:tcPr>
            <w:tcW w:w="2554" w:type="dxa"/>
            <w:vAlign w:val="center"/>
          </w:tcPr>
          <w:p w:rsidR="00880024" w:rsidRPr="005C2035" w:rsidRDefault="00880024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880024">
              <w:rPr>
                <w:rFonts w:ascii="Times New Roman" w:eastAsia="Times New Roman" w:hAnsi="Times New Roman" w:cs="Times New Roman"/>
                <w:sz w:val="28"/>
                <w:szCs w:val="28"/>
              </w:rPr>
              <w:t>ost-graduate</w:t>
            </w:r>
          </w:p>
        </w:tc>
        <w:tc>
          <w:tcPr>
            <w:tcW w:w="2280" w:type="dxa"/>
            <w:vMerge w:val="restart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024" w:rsidRPr="005C2035" w:rsidTr="00880024">
        <w:trPr>
          <w:trHeight w:val="223"/>
        </w:trPr>
        <w:tc>
          <w:tcPr>
            <w:tcW w:w="817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80024" w:rsidRDefault="00880024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880024" w:rsidRPr="005C2035" w:rsidRDefault="00880024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880024">
              <w:rPr>
                <w:rFonts w:ascii="Times New Roman" w:eastAsia="Times New Roman" w:hAnsi="Times New Roman" w:cs="Times New Roman"/>
                <w:sz w:val="28"/>
                <w:szCs w:val="28"/>
              </w:rPr>
              <w:t>raduate</w:t>
            </w:r>
          </w:p>
        </w:tc>
        <w:tc>
          <w:tcPr>
            <w:tcW w:w="2280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024" w:rsidRPr="005C2035" w:rsidTr="00880024">
        <w:trPr>
          <w:trHeight w:val="223"/>
        </w:trPr>
        <w:tc>
          <w:tcPr>
            <w:tcW w:w="817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80024" w:rsidRDefault="00880024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880024" w:rsidRPr="005C2035" w:rsidRDefault="00880024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Diplomas</w:t>
            </w:r>
          </w:p>
        </w:tc>
        <w:tc>
          <w:tcPr>
            <w:tcW w:w="2280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699"/>
        </w:trPr>
        <w:tc>
          <w:tcPr>
            <w:tcW w:w="817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6" w:type="dxa"/>
            <w:gridSpan w:val="2"/>
            <w:vAlign w:val="center"/>
          </w:tcPr>
          <w:p w:rsidR="007F4073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Department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285"/>
        </w:trPr>
        <w:tc>
          <w:tcPr>
            <w:tcW w:w="817" w:type="dxa"/>
            <w:vMerge w:val="restart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Current position</w:t>
            </w:r>
          </w:p>
        </w:tc>
        <w:tc>
          <w:tcPr>
            <w:tcW w:w="2554" w:type="dxa"/>
            <w:vAlign w:val="center"/>
          </w:tcPr>
          <w:p w:rsidR="007F4073" w:rsidRPr="005C2035" w:rsidRDefault="00AD3845" w:rsidP="00AD3845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Faculty/Department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leader board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300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management position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024" w:rsidRPr="005C2035" w:rsidTr="007F4073">
        <w:trPr>
          <w:trHeight w:val="300"/>
        </w:trPr>
        <w:tc>
          <w:tcPr>
            <w:tcW w:w="817" w:type="dxa"/>
            <w:vMerge w:val="restart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Merge w:val="restart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Years of service</w:t>
            </w:r>
          </w:p>
        </w:tc>
        <w:tc>
          <w:tcPr>
            <w:tcW w:w="2554" w:type="dxa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>Seniority &lt;5 years</w:t>
            </w:r>
          </w:p>
        </w:tc>
        <w:tc>
          <w:tcPr>
            <w:tcW w:w="2280" w:type="dxa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024" w:rsidRPr="005C2035" w:rsidTr="007F4073">
        <w:trPr>
          <w:trHeight w:val="285"/>
        </w:trPr>
        <w:tc>
          <w:tcPr>
            <w:tcW w:w="817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>From 5-10 years</w:t>
            </w:r>
          </w:p>
        </w:tc>
        <w:tc>
          <w:tcPr>
            <w:tcW w:w="2280" w:type="dxa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024" w:rsidRPr="005C2035" w:rsidTr="00880024">
        <w:trPr>
          <w:trHeight w:val="335"/>
        </w:trPr>
        <w:tc>
          <w:tcPr>
            <w:tcW w:w="817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>Seniority &gt;10 years</w:t>
            </w:r>
          </w:p>
        </w:tc>
        <w:tc>
          <w:tcPr>
            <w:tcW w:w="2280" w:type="dxa"/>
            <w:vMerge w:val="restart"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0024" w:rsidRPr="005C2035" w:rsidTr="007F4073">
        <w:trPr>
          <w:trHeight w:val="335"/>
        </w:trPr>
        <w:tc>
          <w:tcPr>
            <w:tcW w:w="817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880024" w:rsidRPr="00AD3845" w:rsidRDefault="00880024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Under 2 years</w:t>
            </w:r>
          </w:p>
        </w:tc>
        <w:tc>
          <w:tcPr>
            <w:tcW w:w="2280" w:type="dxa"/>
            <w:vMerge/>
            <w:vAlign w:val="center"/>
          </w:tcPr>
          <w:p w:rsidR="00880024" w:rsidRPr="005C2035" w:rsidRDefault="00880024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585"/>
        </w:trPr>
        <w:tc>
          <w:tcPr>
            <w:tcW w:w="817" w:type="dxa"/>
            <w:vMerge w:val="restart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Merge w:val="restart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Workload</w:t>
            </w:r>
          </w:p>
        </w:tc>
        <w:tc>
          <w:tcPr>
            <w:tcW w:w="2554" w:type="dxa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>Overloaded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300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>ot overload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ed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585"/>
        </w:trPr>
        <w:tc>
          <w:tcPr>
            <w:tcW w:w="817" w:type="dxa"/>
            <w:vMerge w:val="restart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Merge w:val="restart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Need for career advancement</w:t>
            </w:r>
          </w:p>
        </w:tc>
        <w:tc>
          <w:tcPr>
            <w:tcW w:w="2554" w:type="dxa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Having</w:t>
            </w: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desire for promotion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600"/>
        </w:trPr>
        <w:tc>
          <w:tcPr>
            <w:tcW w:w="817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Merge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  <w:vAlign w:val="center"/>
          </w:tcPr>
          <w:p w:rsidR="007F4073" w:rsidRPr="005C2035" w:rsidRDefault="00AD3845" w:rsidP="007F4073">
            <w:pPr>
              <w:pStyle w:val="ListParagraph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eastAsia="Times New Roman" w:hAnsi="Times New Roman" w:cs="Times New Roman"/>
                <w:sz w:val="28"/>
                <w:szCs w:val="28"/>
              </w:rPr>
              <w:t>No promotion desired</w:t>
            </w:r>
          </w:p>
        </w:tc>
        <w:tc>
          <w:tcPr>
            <w:tcW w:w="2280" w:type="dxa"/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4073" w:rsidRPr="005C2035" w:rsidRDefault="007F4073" w:rsidP="007F4073">
      <w:pPr>
        <w:pStyle w:val="ListParagraph"/>
        <w:spacing w:before="120" w:after="12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F4073" w:rsidRDefault="007F4073" w:rsidP="007F40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4073" w:rsidRPr="001009FC" w:rsidRDefault="007F4073" w:rsidP="007F40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</w:t>
      </w:r>
      <w:r w:rsidRPr="001009F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D3845" w:rsidRPr="00AD3845">
        <w:rPr>
          <w:rFonts w:ascii="Times New Roman" w:hAnsi="Times New Roman" w:cs="Times New Roman"/>
          <w:b/>
          <w:bCs/>
          <w:sz w:val="28"/>
          <w:szCs w:val="28"/>
        </w:rPr>
        <w:t xml:space="preserve">The current situation </w:t>
      </w:r>
      <w:r w:rsidR="00AD3845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AD3845" w:rsidRPr="00AD3845">
        <w:rPr>
          <w:rFonts w:ascii="Times New Roman" w:hAnsi="Times New Roman" w:cs="Times New Roman"/>
          <w:b/>
          <w:bCs/>
          <w:sz w:val="28"/>
          <w:szCs w:val="28"/>
        </w:rPr>
        <w:t xml:space="preserve"> continuous medical </w:t>
      </w:r>
      <w:r w:rsidR="00AD3845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AD3845" w:rsidRPr="00AD3845">
        <w:rPr>
          <w:rFonts w:ascii="Times New Roman" w:hAnsi="Times New Roman" w:cs="Times New Roman"/>
          <w:b/>
          <w:bCs/>
          <w:sz w:val="28"/>
          <w:szCs w:val="28"/>
        </w:rPr>
        <w:t xml:space="preserve"> activities among practitioners at </w:t>
      </w:r>
      <w:r w:rsidR="00AD3845">
        <w:rPr>
          <w:rFonts w:ascii="Times New Roman" w:hAnsi="Times New Roman" w:cs="Times New Roman"/>
          <w:b/>
          <w:bCs/>
          <w:sz w:val="28"/>
          <w:szCs w:val="28"/>
        </w:rPr>
        <w:t>Da N</w:t>
      </w:r>
      <w:r w:rsidR="00AD3845" w:rsidRPr="00AD3845">
        <w:rPr>
          <w:rFonts w:ascii="Times New Roman" w:hAnsi="Times New Roman" w:cs="Times New Roman"/>
          <w:b/>
          <w:bCs/>
          <w:sz w:val="28"/>
          <w:szCs w:val="28"/>
        </w:rPr>
        <w:t>ang hospital in the period 2020-2025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771"/>
        <w:gridCol w:w="3071"/>
        <w:gridCol w:w="2521"/>
      </w:tblGrid>
      <w:tr w:rsidR="00AD3845" w:rsidRPr="005C2035" w:rsidTr="007F4073">
        <w:trPr>
          <w:trHeight w:val="14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45" w:rsidRPr="005C2035" w:rsidRDefault="00AD3845" w:rsidP="00C86809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45" w:rsidRPr="005C2035" w:rsidRDefault="00AD3845" w:rsidP="00C86809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Information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845" w:rsidRPr="005C2035" w:rsidRDefault="00AD3845" w:rsidP="00C86809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073">
              <w:rPr>
                <w:rFonts w:ascii="Times New Roman" w:hAnsi="Times New Roman" w:cs="Times New Roman"/>
                <w:b/>
                <w:sz w:val="28"/>
                <w:szCs w:val="28"/>
              </w:rPr>
              <w:t>Answer (mark X or fill in appropriate information)</w:t>
            </w: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In your opinion, is continuing education a mandatory obligation for medical practitioners?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</w:t>
            </w: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atory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 sure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2.</w:t>
            </w:r>
          </w:p>
        </w:tc>
        <w:tc>
          <w:tcPr>
            <w:tcW w:w="2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AD384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According to current regulations, how many credit hours are practitioners required to participate in continuous medical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? (Please answer with the information you know, do not use other forms of search and support)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24 credits / 01 year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48 credits/ 02 years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120 credits/ 05 years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3.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AD3845" w:rsidP="00AD384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What forms of continuing education/continuous medical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 have you participated in from 2020-2025? (multiple answers are possible)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Short-term training courses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Conferences, Seminars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AD384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Educational teaching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AD3845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Other self-updates (thesis guidance, professional activities, currently enrolled 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 degree training courses)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>All of the above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4.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AD3845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What type of continuing education/ continuous medical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r w:rsidRPr="00AD3845">
              <w:rPr>
                <w:rFonts w:ascii="Times New Roman" w:hAnsi="Times New Roman" w:cs="Times New Roman"/>
                <w:sz w:val="28"/>
                <w:szCs w:val="28"/>
              </w:rPr>
              <w:t xml:space="preserve"> courses have you attended? </w:t>
            </w:r>
            <w:r w:rsidRPr="00AD3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(Multiple answers are possible)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 person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Hybrid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5.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Training</w:t>
            </w:r>
            <w:r w:rsidRPr="001713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locations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 Nang hospital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Outside of Da Nang hopsital but within Da Nang City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Outside of Da Nang City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6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6.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The duration of continuing education/ continuing medical education courses you regularly attend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FC">
              <w:rPr>
                <w:rFonts w:ascii="Times New Roman" w:hAnsi="Times New Roman" w:cs="Times New Roman"/>
                <w:sz w:val="28"/>
                <w:szCs w:val="28"/>
              </w:rPr>
              <w:t xml:space="preserve">3- 6 </w:t>
            </w:r>
            <w:r w:rsidR="001713E2">
              <w:rPr>
                <w:rFonts w:ascii="Times New Roman" w:hAnsi="Times New Roman" w:cs="Times New Roman"/>
                <w:sz w:val="28"/>
                <w:szCs w:val="28"/>
              </w:rPr>
              <w:t>months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FC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  <w:r w:rsidR="001713E2">
              <w:rPr>
                <w:rFonts w:ascii="Times New Roman" w:hAnsi="Times New Roman" w:cs="Times New Roman"/>
                <w:sz w:val="28"/>
                <w:szCs w:val="28"/>
              </w:rPr>
              <w:t>months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4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9F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1713E2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r w:rsidRPr="001009FC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r w:rsidR="001713E2">
              <w:rPr>
                <w:rFonts w:ascii="Times New Roman" w:hAnsi="Times New Roman" w:cs="Times New Roman"/>
                <w:sz w:val="28"/>
                <w:szCs w:val="28"/>
              </w:rPr>
              <w:t>month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From 2 - 10 days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60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Under 2 days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1713E2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How many continuing education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credit hours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did you attend in 2020? (Answer "No" if no information available or fill in the number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credit hours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if information is available)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8.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many continuing education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credit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hours did you attend in 2021? (Answer "No" if no information available or fill in the number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credit 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hours if information is available)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9.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1713E2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many continuing education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credit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hours did you attend in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? (Answer "No" if no information available or fill in the number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credit 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hours if information is available)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10.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1713E2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many continuing education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credit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hours did you attend in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? (Answer "No" if no information available or fill in the number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credit 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hours if information is available)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6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1009FC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11.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1009FC" w:rsidRDefault="001713E2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many continuing education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credit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hours did you attend in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? (Answer "No" if no information available or fill in the number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credit 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hours if information is available)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7F4073" w:rsidRDefault="007F4073" w:rsidP="007F40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Pr="005C20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13E2" w:rsidRPr="00AD3845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1713E2">
        <w:rPr>
          <w:rFonts w:ascii="Times New Roman" w:hAnsi="Times New Roman" w:cs="Times New Roman"/>
          <w:b/>
          <w:bCs/>
          <w:sz w:val="28"/>
          <w:szCs w:val="28"/>
        </w:rPr>
        <w:t>affecting factors of</w:t>
      </w:r>
      <w:r w:rsidR="001713E2" w:rsidRPr="00AD3845">
        <w:rPr>
          <w:rFonts w:ascii="Times New Roman" w:hAnsi="Times New Roman" w:cs="Times New Roman"/>
          <w:b/>
          <w:bCs/>
          <w:sz w:val="28"/>
          <w:szCs w:val="28"/>
        </w:rPr>
        <w:t xml:space="preserve"> continuous medical </w:t>
      </w:r>
      <w:r w:rsidR="001713E2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1713E2" w:rsidRPr="00AD3845">
        <w:rPr>
          <w:rFonts w:ascii="Times New Roman" w:hAnsi="Times New Roman" w:cs="Times New Roman"/>
          <w:b/>
          <w:bCs/>
          <w:sz w:val="28"/>
          <w:szCs w:val="28"/>
        </w:rPr>
        <w:t xml:space="preserve"> activities among practitioners at </w:t>
      </w:r>
      <w:r w:rsidR="001713E2">
        <w:rPr>
          <w:rFonts w:ascii="Times New Roman" w:hAnsi="Times New Roman" w:cs="Times New Roman"/>
          <w:b/>
          <w:bCs/>
          <w:sz w:val="28"/>
          <w:szCs w:val="28"/>
        </w:rPr>
        <w:t>Da N</w:t>
      </w:r>
      <w:r w:rsidR="001713E2" w:rsidRPr="00AD3845">
        <w:rPr>
          <w:rFonts w:ascii="Times New Roman" w:hAnsi="Times New Roman" w:cs="Times New Roman"/>
          <w:b/>
          <w:bCs/>
          <w:sz w:val="28"/>
          <w:szCs w:val="28"/>
        </w:rPr>
        <w:t>ang hospital in the period 2020-2025</w:t>
      </w:r>
    </w:p>
    <w:p w:rsidR="007F4073" w:rsidRPr="00880DCE" w:rsidRDefault="001713E2" w:rsidP="007F40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3E2">
        <w:rPr>
          <w:rFonts w:ascii="Times New Roman" w:hAnsi="Times New Roman" w:cs="Times New Roman"/>
          <w:b/>
          <w:sz w:val="28"/>
          <w:szCs w:val="28"/>
        </w:rPr>
        <w:t>When choosing a training course, to what extent do you consider the following factors?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0"/>
        <w:gridCol w:w="2929"/>
        <w:gridCol w:w="2681"/>
        <w:gridCol w:w="2624"/>
      </w:tblGrid>
      <w:tr w:rsidR="001713E2" w:rsidRPr="005C2035" w:rsidTr="007F4073">
        <w:trPr>
          <w:trHeight w:val="145"/>
          <w:tblHeader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C86809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C86809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C86809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073">
              <w:rPr>
                <w:rFonts w:ascii="Times New Roman" w:hAnsi="Times New Roman" w:cs="Times New Roman"/>
                <w:b/>
                <w:sz w:val="28"/>
                <w:szCs w:val="28"/>
              </w:rPr>
              <w:t>Answer (mark X or fill in appropriate information)</w:t>
            </w: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Questions 11 to 14: Factors influencing training programs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880DCE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concerned are you about the course being well-informed?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5C2035" w:rsidRDefault="001713E2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concerned are you about the qualifications and competence of the course's teaching staff?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1713E2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How concerned are you about course costs?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1713E2" w:rsidP="001713E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How concerned are you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about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whether the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ourse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Organizing Committee provides administrative support for the courses (registration procedures, testing, etc.)?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Questions 15 to 17: Factors influencing technical issues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How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concerned are you about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 the course being in incorporating information technology into its organization?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How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concerned  are you about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 the course delivery format (online / in-person / hybrid)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880DCE" w:rsidRDefault="00C86809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How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concerned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 are you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about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 course with mandatory attendance and assessment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Questions 18 to 22: Factors affecting the objective environment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Are you interested in being informed about the legal requirements for continuing education?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Are you interested in enrolling in continuing education courses to renew your license?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Are you concerned 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about finding enough time to attend continuing education courses?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Are you concerned about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 d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istance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tudy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ocation?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Are you interested in the accessibility of t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raining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ourses?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Questions 23 to 28: Factors influencing workplace (organization)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880DCE" w:rsidRDefault="00C86809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Are you interested in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ospital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ontinuing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ducation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romotion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olicy?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How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nterested are you in receiving t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raining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costs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coverage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623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How concerned are you about the internal 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discipline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your organization 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if you do not attend the full training period?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How interested are you in being provided with legal information on continuing education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your work organization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How interested are you in having your leadership/supervisor facilitate ongoing training?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 xml:space="preserve">How concerned are you 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about your organization providing adequate time for continuing education?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No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Little 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>ttentive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3E2" w:rsidRPr="005C2035" w:rsidTr="007F4073">
        <w:trPr>
          <w:trHeight w:val="14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7F4073">
            <w:pPr>
              <w:pStyle w:val="ListParagraph"/>
              <w:spacing w:before="120" w:after="12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  <w:r w:rsidRPr="00171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attention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E2" w:rsidRPr="005C2035" w:rsidRDefault="001713E2" w:rsidP="00C86809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073" w:rsidRPr="005C2035" w:rsidTr="007F4073">
        <w:trPr>
          <w:trHeight w:val="1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73" w:rsidRPr="00880DCE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Other factors not listed, Other reasons influencing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73" w:rsidRPr="005C2035" w:rsidRDefault="007F4073" w:rsidP="007F4073">
            <w:pPr>
              <w:pStyle w:val="ListParagraph"/>
              <w:spacing w:before="120" w:after="120" w:line="360" w:lineRule="auto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073" w:rsidRDefault="007F4073" w:rsidP="007F4073">
      <w:pPr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6809" w:rsidRDefault="00C86809">
      <w:pPr>
        <w:spacing w:after="200" w:line="276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208844399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bookmarkEnd w:id="1"/>
    <w:p w:rsidR="00C86809" w:rsidRPr="00C86809" w:rsidRDefault="00C86809" w:rsidP="00C86809">
      <w:pPr>
        <w:spacing w:before="120" w:after="120" w:line="360" w:lineRule="auto"/>
        <w:ind w:firstLine="720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proofErr w:type="gramStart"/>
      <w:r w:rsidRPr="00C86809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APPENDIX 2.</w:t>
      </w:r>
      <w:proofErr w:type="gramEnd"/>
      <w:r w:rsidRPr="00C8680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SECONDARY DATA COLLECTION FORM</w:t>
      </w:r>
    </w:p>
    <w:p w:rsidR="007F4073" w:rsidRPr="005C2035" w:rsidRDefault="00C86809" w:rsidP="00C86809">
      <w:pPr>
        <w:spacing w:before="120" w:after="12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THE </w:t>
      </w:r>
      <w:r w:rsidRPr="00C86809">
        <w:rPr>
          <w:rFonts w:ascii="Times New Roman" w:eastAsiaTheme="majorEastAsia" w:hAnsi="Times New Roman" w:cs="Times New Roman"/>
          <w:b/>
          <w:bCs/>
          <w:sz w:val="28"/>
          <w:szCs w:val="28"/>
        </w:rPr>
        <w:t>CURRENT SITUATION AND SOME FACTORS AFFECTING CONTINUOUS MEDICAL KNOWLEDGE UPDATE ACTIVITIES AMONG PRACTITIONERS AT DA NANG HOSPITAL IN THE PERIOD 2020-2025.</w:t>
      </w:r>
    </w:p>
    <w:p w:rsidR="007F4073" w:rsidRPr="00880DCE" w:rsidRDefault="007F4073" w:rsidP="007F40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DCE">
        <w:rPr>
          <w:rFonts w:ascii="Times New Roman" w:hAnsi="Times New Roman" w:cs="Times New Roman"/>
          <w:bCs/>
          <w:sz w:val="28"/>
          <w:szCs w:val="28"/>
        </w:rPr>
        <w:t xml:space="preserve">*** </w:t>
      </w:r>
      <w:r w:rsidR="00C86809" w:rsidRPr="00C86809">
        <w:rPr>
          <w:rFonts w:ascii="Times New Roman" w:hAnsi="Times New Roman" w:cs="Times New Roman"/>
          <w:bCs/>
          <w:sz w:val="28"/>
          <w:szCs w:val="28"/>
        </w:rPr>
        <w:t>The investigator read</w:t>
      </w:r>
      <w:r w:rsidR="00C86809">
        <w:rPr>
          <w:rFonts w:ascii="Times New Roman" w:hAnsi="Times New Roman" w:cs="Times New Roman"/>
          <w:bCs/>
          <w:sz w:val="28"/>
          <w:szCs w:val="28"/>
        </w:rPr>
        <w:t>s</w:t>
      </w:r>
      <w:r w:rsidR="00C86809" w:rsidRPr="00C86809">
        <w:rPr>
          <w:rFonts w:ascii="Times New Roman" w:hAnsi="Times New Roman" w:cs="Times New Roman"/>
          <w:bCs/>
          <w:sz w:val="28"/>
          <w:szCs w:val="28"/>
        </w:rPr>
        <w:t xml:space="preserve"> the reports related to CME activities, then review</w:t>
      </w:r>
      <w:r w:rsidR="00C86809">
        <w:rPr>
          <w:rFonts w:ascii="Times New Roman" w:hAnsi="Times New Roman" w:cs="Times New Roman"/>
          <w:bCs/>
          <w:sz w:val="28"/>
          <w:szCs w:val="28"/>
        </w:rPr>
        <w:t>s</w:t>
      </w:r>
      <w:r w:rsidR="00C86809" w:rsidRPr="00C86809">
        <w:rPr>
          <w:rFonts w:ascii="Times New Roman" w:hAnsi="Times New Roman" w:cs="Times New Roman"/>
          <w:bCs/>
          <w:sz w:val="28"/>
          <w:szCs w:val="28"/>
        </w:rPr>
        <w:t xml:space="preserve"> the content related to the collection form and fill</w:t>
      </w:r>
      <w:r w:rsidR="00C86809">
        <w:rPr>
          <w:rFonts w:ascii="Times New Roman" w:hAnsi="Times New Roman" w:cs="Times New Roman"/>
          <w:bCs/>
          <w:sz w:val="28"/>
          <w:szCs w:val="28"/>
        </w:rPr>
        <w:t>s</w:t>
      </w:r>
      <w:r w:rsidR="00C86809" w:rsidRPr="00C86809">
        <w:rPr>
          <w:rFonts w:ascii="Times New Roman" w:hAnsi="Times New Roman" w:cs="Times New Roman"/>
          <w:bCs/>
          <w:sz w:val="28"/>
          <w:szCs w:val="28"/>
        </w:rPr>
        <w:t xml:space="preserve"> in the content on the secondary data collection form.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850"/>
        <w:gridCol w:w="851"/>
        <w:gridCol w:w="850"/>
        <w:gridCol w:w="851"/>
        <w:gridCol w:w="850"/>
        <w:gridCol w:w="1858"/>
      </w:tblGrid>
      <w:tr w:rsidR="007F4073" w:rsidRPr="005C2035" w:rsidTr="00880024">
        <w:trPr>
          <w:tblHeader/>
        </w:trPr>
        <w:tc>
          <w:tcPr>
            <w:tcW w:w="710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1984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Content</w:t>
            </w:r>
          </w:p>
        </w:tc>
        <w:tc>
          <w:tcPr>
            <w:tcW w:w="851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850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851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850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851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858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Notes</w:t>
            </w:r>
          </w:p>
        </w:tc>
      </w:tr>
      <w:tr w:rsidR="007F4073" w:rsidRPr="005C2035" w:rsidTr="00880024">
        <w:tc>
          <w:tcPr>
            <w:tcW w:w="71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7F4073" w:rsidRPr="005C2035" w:rsidRDefault="00C86809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Organization’s </w:t>
            </w:r>
            <w:r w:rsidRPr="00C86809">
              <w:rPr>
                <w:rFonts w:ascii="Times New Roman" w:hAnsi="Times New Roman" w:cs="Times New Roman"/>
                <w:sz w:val="28"/>
                <w:szCs w:val="28"/>
              </w:rPr>
              <w:t>Continuing Education Plan</w:t>
            </w: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Yes/ No</w:t>
            </w:r>
          </w:p>
        </w:tc>
      </w:tr>
      <w:tr w:rsidR="007F4073" w:rsidRPr="005C2035" w:rsidTr="00880024">
        <w:tc>
          <w:tcPr>
            <w:tcW w:w="71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Number of approved training programs</w:t>
            </w: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Count the number of 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training programs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 approved by year</w:t>
            </w:r>
          </w:p>
        </w:tc>
      </w:tr>
      <w:tr w:rsidR="007F4073" w:rsidRPr="005C2035" w:rsidTr="00880024">
        <w:tc>
          <w:tcPr>
            <w:tcW w:w="71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Qualifications and competencies of the teaching 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staff</w:t>
            </w: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Percentage of training class records with lecturer 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competency records</w:t>
            </w:r>
          </w:p>
        </w:tc>
      </w:tr>
      <w:tr w:rsidR="007F4073" w:rsidRPr="005C2035" w:rsidTr="00880024">
        <w:tc>
          <w:tcPr>
            <w:tcW w:w="71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7F4073" w:rsidRPr="005C2035" w:rsidRDefault="00880024" w:rsidP="0088002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Number of participants in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CME 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courses in 2020-2025 (organized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 Nang hospital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F4073" w:rsidRPr="005C2035" w:rsidRDefault="00880024" w:rsidP="0088002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Number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 Nang hospital’s staff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 receiving CME per year</w:t>
            </w:r>
          </w:p>
        </w:tc>
      </w:tr>
      <w:tr w:rsidR="007F4073" w:rsidRPr="005C2035" w:rsidTr="00880024">
        <w:tc>
          <w:tcPr>
            <w:tcW w:w="71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Administrative support</w:t>
            </w: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F4073" w:rsidRPr="005C2035" w:rsidRDefault="00880024" w:rsidP="0088002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Percentage of training classes with administrative support </w:t>
            </w:r>
          </w:p>
        </w:tc>
      </w:tr>
      <w:tr w:rsidR="007F4073" w:rsidRPr="005C2035" w:rsidTr="00880024">
        <w:tc>
          <w:tcPr>
            <w:tcW w:w="71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F4073" w:rsidRPr="005C2035" w:rsidRDefault="00880024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Participation costs</w:t>
            </w: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4073" w:rsidRPr="005C2035" w:rsidRDefault="007F4073" w:rsidP="007F407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7F4073" w:rsidRPr="005C2035" w:rsidRDefault="00880024" w:rsidP="0088002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attend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ing fee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 xml:space="preserve"> (for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Da Nang hospital’s staff</w:t>
            </w:r>
            <w:r w:rsidRPr="008800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F4073" w:rsidRPr="005C2035" w:rsidRDefault="007F4073" w:rsidP="007F4073">
      <w:pPr>
        <w:spacing w:before="120" w:after="120" w:line="36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sectPr w:rsidR="007F4073" w:rsidRPr="005C2035" w:rsidSect="007F4073">
      <w:headerReference w:type="default" r:id="rId6"/>
      <w:pgSz w:w="12240" w:h="15840"/>
      <w:pgMar w:top="1985" w:right="1134" w:bottom="1701" w:left="1985" w:header="720" w:footer="720" w:gutter="0"/>
      <w:pgNumType w:start="1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8442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6809" w:rsidRDefault="00C86809" w:rsidP="007F4073">
        <w:pPr>
          <w:pStyle w:val="Header"/>
          <w:jc w:val="center"/>
        </w:pPr>
        <w:r w:rsidRPr="007567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67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67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361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567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3F7"/>
    <w:multiLevelType w:val="hybridMultilevel"/>
    <w:tmpl w:val="B1EEA16A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0A16DB"/>
    <w:multiLevelType w:val="hybridMultilevel"/>
    <w:tmpl w:val="FCE46404"/>
    <w:lvl w:ilvl="0" w:tplc="FFFFFFFF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04"/>
    <w:rsid w:val="001713E2"/>
    <w:rsid w:val="0044205A"/>
    <w:rsid w:val="00787974"/>
    <w:rsid w:val="007B11D7"/>
    <w:rsid w:val="007F4073"/>
    <w:rsid w:val="00880024"/>
    <w:rsid w:val="00AD3845"/>
    <w:rsid w:val="00C86809"/>
    <w:rsid w:val="00E50F04"/>
    <w:rsid w:val="00E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7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7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7F4073"/>
    <w:pPr>
      <w:ind w:left="720"/>
      <w:contextualSpacing/>
    </w:pPr>
  </w:style>
  <w:style w:type="table" w:styleId="TableGrid">
    <w:name w:val="Table Grid"/>
    <w:basedOn w:val="TableNormal"/>
    <w:uiPriority w:val="39"/>
    <w:rsid w:val="007F407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073"/>
    <w:rPr>
      <w:kern w:val="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4073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73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7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7F4073"/>
    <w:pPr>
      <w:ind w:left="720"/>
      <w:contextualSpacing/>
    </w:pPr>
  </w:style>
  <w:style w:type="table" w:styleId="TableGrid">
    <w:name w:val="Table Grid"/>
    <w:basedOn w:val="TableNormal"/>
    <w:uiPriority w:val="39"/>
    <w:rsid w:val="007F407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073"/>
    <w:rPr>
      <w:kern w:val="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407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18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2025-10-30T01:15:00Z</dcterms:created>
  <dcterms:modified xsi:type="dcterms:W3CDTF">2025-10-30T02:49:00Z</dcterms:modified>
</cp:coreProperties>
</file>