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Supplementary File 1: Core Intake Criteria for Adaptive Clinical Triage (ACT)</w:t>
      </w:r>
    </w:p>
    <w:p w:rsidR="00000000" w:rsidDel="00000000" w:rsidP="00000000" w:rsidRDefault="00000000" w:rsidRPr="00000000" w14:paraId="00000002">
      <w:pPr>
        <w:keepNext w:val="0"/>
        <w:keepLines w:val="0"/>
        <w:spacing w:after="0" w:before="0" w:line="276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spacing w:after="0" w:before="0" w:line="276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 Physiological thresholds</w:t>
      </w:r>
    </w:p>
    <w:p w:rsidR="00000000" w:rsidDel="00000000" w:rsidP="00000000" w:rsidRDefault="00000000" w:rsidRPr="00000000" w14:paraId="00000004">
      <w:pPr>
        <w:keepNext w:val="0"/>
        <w:keepLines w:val="0"/>
        <w:numPr>
          <w:ilvl w:val="0"/>
          <w:numId w:val="1"/>
        </w:numPr>
        <w:spacing w:after="0" w:before="0" w:line="276" w:lineRule="auto"/>
        <w:ind w:left="180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Adults: NEWS2 (National Early Warning Score version 2)</w:t>
      </w:r>
    </w:p>
    <w:p w:rsidR="00000000" w:rsidDel="00000000" w:rsidP="00000000" w:rsidRDefault="00000000" w:rsidRPr="00000000" w14:paraId="00000005">
      <w:pPr>
        <w:keepNext w:val="0"/>
        <w:keepLines w:val="0"/>
        <w:numPr>
          <w:ilvl w:val="0"/>
          <w:numId w:val="1"/>
        </w:numPr>
        <w:spacing w:after="0" w:before="0" w:line="276" w:lineRule="auto"/>
        <w:ind w:left="180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Children: PEVS (Pediatric Early Warning Score, Norwegian adaptation [7]</w:t>
      </w:r>
    </w:p>
    <w:p w:rsidR="00000000" w:rsidDel="00000000" w:rsidP="00000000" w:rsidRDefault="00000000" w:rsidRPr="00000000" w14:paraId="00000006">
      <w:pPr>
        <w:keepNext w:val="0"/>
        <w:keepLines w:val="0"/>
        <w:spacing w:after="0" w:before="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1665"/>
        <w:gridCol w:w="1293.75"/>
        <w:gridCol w:w="1293.75"/>
        <w:gridCol w:w="1293.75"/>
        <w:gridCol w:w="1293.75"/>
        <w:tblGridChange w:id="0">
          <w:tblGrid>
            <w:gridCol w:w="2010"/>
            <w:gridCol w:w="1665"/>
            <w:gridCol w:w="1293.75"/>
            <w:gridCol w:w="1293.75"/>
            <w:gridCol w:w="1293.75"/>
            <w:gridCol w:w="1293.75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Group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Parameter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Red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Orange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Yellow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Green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Adults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NEWS2 score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≥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≥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Single =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– 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Children (&lt; 18 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PEVS (PEWS)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≥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=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Single =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≤ 3</w:t>
            </w:r>
          </w:p>
        </w:tc>
      </w:tr>
    </w:tbl>
    <w:p w:rsidR="00000000" w:rsidDel="00000000" w:rsidP="00000000" w:rsidRDefault="00000000" w:rsidRPr="00000000" w14:paraId="00000019">
      <w:pPr>
        <w:spacing w:after="0" w:before="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76" w:lineRule="auto"/>
        <w:ind w:left="0" w:firstLine="0"/>
        <w:rPr>
          <w:rFonts w:ascii="Calibri" w:cs="Calibri" w:eastAsia="Calibri" w:hAnsi="Calibri"/>
          <w:color w:val="111111"/>
        </w:rPr>
      </w:pPr>
      <w:r w:rsidDel="00000000" w:rsidR="00000000" w:rsidRPr="00000000">
        <w:rPr>
          <w:rFonts w:ascii="Calibri" w:cs="Calibri" w:eastAsia="Calibri" w:hAnsi="Calibri"/>
          <w:color w:val="111111"/>
          <w:rtl w:val="0"/>
        </w:rPr>
        <w:t xml:space="preserve">NEWS2 ≥ 7 or PEVS ≥ 5 triggers the Red category used for high-acuity analyses in this study.</w:t>
      </w:r>
    </w:p>
    <w:p w:rsidR="00000000" w:rsidDel="00000000" w:rsidP="00000000" w:rsidRDefault="00000000" w:rsidRPr="00000000" w14:paraId="0000001B">
      <w:pPr>
        <w:spacing w:after="0" w:before="0" w:line="276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76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 Urgency flags by system (ABCDE framework)</w:t>
      </w:r>
    </w:p>
    <w:p w:rsidR="00000000" w:rsidDel="00000000" w:rsidP="00000000" w:rsidRDefault="00000000" w:rsidRPr="00000000" w14:paraId="0000001D">
      <w:pPr>
        <w:spacing w:after="0" w:before="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visual overview of these flags within the four-tier acuity scale is provided in Supplementary File 3.</w:t>
      </w:r>
    </w:p>
    <w:p w:rsidR="00000000" w:rsidDel="00000000" w:rsidP="00000000" w:rsidRDefault="00000000" w:rsidRPr="00000000" w14:paraId="0000001E">
      <w:pPr>
        <w:spacing w:after="0" w:before="0" w:line="276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76" w:lineRule="auto"/>
        <w:ind w:left="0" w:firstLine="0"/>
        <w:rPr>
          <w:rFonts w:ascii="Calibri" w:cs="Calibri" w:eastAsia="Calibri" w:hAnsi="Calibri"/>
        </w:rPr>
        <w:sectPr>
          <w:footerReference r:id="rId6" w:type="default"/>
          <w:pgSz w:h="16838" w:w="11906" w:orient="portrait"/>
          <w:pgMar w:bottom="849.5999999999999" w:top="849.5999999999999" w:left="849.5999999999999" w:right="849.5999999999999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 – Airway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before="0" w:line="240" w:lineRule="auto"/>
        <w:ind w:left="270" w:hanging="27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Stridor or airway obstruction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0" w:line="240" w:lineRule="auto"/>
        <w:ind w:left="270" w:hanging="27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Airway swelling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before="0" w:line="240" w:lineRule="auto"/>
        <w:ind w:left="270" w:hanging="270"/>
        <w:rPr>
          <w:rFonts w:ascii="Calibri" w:cs="Calibri" w:eastAsia="Calibri" w:hAnsi="Calibri"/>
          <w:u w:val="none"/>
        </w:rPr>
        <w:sectPr>
          <w:type w:val="continuous"/>
          <w:pgSz w:h="16838" w:w="11906" w:orient="portrait"/>
          <w:pgMar w:bottom="849.5999999999999" w:top="849.5999999999999" w:left="849.5999999999999" w:right="849.5999999999999" w:header="720" w:footer="720"/>
          <w:cols w:equalWidth="0" w:num="2">
            <w:col w:space="720" w:w="4743.14"/>
            <w:col w:space="0" w:w="4743.14"/>
          </w:cols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Threatened airway</w:t>
      </w:r>
    </w:p>
    <w:p w:rsidR="00000000" w:rsidDel="00000000" w:rsidP="00000000" w:rsidRDefault="00000000" w:rsidRPr="00000000" w14:paraId="00000023">
      <w:pPr>
        <w:spacing w:after="0" w:before="0" w:line="276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76" w:lineRule="auto"/>
        <w:ind w:left="0" w:firstLine="0"/>
        <w:rPr>
          <w:rFonts w:ascii="Calibri" w:cs="Calibri" w:eastAsia="Calibri" w:hAnsi="Calibri"/>
        </w:rPr>
        <w:sectPr>
          <w:type w:val="continuous"/>
          <w:pgSz w:h="16838" w:w="11906" w:orient="portrait"/>
          <w:pgMar w:bottom="849.5999999999999" w:top="849.5999999999999" w:left="849.5999999999999" w:right="849.5999999999999" w:header="720" w:footer="720"/>
        </w:sect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 – Breathing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Severe respiratory distress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Dyspnea at rest or on exertion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Respiratory depression (&gt; 5 below normal RR or respiratory depressant medication)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Calibri" w:cs="Calibri" w:eastAsia="Calibri" w:hAnsi="Calibri"/>
        </w:rPr>
        <w:sectPr>
          <w:type w:val="continuous"/>
          <w:pgSz w:h="16838" w:w="11906" w:orient="portrait"/>
          <w:pgMar w:bottom="849.5999999999999" w:top="849.5999999999999" w:left="849.5999999999999" w:right="849.5999999999999" w:header="720" w:footer="720"/>
          <w:cols w:equalWidth="0" w:num="2">
            <w:col w:space="720" w:w="4743.14"/>
            <w:col w:space="0" w:w="4743.14"/>
          </w:cols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Smoke inhalation (enclosed space)</w:t>
      </w:r>
    </w:p>
    <w:p w:rsidR="00000000" w:rsidDel="00000000" w:rsidP="00000000" w:rsidRDefault="00000000" w:rsidRPr="00000000" w14:paraId="00000029">
      <w:pPr>
        <w:spacing w:after="0" w:before="0" w:line="276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76" w:lineRule="auto"/>
        <w:ind w:left="0" w:firstLine="0"/>
        <w:rPr>
          <w:rFonts w:ascii="Calibri" w:cs="Calibri" w:eastAsia="Calibri" w:hAnsi="Calibri"/>
        </w:rPr>
        <w:sectPr>
          <w:type w:val="continuous"/>
          <w:pgSz w:h="16838" w:w="11906" w:orient="portrait"/>
          <w:pgMar w:bottom="849.5999999999999" w:top="849.5999999999999" w:left="849.5999999999999" w:right="849.5999999999999" w:header="720" w:footer="720"/>
        </w:sect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 – Circulation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Major trauma (according to national criteria)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Severe or uncontrolled bleeding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Controlled/compressible bleeding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Calibri" w:cs="Calibri" w:eastAsia="Calibri" w:hAnsi="Calibri"/>
        </w:rPr>
        <w:sectPr>
          <w:type w:val="continuous"/>
          <w:pgSz w:h="16838" w:w="11906" w:orient="portrait"/>
          <w:pgMar w:bottom="849.5999999999999" w:top="849.5999999999999" w:left="849.5999999999999" w:right="849.5999999999999" w:header="720" w:footer="720"/>
          <w:cols w:equalWidth="0" w:num="2">
            <w:col w:space="720" w:w="4743.14"/>
            <w:col w:space="0" w:w="4743.14"/>
          </w:cols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Chest pain</w:t>
      </w:r>
    </w:p>
    <w:p w:rsidR="00000000" w:rsidDel="00000000" w:rsidP="00000000" w:rsidRDefault="00000000" w:rsidRPr="00000000" w14:paraId="0000002F">
      <w:pPr>
        <w:spacing w:after="0" w:before="0" w:line="276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76" w:lineRule="auto"/>
        <w:ind w:left="0" w:firstLine="0"/>
        <w:rPr>
          <w:rFonts w:ascii="Calibri" w:cs="Calibri" w:eastAsia="Calibri" w:hAnsi="Calibri"/>
        </w:rPr>
        <w:sectPr>
          <w:type w:val="continuous"/>
          <w:pgSz w:h="16838" w:w="11906" w:orient="portrait"/>
          <w:pgMar w:bottom="849.5999999999999" w:top="849.5999999999999" w:left="849.5999999999999" w:right="849.5999999999999" w:header="720" w:footer="720"/>
        </w:sect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 – Disability / Neurological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Acute neurological deficit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Neurological deficit with onset 12–24 hours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Ongoing seizures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Post-ictal or resolved seizure (incl. known epilepsy)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Thunderclap headache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Syncope (single / repeated)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Unconsciousness / altered mental status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Head injury with anticoagulation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Suicidal or aggressive behaviour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Calibri" w:cs="Calibri" w:eastAsia="Calibri" w:hAnsi="Calibri"/>
        </w:rPr>
        <w:sectPr>
          <w:type w:val="continuous"/>
          <w:pgSz w:h="16838" w:w="11906" w:orient="portrait"/>
          <w:pgMar w:bottom="849.5999999999999" w:top="849.5999999999999" w:left="849.5999999999999" w:right="849.5999999999999" w:header="720" w:footer="720"/>
          <w:cols w:equalWidth="0" w:num="2">
            <w:col w:space="720" w:w="4743.14"/>
            <w:col w:space="0" w:w="4743.14"/>
          </w:cols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Severe pain (any location)</w:t>
      </w:r>
    </w:p>
    <w:p w:rsidR="00000000" w:rsidDel="00000000" w:rsidP="00000000" w:rsidRDefault="00000000" w:rsidRPr="00000000" w14:paraId="0000003B">
      <w:pPr>
        <w:spacing w:after="0" w:before="0" w:line="276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76" w:lineRule="auto"/>
        <w:ind w:left="0" w:firstLine="0"/>
        <w:rPr>
          <w:rFonts w:ascii="Calibri" w:cs="Calibri" w:eastAsia="Calibri" w:hAnsi="Calibri"/>
        </w:rPr>
        <w:sectPr>
          <w:type w:val="continuous"/>
          <w:pgSz w:h="16838" w:w="11906" w:orient="portrait"/>
          <w:pgMar w:bottom="849.5999999999999" w:top="849.5999999999999" w:left="849.5999999999999" w:right="849.5999999999999" w:header="720" w:footer="720"/>
        </w:sect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 – Exposure /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Suspected hypothermia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Distal neurovascular compromise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Suspected sepsis (NEWS2 ≥ 5 or PEVS ≥ 4 + infection)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Calibri" w:cs="Calibri" w:eastAsia="Calibri" w:hAnsi="Calibri"/>
        </w:rPr>
        <w:sectPr>
          <w:type w:val="continuous"/>
          <w:pgSz w:h="16838" w:w="11906" w:orient="portrait"/>
          <w:pgMar w:bottom="849.5999999999999" w:top="849.5999999999999" w:left="849.5999999999999" w:right="849.5999999999999" w:header="720" w:footer="720"/>
          <w:cols w:equalWidth="0" w:num="2">
            <w:col w:space="720" w:w="4743.14"/>
            <w:col w:space="0" w:w="4743.14"/>
          </w:cols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Poisoning or hazardous exposure</w:t>
      </w:r>
    </w:p>
    <w:p w:rsidR="00000000" w:rsidDel="00000000" w:rsidP="00000000" w:rsidRDefault="00000000" w:rsidRPr="00000000" w14:paraId="00000042">
      <w:pPr>
        <w:spacing w:after="0" w:before="0" w:line="276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76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3. Professional concern override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Nurses may escalate acuity based on professional judgement even when thresholds are not met.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Such discretionary escalation is logged as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Clinical concern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 data extractions.</w:t>
      </w:r>
    </w:p>
    <w:p w:rsidR="00000000" w:rsidDel="00000000" w:rsidP="00000000" w:rsidRDefault="00000000" w:rsidRPr="00000000" w14:paraId="00000046">
      <w:pPr>
        <w:spacing w:after="0" w:before="0" w:line="276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76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76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 Category descriptions and monitoring expectations</w:t>
      </w:r>
    </w:p>
    <w:p w:rsidR="00000000" w:rsidDel="00000000" w:rsidP="00000000" w:rsidRDefault="00000000" w:rsidRPr="00000000" w14:paraId="00000049">
      <w:pPr>
        <w:spacing w:after="0" w:before="0" w:line="276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Layout w:type="fixed"/>
        <w:tblLook w:val="0600"/>
      </w:tblPr>
      <w:tblGrid>
        <w:gridCol w:w="2366.25"/>
        <w:gridCol w:w="2366.25"/>
        <w:gridCol w:w="2366.25"/>
        <w:gridCol w:w="2366.25"/>
        <w:tblGridChange w:id="0">
          <w:tblGrid>
            <w:gridCol w:w="2366.25"/>
            <w:gridCol w:w="2366.25"/>
            <w:gridCol w:w="2366.25"/>
            <w:gridCol w:w="2366.2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Clinical mandate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Physician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Monitoring frequency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Red (Critical)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Immediate response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Immediate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Continuous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Orange (Acute)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Urgent review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≤30 minutes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Every 30 minutes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Yellow (Subacute)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Delayed review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≤60 minutes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Hourly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Green (Can wait)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Low urgency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 capacity allows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Every 2 hours</w:t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spacing w:after="0" w:before="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="276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5. Pediatric reference values (PEVS)</w:t>
      </w:r>
    </w:p>
    <w:p w:rsidR="00000000" w:rsidDel="00000000" w:rsidP="00000000" w:rsidRDefault="00000000" w:rsidRPr="00000000" w14:paraId="00000060">
      <w:pPr>
        <w:keepNext w:val="0"/>
        <w:keepLines w:val="0"/>
        <w:spacing w:after="0" w:before="0" w:line="276" w:lineRule="auto"/>
        <w:ind w:left="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(adapted from Solevåg et al., Akuttveileder i pediatri [7])</w:t>
      </w:r>
    </w:p>
    <w:p w:rsidR="00000000" w:rsidDel="00000000" w:rsidP="00000000" w:rsidRDefault="00000000" w:rsidRPr="00000000" w14:paraId="00000061">
      <w:pPr>
        <w:keepNext w:val="0"/>
        <w:keepLines w:val="0"/>
        <w:spacing w:after="0" w:before="0" w:line="276" w:lineRule="auto"/>
        <w:ind w:left="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50.0" w:type="dxa"/>
        <w:jc w:val="left"/>
        <w:tblLayout w:type="fixed"/>
        <w:tblLook w:val="0600"/>
      </w:tblPr>
      <w:tblGrid>
        <w:gridCol w:w="1890"/>
        <w:gridCol w:w="1890"/>
        <w:gridCol w:w="1890"/>
        <w:gridCol w:w="1890"/>
        <w:gridCol w:w="1890"/>
        <w:tblGridChange w:id="0">
          <w:tblGrid>
            <w:gridCol w:w="1890"/>
            <w:gridCol w:w="1890"/>
            <w:gridCol w:w="1890"/>
            <w:gridCol w:w="1890"/>
            <w:gridCol w:w="189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Respiratory rate (breaths/min)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Resting heart rate (beats/min)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Systolic BP (mmHg)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Diastolic BP (mmHg)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0–1 month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40–55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100–160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65–95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35–55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1–13 months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35–45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100–160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75–100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45–55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 months–4 yr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25–35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90–130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80–105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40–60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4–7 yr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20–24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70–120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85–110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45–70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7–13 yr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19–22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70–110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95–115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50–75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13–18 yr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14–19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55–95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105–125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0" w:line="276" w:lineRule="auto"/>
              <w:ind w:lef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50–80</w:t>
            </w:r>
          </w:p>
        </w:tc>
      </w:tr>
    </w:tbl>
    <w:p w:rsidR="00000000" w:rsidDel="00000000" w:rsidP="00000000" w:rsidRDefault="00000000" w:rsidRPr="00000000" w14:paraId="00000085">
      <w:pPr>
        <w:spacing w:after="0" w:before="0" w:line="276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276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Clinical principles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 is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prioritisation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tool, not a diagnostic system.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Patients must be re-triaged if expected review intervals are exceeded.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Nurse concern justifies up-triage at any time.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Only physicians may down-triage after review.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spacing w:after="0" w:before="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spacing w:after="0" w:before="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Reference</w:t>
      </w:r>
    </w:p>
    <w:p w:rsidR="00000000" w:rsidDel="00000000" w:rsidP="00000000" w:rsidRDefault="00000000" w:rsidRPr="00000000" w14:paraId="0000008D">
      <w:pPr>
        <w:spacing w:after="0" w:before="0" w:line="276" w:lineRule="auto"/>
        <w:ind w:left="0" w:firstLine="0"/>
        <w:rPr>
          <w:rFonts w:ascii="Calibri" w:cs="Calibri" w:eastAsia="Calibri" w:hAnsi="Calibri"/>
          <w:color w:val="1155cc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[7] Solevåg AL, Hinna UT, Eggen EH, Engan M, Gundersen AI, Døllner H.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Pediatrisk tidlig varslingsskår, triage og kommunikasjon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Akuttveileder i pediatri, Helsebiblioteket. Updated 01.01.2021. Available at: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1.13 Pediatrisk tidlig varslingsskår, triage og kommunikasjon - Helsebiblioteket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849.5999999999999" w:top="849.5999999999999" w:left="849.5999999999999" w:right="849.5999999999999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80" w:hanging="18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hyperlink" Target="https://www.helsebiblioteket.no/innhold/retningslinjer/pediatri/akuttveileder-i-pediatri/1.akutte-prosedyrer-og-tilstander-inkludert-ulykker/1.14-pediatrisk-tidlig-varslingsskar-triage-og-kommunikasj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